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CC715D">
      <w:pPr>
        <w:keepNext w:val="0"/>
        <w:keepLines w:val="0"/>
        <w:pageBreakBefore w:val="0"/>
        <w:widowControl w:val="0"/>
        <w:kinsoku/>
        <w:wordWrap/>
        <w:overflowPunct/>
        <w:topLinePunct w:val="0"/>
        <w:autoSpaceDE/>
        <w:autoSpaceDN/>
        <w:bidi w:val="0"/>
        <w:adjustRightInd/>
        <w:snapToGrid/>
        <w:spacing w:line="360" w:lineRule="auto"/>
        <w:ind w:firstLine="1037"/>
        <w:jc w:val="center"/>
        <w:textAlignment w:val="auto"/>
        <w:rPr>
          <w:rFonts w:hint="default" w:ascii="Times New Roman" w:hAnsi="Times New Roman" w:eastAsia="仿宋" w:cs="Times New Roman"/>
          <w:b/>
          <w:bCs/>
          <w:color w:val="auto"/>
          <w:sz w:val="56"/>
          <w:szCs w:val="56"/>
          <w:highlight w:val="none"/>
        </w:rPr>
      </w:pPr>
      <w:r>
        <w:rPr>
          <w:color w:val="auto"/>
          <w:highlight w:val="none"/>
        </w:rPr>
        <w:drawing>
          <wp:anchor distT="0" distB="0" distL="114300" distR="114300" simplePos="0" relativeHeight="251661312" behindDoc="0" locked="0" layoutInCell="1" allowOverlap="1">
            <wp:simplePos x="0" y="0"/>
            <wp:positionH relativeFrom="column">
              <wp:posOffset>-1142365</wp:posOffset>
            </wp:positionH>
            <wp:positionV relativeFrom="paragraph">
              <wp:posOffset>-918210</wp:posOffset>
            </wp:positionV>
            <wp:extent cx="7542530" cy="10681970"/>
            <wp:effectExtent l="0" t="0" r="1270" b="5080"/>
            <wp:wrapNone/>
            <wp:docPr id="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9"/>
                    <pic:cNvPicPr>
                      <a:picLocks noChangeAspect="1"/>
                    </pic:cNvPicPr>
                  </pic:nvPicPr>
                  <pic:blipFill>
                    <a:blip r:embed="rId8"/>
                    <a:stretch>
                      <a:fillRect/>
                    </a:stretch>
                  </pic:blipFill>
                  <pic:spPr>
                    <a:xfrm>
                      <a:off x="0" y="0"/>
                      <a:ext cx="7542530" cy="10681970"/>
                    </a:xfrm>
                    <a:prstGeom prst="rect">
                      <a:avLst/>
                    </a:prstGeom>
                    <a:noFill/>
                    <a:ln>
                      <a:noFill/>
                    </a:ln>
                  </pic:spPr>
                </pic:pic>
              </a:graphicData>
            </a:graphic>
          </wp:anchor>
        </w:drawing>
      </w:r>
    </w:p>
    <w:p w14:paraId="3ABC7C90">
      <w:pPr>
        <w:keepNext w:val="0"/>
        <w:keepLines w:val="0"/>
        <w:pageBreakBefore w:val="0"/>
        <w:widowControl w:val="0"/>
        <w:kinsoku/>
        <w:wordWrap/>
        <w:overflowPunct/>
        <w:topLinePunct w:val="0"/>
        <w:autoSpaceDE/>
        <w:autoSpaceDN/>
        <w:bidi w:val="0"/>
        <w:adjustRightInd/>
        <w:snapToGrid/>
        <w:spacing w:line="360" w:lineRule="auto"/>
        <w:ind w:firstLine="1037"/>
        <w:jc w:val="center"/>
        <w:textAlignment w:val="auto"/>
        <w:rPr>
          <w:rFonts w:hint="default" w:ascii="Times New Roman" w:hAnsi="Times New Roman" w:eastAsia="仿宋" w:cs="Times New Roman"/>
          <w:b/>
          <w:bCs/>
          <w:color w:val="auto"/>
          <w:sz w:val="56"/>
          <w:szCs w:val="56"/>
          <w:highlight w:val="none"/>
        </w:rPr>
      </w:pPr>
    </w:p>
    <w:p w14:paraId="79C76AB6">
      <w:pPr>
        <w:adjustRightInd w:val="0"/>
        <w:snapToGrid w:val="0"/>
        <w:jc w:val="center"/>
        <w:outlineLvl w:val="0"/>
        <w:rPr>
          <w:rFonts w:hint="default" w:ascii="Times New Roman" w:hAnsi="Times New Roman" w:eastAsia="方正小标宋_GBK" w:cs="Times New Roman"/>
          <w:bCs/>
          <w:color w:val="auto"/>
          <w:sz w:val="72"/>
          <w:szCs w:val="72"/>
          <w:highlight w:val="none"/>
        </w:rPr>
      </w:pPr>
      <w:r>
        <w:rPr>
          <w:rFonts w:hint="default" w:ascii="Times New Roman" w:hAnsi="Times New Roman" w:eastAsia="方正小标宋_GBK" w:cs="Times New Roman"/>
          <w:bCs/>
          <w:color w:val="auto"/>
          <w:sz w:val="72"/>
          <w:szCs w:val="72"/>
          <w:highlight w:val="none"/>
        </w:rPr>
        <w:t>建设项目环境影响报告表</w:t>
      </w:r>
    </w:p>
    <w:p w14:paraId="36F13C13">
      <w:pPr>
        <w:adjustRightInd w:val="0"/>
        <w:snapToGrid w:val="0"/>
        <w:spacing w:before="192" w:beforeLines="80"/>
        <w:jc w:val="center"/>
        <w:rPr>
          <w:rFonts w:hint="default" w:ascii="Times New Roman" w:hAnsi="Times New Roman" w:eastAsia="仿宋" w:cs="Times New Roman"/>
          <w:bCs/>
          <w:color w:val="auto"/>
          <w:sz w:val="48"/>
          <w:szCs w:val="48"/>
          <w:highlight w:val="none"/>
        </w:rPr>
      </w:pPr>
      <w:r>
        <w:rPr>
          <w:rFonts w:hint="default" w:ascii="Times New Roman" w:hAnsi="Times New Roman" w:eastAsia="仿宋" w:cs="Times New Roman"/>
          <w:bCs/>
          <w:color w:val="auto"/>
          <w:sz w:val="48"/>
          <w:szCs w:val="48"/>
          <w:highlight w:val="none"/>
        </w:rPr>
        <w:t>（污染影响类）</w:t>
      </w:r>
    </w:p>
    <w:p w14:paraId="7A95514B">
      <w:pPr>
        <w:bidi w:val="0"/>
        <w:spacing w:line="360" w:lineRule="auto"/>
        <w:rPr>
          <w:rFonts w:hint="default" w:ascii="Times New Roman" w:hAnsi="Times New Roman" w:cs="Times New Roman"/>
          <w:color w:val="auto"/>
          <w:highlight w:val="none"/>
        </w:rPr>
      </w:pPr>
    </w:p>
    <w:p w14:paraId="739D7EB7">
      <w:pPr>
        <w:spacing w:line="360" w:lineRule="auto"/>
        <w:jc w:val="center"/>
        <w:rPr>
          <w:rFonts w:hint="default" w:ascii="Times New Roman" w:hAnsi="Times New Roman" w:eastAsia="仿宋" w:cs="Times New Roman"/>
          <w:color w:val="auto"/>
          <w:sz w:val="52"/>
          <w:szCs w:val="52"/>
          <w:highlight w:val="none"/>
        </w:rPr>
      </w:pPr>
    </w:p>
    <w:p w14:paraId="5EA88609">
      <w:pPr>
        <w:spacing w:line="360" w:lineRule="auto"/>
        <w:rPr>
          <w:rFonts w:hint="default" w:ascii="Times New Roman" w:hAnsi="Times New Roman" w:eastAsia="仿宋" w:cs="Times New Roman"/>
          <w:color w:val="auto"/>
          <w:sz w:val="52"/>
          <w:szCs w:val="52"/>
          <w:highlight w:val="none"/>
        </w:rPr>
      </w:pPr>
    </w:p>
    <w:p w14:paraId="619BC105">
      <w:pPr>
        <w:spacing w:line="360" w:lineRule="auto"/>
        <w:rPr>
          <w:rFonts w:hint="default" w:ascii="Times New Roman" w:hAnsi="Times New Roman" w:eastAsia="仿宋" w:cs="Times New Roman"/>
          <w:color w:val="auto"/>
          <w:sz w:val="44"/>
          <w:szCs w:val="44"/>
          <w:highlight w:val="none"/>
        </w:rPr>
      </w:pPr>
    </w:p>
    <w:p w14:paraId="6A65A4C5">
      <w:pPr>
        <w:spacing w:line="360" w:lineRule="auto"/>
        <w:outlineLvl w:val="9"/>
        <w:rPr>
          <w:rFonts w:hint="default" w:ascii="Times New Roman" w:hAnsi="Times New Roman" w:cs="Times New Roman"/>
          <w:color w:val="auto"/>
          <w:highlight w:val="none"/>
        </w:rPr>
      </w:pPr>
    </w:p>
    <w:p w14:paraId="25BB6A25">
      <w:pPr>
        <w:spacing w:line="360" w:lineRule="auto"/>
        <w:outlineLvl w:val="9"/>
        <w:rPr>
          <w:rFonts w:hint="default" w:ascii="Times New Roman" w:hAnsi="Times New Roman" w:cs="Times New Roman"/>
          <w:color w:val="auto"/>
          <w:highlight w:val="none"/>
        </w:rPr>
      </w:pPr>
    </w:p>
    <w:p w14:paraId="2D9F7C38">
      <w:pPr>
        <w:pStyle w:val="2"/>
        <w:ind w:left="0" w:leftChars="0" w:firstLine="0" w:firstLineChars="0"/>
        <w:rPr>
          <w:rFonts w:hint="default" w:ascii="Times New Roman" w:hAnsi="Times New Roman" w:eastAsia="仿宋" w:cs="Times New Roman"/>
          <w:color w:val="auto"/>
          <w:sz w:val="36"/>
          <w:szCs w:val="36"/>
          <w:highlight w:val="none"/>
          <w:u w:val="single"/>
          <w:vertAlign w:val="baseline"/>
          <w:lang w:eastAsia="zh-CN"/>
        </w:rPr>
      </w:pPr>
      <w:r>
        <w:rPr>
          <w:rFonts w:hint="default" w:ascii="Times New Roman" w:hAnsi="Times New Roman" w:eastAsia="仿宋" w:cs="Times New Roman"/>
          <w:color w:val="auto"/>
          <w:sz w:val="36"/>
          <w:szCs w:val="36"/>
          <w:highlight w:val="none"/>
        </w:rPr>
        <w:t>项目名称：</w:t>
      </w:r>
      <w:r>
        <w:rPr>
          <w:rFonts w:hint="default" w:ascii="Times New Roman" w:hAnsi="Times New Roman" w:eastAsia="仿宋" w:cs="Times New Roman"/>
          <w:color w:val="auto"/>
          <w:sz w:val="36"/>
          <w:szCs w:val="36"/>
          <w:highlight w:val="none"/>
          <w:u w:val="single"/>
          <w:vertAlign w:val="baseline"/>
          <w:lang w:eastAsia="zh-CN"/>
        </w:rPr>
        <w:t>新疆凯狮威塑业有限责任公司</w:t>
      </w:r>
      <w:r>
        <w:rPr>
          <w:rFonts w:hint="default" w:ascii="Times New Roman" w:hAnsi="Times New Roman" w:eastAsia="仿宋" w:cs="Times New Roman"/>
          <w:color w:val="auto"/>
          <w:sz w:val="36"/>
          <w:szCs w:val="36"/>
          <w:highlight w:val="none"/>
          <w:u w:val="single"/>
          <w:vertAlign w:val="baseline"/>
          <w:lang w:val="en-US" w:eastAsia="zh-CN"/>
        </w:rPr>
        <w:t>扩建</w:t>
      </w:r>
      <w:r>
        <w:rPr>
          <w:rFonts w:hint="default" w:ascii="Times New Roman" w:hAnsi="Times New Roman" w:eastAsia="仿宋" w:cs="Times New Roman"/>
          <w:color w:val="auto"/>
          <w:sz w:val="36"/>
          <w:szCs w:val="36"/>
          <w:highlight w:val="none"/>
          <w:u w:val="single"/>
          <w:vertAlign w:val="baseline"/>
          <w:lang w:eastAsia="zh-CN"/>
        </w:rPr>
        <w:t>年产</w:t>
      </w:r>
    </w:p>
    <w:p w14:paraId="379E9B35">
      <w:pPr>
        <w:pStyle w:val="2"/>
        <w:ind w:left="0" w:leftChars="0" w:firstLine="1800" w:firstLineChars="5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sz w:val="36"/>
          <w:szCs w:val="36"/>
          <w:highlight w:val="none"/>
          <w:u w:val="single"/>
          <w:vertAlign w:val="baseline"/>
          <w:lang w:eastAsia="zh-CN"/>
        </w:rPr>
        <w:t>6000吨地膜项目</w:t>
      </w:r>
      <w:r>
        <w:rPr>
          <w:rFonts w:hint="default" w:ascii="Times New Roman" w:hAnsi="Times New Roman" w:eastAsia="仿宋" w:cs="Times New Roman"/>
          <w:color w:val="auto"/>
          <w:sz w:val="36"/>
          <w:szCs w:val="36"/>
          <w:highlight w:val="none"/>
          <w:u w:val="single"/>
          <w:vertAlign w:val="baseline"/>
          <w:lang w:val="en-US" w:eastAsia="zh-CN"/>
        </w:rPr>
        <w:t xml:space="preserve">                   </w:t>
      </w:r>
    </w:p>
    <w:p w14:paraId="4A04D306">
      <w:pPr>
        <w:rPr>
          <w:rFonts w:hint="default" w:ascii="Times New Roman" w:hAnsi="Times New Roman" w:eastAsia="仿宋" w:cs="Times New Roman"/>
          <w:color w:val="auto"/>
          <w:sz w:val="44"/>
          <w:szCs w:val="44"/>
          <w:highlight w:val="none"/>
        </w:rPr>
      </w:pPr>
      <w:r>
        <w:rPr>
          <w:rFonts w:hint="default" w:ascii="Times New Roman" w:hAnsi="Times New Roman" w:eastAsia="仿宋" w:cs="Times New Roman"/>
          <w:color w:val="auto"/>
          <w:sz w:val="36"/>
          <w:szCs w:val="36"/>
          <w:highlight w:val="none"/>
        </w:rPr>
        <w:t>建设单位（盖章）：</w:t>
      </w:r>
      <w:r>
        <w:rPr>
          <w:rFonts w:hint="default" w:ascii="Times New Roman" w:hAnsi="Times New Roman" w:eastAsia="仿宋" w:cs="Times New Roman"/>
          <w:color w:val="auto"/>
          <w:sz w:val="36"/>
          <w:szCs w:val="36"/>
          <w:highlight w:val="none"/>
          <w:u w:val="single"/>
          <w:vertAlign w:val="baseline"/>
          <w:lang w:eastAsia="zh-CN"/>
        </w:rPr>
        <w:t>新疆凯狮威塑业有限责任公司</w:t>
      </w:r>
    </w:p>
    <w:p w14:paraId="03ED29E8">
      <w:pPr>
        <w:adjustRightInd w:val="0"/>
        <w:snapToGrid w:val="0"/>
        <w:spacing w:line="288" w:lineRule="auto"/>
        <w:jc w:val="left"/>
        <w:rPr>
          <w:rFonts w:hint="default" w:ascii="Times New Roman" w:hAnsi="Times New Roman" w:eastAsia="仿宋" w:cs="Times New Roman"/>
          <w:color w:val="auto"/>
          <w:sz w:val="36"/>
          <w:szCs w:val="36"/>
          <w:highlight w:val="none"/>
          <w:u w:val="single"/>
          <w:lang w:val="en-US" w:eastAsia="zh-CN"/>
        </w:rPr>
      </w:pPr>
      <w:r>
        <w:rPr>
          <w:rFonts w:hint="default" w:ascii="Times New Roman" w:hAnsi="Times New Roman" w:eastAsia="仿宋" w:cs="Times New Roman"/>
          <w:color w:val="auto"/>
          <w:sz w:val="36"/>
          <w:szCs w:val="36"/>
          <w:highlight w:val="none"/>
        </w:rPr>
        <w:t>编制日期：</w:t>
      </w:r>
      <w:r>
        <w:rPr>
          <w:rFonts w:hint="default" w:ascii="Times New Roman" w:hAnsi="Times New Roman" w:eastAsia="仿宋" w:cs="Times New Roman"/>
          <w:color w:val="auto"/>
          <w:sz w:val="36"/>
          <w:szCs w:val="36"/>
          <w:highlight w:val="none"/>
          <w:u w:val="single"/>
          <w:lang w:val="en-US" w:eastAsia="zh-CN"/>
        </w:rPr>
        <w:t xml:space="preserve">           二〇二五年七月                     </w:t>
      </w:r>
    </w:p>
    <w:p w14:paraId="59ABD526">
      <w:pPr>
        <w:outlineLvl w:val="9"/>
        <w:rPr>
          <w:rFonts w:hint="default" w:ascii="Times New Roman" w:hAnsi="Times New Roman" w:cs="Times New Roman" w:eastAsiaTheme="minorEastAsia"/>
          <w:color w:val="auto"/>
          <w:sz w:val="36"/>
          <w:szCs w:val="36"/>
          <w:highlight w:val="none"/>
          <w:u w:val="single"/>
          <w:lang w:val="en-US" w:eastAsia="zh-CN"/>
        </w:rPr>
      </w:pPr>
    </w:p>
    <w:p w14:paraId="38DCE738">
      <w:pPr>
        <w:outlineLvl w:val="9"/>
        <w:rPr>
          <w:rFonts w:hint="default" w:ascii="Times New Roman" w:hAnsi="Times New Roman" w:cs="Times New Roman" w:eastAsiaTheme="minorEastAsia"/>
          <w:color w:val="auto"/>
          <w:sz w:val="36"/>
          <w:szCs w:val="36"/>
          <w:highlight w:val="none"/>
          <w:u w:val="single"/>
          <w:lang w:val="en-US" w:eastAsia="zh-CN"/>
        </w:rPr>
      </w:pPr>
    </w:p>
    <w:p w14:paraId="2717B6F1">
      <w:pPr>
        <w:outlineLvl w:val="9"/>
        <w:rPr>
          <w:rFonts w:hint="default" w:ascii="Times New Roman" w:hAnsi="Times New Roman" w:cs="Times New Roman" w:eastAsiaTheme="minorEastAsia"/>
          <w:color w:val="auto"/>
          <w:sz w:val="36"/>
          <w:szCs w:val="36"/>
          <w:highlight w:val="none"/>
          <w:u w:val="single"/>
          <w:lang w:val="en-US" w:eastAsia="zh-CN"/>
        </w:rPr>
      </w:pPr>
    </w:p>
    <w:p w14:paraId="238E5F35">
      <w:pPr>
        <w:outlineLvl w:val="9"/>
        <w:rPr>
          <w:rFonts w:hint="default" w:ascii="Times New Roman" w:hAnsi="Times New Roman" w:cs="Times New Roman" w:eastAsiaTheme="minorEastAsia"/>
          <w:color w:val="auto"/>
          <w:sz w:val="36"/>
          <w:szCs w:val="36"/>
          <w:highlight w:val="none"/>
          <w:u w:val="single"/>
          <w:lang w:val="en-US" w:eastAsia="zh-CN"/>
        </w:rPr>
      </w:pPr>
    </w:p>
    <w:p w14:paraId="56D7B76A">
      <w:pPr>
        <w:outlineLvl w:val="9"/>
        <w:rPr>
          <w:rFonts w:hint="default" w:ascii="Times New Roman" w:hAnsi="Times New Roman" w:cs="Times New Roman" w:eastAsiaTheme="minorEastAsia"/>
          <w:color w:val="auto"/>
          <w:sz w:val="36"/>
          <w:szCs w:val="36"/>
          <w:highlight w:val="none"/>
          <w:u w:val="single"/>
          <w:lang w:val="en-US" w:eastAsia="zh-CN"/>
        </w:rPr>
      </w:pPr>
    </w:p>
    <w:p w14:paraId="0067D895">
      <w:pPr>
        <w:outlineLvl w:val="9"/>
        <w:rPr>
          <w:rFonts w:hint="default" w:ascii="Times New Roman" w:hAnsi="Times New Roman" w:cs="Times New Roman"/>
          <w:color w:val="auto"/>
          <w:highlight w:val="none"/>
          <w:lang w:eastAsia="zh-CN"/>
        </w:rPr>
      </w:pPr>
    </w:p>
    <w:p w14:paraId="01196F3C">
      <w:pPr>
        <w:adjustRightInd w:val="0"/>
        <w:snapToGrid w:val="0"/>
        <w:spacing w:line="288" w:lineRule="auto"/>
        <w:jc w:val="center"/>
        <w:rPr>
          <w:rFonts w:hint="default" w:ascii="Times New Roman" w:hAnsi="Times New Roman" w:eastAsia="仿宋" w:cs="Times New Roman"/>
          <w:color w:val="auto"/>
          <w:sz w:val="36"/>
          <w:szCs w:val="36"/>
          <w:highlight w:val="none"/>
        </w:rPr>
      </w:pPr>
      <w:r>
        <w:rPr>
          <w:rFonts w:hint="default" w:ascii="Times New Roman" w:hAnsi="Times New Roman" w:eastAsia="仿宋" w:cs="Times New Roman"/>
          <w:color w:val="auto"/>
          <w:sz w:val="36"/>
          <w:szCs w:val="36"/>
          <w:highlight w:val="none"/>
        </w:rPr>
        <w:t>中华人民共和国生态环境部制</w:t>
      </w:r>
    </w:p>
    <w:p w14:paraId="536AB039">
      <w:pPr>
        <w:pStyle w:val="22"/>
        <w:jc w:val="center"/>
        <w:outlineLvl w:val="0"/>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anchor distT="0" distB="0" distL="114300" distR="114300" simplePos="0" relativeHeight="251662336" behindDoc="0" locked="0" layoutInCell="1" allowOverlap="1">
            <wp:simplePos x="0" y="0"/>
            <wp:positionH relativeFrom="column">
              <wp:posOffset>-594995</wp:posOffset>
            </wp:positionH>
            <wp:positionV relativeFrom="paragraph">
              <wp:posOffset>-890905</wp:posOffset>
            </wp:positionV>
            <wp:extent cx="6439535" cy="10368280"/>
            <wp:effectExtent l="0" t="0" r="18415" b="13970"/>
            <wp:wrapNone/>
            <wp:docPr id="3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pic:cNvPicPr>
                      <a:picLocks noChangeAspect="1"/>
                    </pic:cNvPicPr>
                  </pic:nvPicPr>
                  <pic:blipFill>
                    <a:blip r:embed="rId9"/>
                    <a:srcRect l="7557" r="4575"/>
                    <a:stretch>
                      <a:fillRect/>
                    </a:stretch>
                  </pic:blipFill>
                  <pic:spPr>
                    <a:xfrm>
                      <a:off x="0" y="0"/>
                      <a:ext cx="6439535" cy="10368280"/>
                    </a:xfrm>
                    <a:prstGeom prst="rect">
                      <a:avLst/>
                    </a:prstGeom>
                    <a:noFill/>
                    <a:ln>
                      <a:noFill/>
                    </a:ln>
                  </pic:spPr>
                </pic:pic>
              </a:graphicData>
            </a:graphic>
          </wp:anchor>
        </w:drawing>
      </w:r>
    </w:p>
    <w:p w14:paraId="660AE2D9">
      <w:pPr>
        <w:rPr>
          <w:rFonts w:hint="default" w:ascii="Times New Roman" w:hAnsi="Times New Roman" w:cs="Times New Roman"/>
          <w:color w:val="auto"/>
          <w:highlight w:val="none"/>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443EC011">
      <w:pPr>
        <w:pStyle w:val="22"/>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一、建设项目基本情况</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564"/>
        <w:gridCol w:w="1765"/>
        <w:gridCol w:w="2048"/>
        <w:gridCol w:w="2955"/>
      </w:tblGrid>
      <w:tr w14:paraId="3BE31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1564" w:type="dxa"/>
            <w:tcBorders>
              <w:tl2br w:val="nil"/>
              <w:tr2bl w:val="nil"/>
            </w:tcBorders>
            <w:noWrap w:val="0"/>
            <w:tcMar>
              <w:top w:w="16" w:type="dxa"/>
              <w:left w:w="16" w:type="dxa"/>
              <w:right w:w="16" w:type="dxa"/>
            </w:tcMar>
            <w:vAlign w:val="center"/>
          </w:tcPr>
          <w:p w14:paraId="3EA04EB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建设项目名称</w:t>
            </w:r>
          </w:p>
        </w:tc>
        <w:tc>
          <w:tcPr>
            <w:tcW w:w="6768" w:type="dxa"/>
            <w:gridSpan w:val="3"/>
            <w:tcBorders>
              <w:tl2br w:val="nil"/>
              <w:tr2bl w:val="nil"/>
            </w:tcBorders>
            <w:noWrap w:val="0"/>
            <w:vAlign w:val="center"/>
          </w:tcPr>
          <w:p w14:paraId="2B0DA0C9">
            <w:pPr>
              <w:pStyle w:val="22"/>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新疆凯狮威塑业有限责任公司</w:t>
            </w:r>
            <w:r>
              <w:rPr>
                <w:rFonts w:hint="default" w:ascii="Times New Roman" w:hAnsi="Times New Roman" w:cs="Times New Roman"/>
                <w:color w:val="auto"/>
                <w:sz w:val="24"/>
                <w:szCs w:val="24"/>
                <w:highlight w:val="none"/>
                <w:lang w:val="en-US" w:eastAsia="zh-CN"/>
              </w:rPr>
              <w:t>扩建年产6000吨地膜项目</w:t>
            </w:r>
          </w:p>
        </w:tc>
      </w:tr>
      <w:tr w14:paraId="13EA4A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1564" w:type="dxa"/>
            <w:tcBorders>
              <w:tl2br w:val="nil"/>
              <w:tr2bl w:val="nil"/>
            </w:tcBorders>
            <w:noWrap w:val="0"/>
            <w:tcMar>
              <w:top w:w="16" w:type="dxa"/>
              <w:left w:w="16" w:type="dxa"/>
              <w:right w:w="16" w:type="dxa"/>
            </w:tcMar>
            <w:vAlign w:val="center"/>
          </w:tcPr>
          <w:p w14:paraId="243F841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6768" w:type="dxa"/>
            <w:gridSpan w:val="3"/>
            <w:tcBorders>
              <w:tl2br w:val="nil"/>
              <w:tr2bl w:val="nil"/>
            </w:tcBorders>
            <w:noWrap w:val="0"/>
            <w:vAlign w:val="center"/>
          </w:tcPr>
          <w:p w14:paraId="2885A0D7">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2509-652301-20-01-531630</w:t>
            </w:r>
          </w:p>
        </w:tc>
      </w:tr>
      <w:tr w14:paraId="0639E1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1564" w:type="dxa"/>
            <w:tcBorders>
              <w:tl2br w:val="nil"/>
              <w:tr2bl w:val="nil"/>
            </w:tcBorders>
            <w:noWrap w:val="0"/>
            <w:tcMar>
              <w:top w:w="16" w:type="dxa"/>
              <w:left w:w="16" w:type="dxa"/>
              <w:right w:w="16" w:type="dxa"/>
            </w:tcMar>
            <w:vAlign w:val="center"/>
          </w:tcPr>
          <w:p w14:paraId="2AA1BB5A">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建设单位联系人</w:t>
            </w:r>
          </w:p>
        </w:tc>
        <w:tc>
          <w:tcPr>
            <w:tcW w:w="1765" w:type="dxa"/>
            <w:tcBorders>
              <w:tl2br w:val="nil"/>
              <w:tr2bl w:val="nil"/>
            </w:tcBorders>
            <w:noWrap w:val="0"/>
            <w:vAlign w:val="center"/>
          </w:tcPr>
          <w:p w14:paraId="3067B07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p>
        </w:tc>
        <w:tc>
          <w:tcPr>
            <w:tcW w:w="2048" w:type="dxa"/>
            <w:tcBorders>
              <w:tl2br w:val="nil"/>
              <w:tr2bl w:val="nil"/>
            </w:tcBorders>
            <w:noWrap w:val="0"/>
            <w:vAlign w:val="center"/>
          </w:tcPr>
          <w:p w14:paraId="76C3FC32">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联系方式</w:t>
            </w:r>
          </w:p>
        </w:tc>
        <w:tc>
          <w:tcPr>
            <w:tcW w:w="2955" w:type="dxa"/>
            <w:tcBorders>
              <w:tl2br w:val="nil"/>
              <w:tr2bl w:val="nil"/>
            </w:tcBorders>
            <w:noWrap w:val="0"/>
            <w:vAlign w:val="center"/>
          </w:tcPr>
          <w:p w14:paraId="3B017219">
            <w:pPr>
              <w:pStyle w:val="22"/>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w:t>
            </w:r>
          </w:p>
        </w:tc>
      </w:tr>
      <w:tr w14:paraId="348AA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4" w:type="dxa"/>
            <w:tcBorders>
              <w:tl2br w:val="nil"/>
              <w:tr2bl w:val="nil"/>
            </w:tcBorders>
            <w:noWrap w:val="0"/>
            <w:tcMar>
              <w:top w:w="16" w:type="dxa"/>
              <w:left w:w="16" w:type="dxa"/>
              <w:right w:w="16" w:type="dxa"/>
            </w:tcMar>
            <w:vAlign w:val="center"/>
          </w:tcPr>
          <w:p w14:paraId="16FB157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6768" w:type="dxa"/>
            <w:gridSpan w:val="3"/>
            <w:tcBorders>
              <w:tl2br w:val="nil"/>
              <w:tr2bl w:val="nil"/>
            </w:tcBorders>
            <w:noWrap w:val="0"/>
            <w:vAlign w:val="center"/>
          </w:tcPr>
          <w:p w14:paraId="55609A26">
            <w:pPr>
              <w:pStyle w:val="22"/>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lang w:val="en-US" w:eastAsia="zh-CN"/>
              </w:rPr>
              <w:t>新疆维吾尔自治区</w:t>
            </w:r>
            <w:r>
              <w:rPr>
                <w:rFonts w:hint="default" w:ascii="Times New Roman" w:hAnsi="Times New Roman" w:cs="Times New Roman"/>
                <w:color w:val="auto"/>
                <w:sz w:val="24"/>
                <w:szCs w:val="24"/>
                <w:highlight w:val="none"/>
              </w:rPr>
              <w:t>昌吉回族自治州</w:t>
            </w:r>
            <w:r>
              <w:rPr>
                <w:rFonts w:hint="default" w:ascii="Times New Roman" w:hAnsi="Times New Roman" w:eastAsia="宋体" w:cs="Times New Roman"/>
                <w:color w:val="auto"/>
                <w:sz w:val="24"/>
                <w:highlight w:val="none"/>
                <w:lang w:val="en-US" w:eastAsia="zh-CN"/>
              </w:rPr>
              <w:t>昌吉市六工镇</w:t>
            </w:r>
            <w:r>
              <w:rPr>
                <w:rFonts w:hint="default" w:ascii="Times New Roman" w:hAnsi="Times New Roman" w:cs="Times New Roman"/>
                <w:color w:val="auto"/>
                <w:sz w:val="24"/>
                <w:szCs w:val="24"/>
                <w:highlight w:val="none"/>
                <w:lang w:eastAsia="zh-CN"/>
              </w:rPr>
              <w:t>新疆凯狮威塑业有限责任公司</w:t>
            </w:r>
            <w:r>
              <w:rPr>
                <w:rFonts w:hint="default" w:ascii="Times New Roman" w:hAnsi="Times New Roman" w:cs="Times New Roman"/>
                <w:color w:val="auto"/>
                <w:sz w:val="24"/>
                <w:szCs w:val="24"/>
                <w:highlight w:val="none"/>
                <w:lang w:val="en-US" w:eastAsia="zh-CN"/>
              </w:rPr>
              <w:t>院内</w:t>
            </w:r>
          </w:p>
        </w:tc>
      </w:tr>
      <w:tr w14:paraId="5EB76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4" w:type="dxa"/>
            <w:tcBorders>
              <w:tl2br w:val="nil"/>
              <w:tr2bl w:val="nil"/>
            </w:tcBorders>
            <w:noWrap w:val="0"/>
            <w:tcMar>
              <w:top w:w="16" w:type="dxa"/>
              <w:left w:w="16" w:type="dxa"/>
              <w:right w:w="16" w:type="dxa"/>
            </w:tcMar>
            <w:vAlign w:val="center"/>
          </w:tcPr>
          <w:p w14:paraId="1C2CA40B">
            <w:pP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6768" w:type="dxa"/>
            <w:gridSpan w:val="3"/>
            <w:tcBorders>
              <w:tl2br w:val="nil"/>
              <w:tr2bl w:val="nil"/>
            </w:tcBorders>
            <w:noWrap w:val="0"/>
            <w:vAlign w:val="center"/>
          </w:tcPr>
          <w:p w14:paraId="5A8E4309">
            <w:pP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东经</w:t>
            </w:r>
            <w:r>
              <w:rPr>
                <w:rFonts w:hint="eastAsia" w:ascii="Times New Roman" w:hAnsi="Times New Roman" w:cs="Times New Roman"/>
                <w:color w:val="auto"/>
                <w:sz w:val="24"/>
                <w:szCs w:val="24"/>
                <w:highlight w:val="none"/>
                <w:lang w:val="en-US" w:eastAsia="zh-CN"/>
              </w:rPr>
              <w:t>：</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，北纬：</w:t>
            </w:r>
            <w:r>
              <w:rPr>
                <w:rFonts w:hint="eastAsia" w:ascii="Times New Roman" w:hAnsi="Times New Roman" w:cs="Times New Roman"/>
                <w:color w:val="auto"/>
                <w:sz w:val="24"/>
                <w:szCs w:val="24"/>
                <w:highlight w:val="none"/>
                <w:lang w:val="en-US" w:eastAsia="zh-CN"/>
              </w:rPr>
              <w:t>****</w:t>
            </w:r>
          </w:p>
        </w:tc>
      </w:tr>
      <w:tr w14:paraId="71649C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96" w:hRule="atLeast"/>
          <w:jc w:val="center"/>
        </w:trPr>
        <w:tc>
          <w:tcPr>
            <w:tcW w:w="1564" w:type="dxa"/>
            <w:tcBorders>
              <w:tl2br w:val="nil"/>
              <w:tr2bl w:val="nil"/>
            </w:tcBorders>
            <w:noWrap w:val="0"/>
            <w:tcMar>
              <w:top w:w="16" w:type="dxa"/>
              <w:left w:w="16" w:type="dxa"/>
              <w:right w:w="16" w:type="dxa"/>
            </w:tcMar>
            <w:vAlign w:val="center"/>
          </w:tcPr>
          <w:p w14:paraId="59D32FAF">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14:paraId="43BADF2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1765" w:type="dxa"/>
            <w:tcBorders>
              <w:tl2br w:val="nil"/>
              <w:tr2bl w:val="nil"/>
            </w:tcBorders>
            <w:noWrap w:val="0"/>
            <w:vAlign w:val="center"/>
          </w:tcPr>
          <w:p w14:paraId="74C025DB">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C2921塑料薄膜制造</w:t>
            </w:r>
          </w:p>
        </w:tc>
        <w:tc>
          <w:tcPr>
            <w:tcW w:w="2048" w:type="dxa"/>
            <w:tcBorders>
              <w:tl2br w:val="nil"/>
              <w:tr2bl w:val="nil"/>
            </w:tcBorders>
            <w:noWrap w:val="0"/>
            <w:vAlign w:val="center"/>
          </w:tcPr>
          <w:p w14:paraId="0C462014">
            <w:pPr>
              <w:adjustRightInd w:val="0"/>
              <w:snapToGrid w:val="0"/>
              <w:jc w:val="center"/>
              <w:rPr>
                <w:rFonts w:hint="default" w:ascii="Times New Roman" w:hAnsi="Times New Roman" w:cs="Times New Roman"/>
                <w:color w:val="auto"/>
                <w:sz w:val="24"/>
                <w:szCs w:val="24"/>
                <w:highlight w:val="none"/>
              </w:rPr>
            </w:pPr>
            <w:bookmarkStart w:id="0" w:name="_Hlk49843745"/>
            <w:r>
              <w:rPr>
                <w:rFonts w:hint="default" w:ascii="Times New Roman" w:hAnsi="Times New Roman" w:cs="Times New Roman"/>
                <w:color w:val="auto"/>
                <w:sz w:val="24"/>
                <w:szCs w:val="24"/>
                <w:highlight w:val="none"/>
              </w:rPr>
              <w:t>建设项目</w:t>
            </w:r>
          </w:p>
          <w:p w14:paraId="7141D569">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bookmarkEnd w:id="0"/>
          </w:p>
        </w:tc>
        <w:tc>
          <w:tcPr>
            <w:tcW w:w="2955" w:type="dxa"/>
            <w:tcBorders>
              <w:tl2br w:val="nil"/>
              <w:tr2bl w:val="nil"/>
            </w:tcBorders>
            <w:noWrap w:val="0"/>
            <w:vAlign w:val="center"/>
          </w:tcPr>
          <w:p w14:paraId="627782F6">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二十六、橡胶和塑料制品业</w:t>
            </w:r>
          </w:p>
          <w:p w14:paraId="38D6187D">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29-53-塑料制品业292-其他</w:t>
            </w:r>
          </w:p>
          <w:p w14:paraId="0424C9CC">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（年用非溶剂型低</w:t>
            </w:r>
            <w:r>
              <w:rPr>
                <w:rFonts w:hint="default" w:ascii="Times New Roman" w:hAnsi="Times New Roman" w:cs="Times New Roman"/>
                <w:color w:val="auto"/>
                <w:sz w:val="24"/>
                <w:szCs w:val="24"/>
                <w:highlight w:val="none"/>
                <w:lang w:val="en-US" w:eastAsia="zh-CN"/>
              </w:rPr>
              <w:t>VOCs（以非甲烷总烃计）</w:t>
            </w:r>
            <w:r>
              <w:rPr>
                <w:rFonts w:hint="default" w:ascii="Times New Roman" w:hAnsi="Times New Roman" w:eastAsia="宋体" w:cs="Times New Roman"/>
                <w:color w:val="auto"/>
                <w:sz w:val="24"/>
                <w:szCs w:val="24"/>
                <w:highlight w:val="none"/>
                <w:lang w:val="en-US" w:eastAsia="zh-CN"/>
              </w:rPr>
              <w:t>含</w:t>
            </w:r>
          </w:p>
          <w:p w14:paraId="4AF19EF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量涂料10吨以下的除外）</w:t>
            </w:r>
          </w:p>
        </w:tc>
      </w:tr>
      <w:tr w14:paraId="4D291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564" w:type="dxa"/>
            <w:tcBorders>
              <w:tl2br w:val="nil"/>
              <w:tr2bl w:val="nil"/>
            </w:tcBorders>
            <w:noWrap w:val="0"/>
            <w:tcMar>
              <w:top w:w="16" w:type="dxa"/>
              <w:left w:w="16" w:type="dxa"/>
              <w:right w:w="16" w:type="dxa"/>
            </w:tcMar>
            <w:vAlign w:val="center"/>
          </w:tcPr>
          <w:p w14:paraId="26BA5EC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1765" w:type="dxa"/>
            <w:tcBorders>
              <w:tl2br w:val="nil"/>
              <w:tr2bl w:val="nil"/>
            </w:tcBorders>
            <w:noWrap w:val="0"/>
            <w:vAlign w:val="center"/>
          </w:tcPr>
          <w:p w14:paraId="73CA1CF7">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新建</w:t>
            </w:r>
          </w:p>
          <w:p w14:paraId="47703BBD">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改建</w:t>
            </w:r>
          </w:p>
          <w:p w14:paraId="3F9620D2">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扩建</w:t>
            </w:r>
          </w:p>
          <w:p w14:paraId="7A61FA6D">
            <w:pPr>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技术改造</w:t>
            </w:r>
          </w:p>
        </w:tc>
        <w:tc>
          <w:tcPr>
            <w:tcW w:w="2048" w:type="dxa"/>
            <w:tcBorders>
              <w:tl2br w:val="nil"/>
              <w:tr2bl w:val="nil"/>
            </w:tcBorders>
            <w:noWrap w:val="0"/>
            <w:vAlign w:val="center"/>
          </w:tcPr>
          <w:p w14:paraId="1BA1736E">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14:paraId="0ABA19C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2955" w:type="dxa"/>
            <w:tcBorders>
              <w:tl2br w:val="nil"/>
              <w:tr2bl w:val="nil"/>
            </w:tcBorders>
            <w:noWrap w:val="0"/>
            <w:vAlign w:val="center"/>
          </w:tcPr>
          <w:p w14:paraId="65414030">
            <w:pPr>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sym w:font="Wingdings" w:char="00FE"/>
            </w:r>
            <w:r>
              <w:rPr>
                <w:rFonts w:hint="default" w:ascii="Times New Roman" w:hAnsi="Times New Roman" w:cs="Times New Roman"/>
                <w:color w:val="auto"/>
                <w:sz w:val="24"/>
                <w:szCs w:val="24"/>
                <w:highlight w:val="none"/>
              </w:rPr>
              <w:t>首次申报项目</w:t>
            </w:r>
          </w:p>
          <w:p w14:paraId="056953DF">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□不予批准后再次申报项目</w:t>
            </w:r>
          </w:p>
          <w:p w14:paraId="1E704AEB">
            <w:pPr>
              <w:jc w:val="both"/>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sym w:font="Wingdings" w:char="00A8"/>
            </w:r>
            <w:r>
              <w:rPr>
                <w:rFonts w:hint="default" w:ascii="Times New Roman" w:hAnsi="Times New Roman" w:cs="Times New Roman"/>
                <w:color w:val="auto"/>
                <w:sz w:val="24"/>
                <w:szCs w:val="24"/>
                <w:highlight w:val="none"/>
              </w:rPr>
              <w:t>超五年重新审核项目</w:t>
            </w:r>
          </w:p>
          <w:p w14:paraId="53EEB56F">
            <w:pPr>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重大变动重新报批项目</w:t>
            </w:r>
          </w:p>
        </w:tc>
      </w:tr>
      <w:tr w14:paraId="6927E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120" w:hRule="atLeast"/>
          <w:jc w:val="center"/>
        </w:trPr>
        <w:tc>
          <w:tcPr>
            <w:tcW w:w="1564" w:type="dxa"/>
            <w:tcBorders>
              <w:tl2br w:val="nil"/>
              <w:tr2bl w:val="nil"/>
            </w:tcBorders>
            <w:noWrap w:val="0"/>
            <w:tcMar>
              <w:top w:w="16" w:type="dxa"/>
              <w:left w:w="16" w:type="dxa"/>
              <w:right w:w="16" w:type="dxa"/>
            </w:tcMar>
            <w:vAlign w:val="center"/>
          </w:tcPr>
          <w:p w14:paraId="60478FBA">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4434AC7B">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备案）部门（选填）</w:t>
            </w:r>
          </w:p>
        </w:tc>
        <w:tc>
          <w:tcPr>
            <w:tcW w:w="1765" w:type="dxa"/>
            <w:tcBorders>
              <w:tl2br w:val="nil"/>
              <w:tr2bl w:val="nil"/>
            </w:tcBorders>
            <w:noWrap w:val="0"/>
            <w:vAlign w:val="center"/>
          </w:tcPr>
          <w:p w14:paraId="1F4ACB08">
            <w:pPr>
              <w:pStyle w:val="22"/>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2048" w:type="dxa"/>
            <w:tcBorders>
              <w:tl2br w:val="nil"/>
              <w:tr2bl w:val="nil"/>
            </w:tcBorders>
            <w:noWrap w:val="0"/>
            <w:vAlign w:val="center"/>
          </w:tcPr>
          <w:p w14:paraId="42A5015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w:t>
            </w:r>
          </w:p>
          <w:p w14:paraId="73BB1493">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备案）文号（选填）</w:t>
            </w:r>
          </w:p>
        </w:tc>
        <w:tc>
          <w:tcPr>
            <w:tcW w:w="2955" w:type="dxa"/>
            <w:tcBorders>
              <w:tl2br w:val="nil"/>
              <w:tr2bl w:val="nil"/>
            </w:tcBorders>
            <w:noWrap w:val="0"/>
            <w:vAlign w:val="center"/>
          </w:tcPr>
          <w:p w14:paraId="699E7D77">
            <w:pPr>
              <w:pStyle w:val="22"/>
              <w:keepNext w:val="0"/>
              <w:keepLines w:val="0"/>
              <w:widowControl/>
              <w:suppressLineNumbers w:val="0"/>
              <w:spacing w:before="0" w:beforeAutospacing="0" w:after="0" w:afterAutospacing="0"/>
              <w:ind w:left="0" w:right="0" w:firstLine="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highlight w:val="none"/>
                <w:lang w:val="en-US" w:eastAsia="zh-CN"/>
              </w:rPr>
              <w:t>昌商工信技备〔2025〕6号</w:t>
            </w:r>
          </w:p>
        </w:tc>
      </w:tr>
      <w:tr w14:paraId="72A174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81" w:hRule="atLeast"/>
          <w:jc w:val="center"/>
        </w:trPr>
        <w:tc>
          <w:tcPr>
            <w:tcW w:w="1564" w:type="dxa"/>
            <w:tcBorders>
              <w:tl2br w:val="nil"/>
              <w:tr2bl w:val="nil"/>
            </w:tcBorders>
            <w:noWrap w:val="0"/>
            <w:tcMar>
              <w:top w:w="16" w:type="dxa"/>
              <w:left w:w="16" w:type="dxa"/>
              <w:right w:w="16" w:type="dxa"/>
            </w:tcMar>
            <w:vAlign w:val="center"/>
          </w:tcPr>
          <w:p w14:paraId="3DB54192">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1765" w:type="dxa"/>
            <w:tcBorders>
              <w:tl2br w:val="nil"/>
              <w:tr2bl w:val="nil"/>
            </w:tcBorders>
            <w:noWrap w:val="0"/>
            <w:vAlign w:val="center"/>
          </w:tcPr>
          <w:p w14:paraId="174E4D5B">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1360</w:t>
            </w:r>
          </w:p>
        </w:tc>
        <w:tc>
          <w:tcPr>
            <w:tcW w:w="2048" w:type="dxa"/>
            <w:tcBorders>
              <w:tl2br w:val="nil"/>
              <w:tr2bl w:val="nil"/>
            </w:tcBorders>
            <w:noWrap w:val="0"/>
            <w:tcMar>
              <w:top w:w="16" w:type="dxa"/>
              <w:left w:w="16" w:type="dxa"/>
              <w:right w:w="16" w:type="dxa"/>
            </w:tcMar>
            <w:vAlign w:val="center"/>
          </w:tcPr>
          <w:p w14:paraId="78AEED8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955" w:type="dxa"/>
            <w:tcBorders>
              <w:tl2br w:val="nil"/>
              <w:tr2bl w:val="nil"/>
            </w:tcBorders>
            <w:noWrap w:val="0"/>
            <w:vAlign w:val="center"/>
          </w:tcPr>
          <w:p w14:paraId="554DD81B">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27</w:t>
            </w:r>
          </w:p>
        </w:tc>
      </w:tr>
      <w:tr w14:paraId="5D0D2C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564" w:type="dxa"/>
            <w:tcBorders>
              <w:tl2br w:val="nil"/>
              <w:tr2bl w:val="nil"/>
            </w:tcBorders>
            <w:noWrap w:val="0"/>
            <w:tcMar>
              <w:top w:w="16" w:type="dxa"/>
              <w:left w:w="16" w:type="dxa"/>
              <w:right w:w="16" w:type="dxa"/>
            </w:tcMar>
            <w:vAlign w:val="center"/>
          </w:tcPr>
          <w:p w14:paraId="1337B0C3">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1765" w:type="dxa"/>
            <w:tcBorders>
              <w:tl2br w:val="nil"/>
              <w:tr2bl w:val="nil"/>
            </w:tcBorders>
            <w:noWrap w:val="0"/>
            <w:vAlign w:val="center"/>
          </w:tcPr>
          <w:p w14:paraId="2A30213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1.985</w:t>
            </w:r>
          </w:p>
        </w:tc>
        <w:tc>
          <w:tcPr>
            <w:tcW w:w="2048" w:type="dxa"/>
            <w:tcBorders>
              <w:tl2br w:val="nil"/>
              <w:tr2bl w:val="nil"/>
            </w:tcBorders>
            <w:noWrap w:val="0"/>
            <w:tcMar>
              <w:top w:w="16" w:type="dxa"/>
              <w:left w:w="16" w:type="dxa"/>
              <w:right w:w="16" w:type="dxa"/>
            </w:tcMar>
            <w:vAlign w:val="center"/>
          </w:tcPr>
          <w:p w14:paraId="5DD6F61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2955" w:type="dxa"/>
            <w:tcBorders>
              <w:tl2br w:val="nil"/>
              <w:tr2bl w:val="nil"/>
            </w:tcBorders>
            <w:noWrap w:val="0"/>
            <w:vAlign w:val="center"/>
          </w:tcPr>
          <w:p w14:paraId="69C95C6E">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r>
      <w:tr w14:paraId="285C41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61" w:hRule="atLeast"/>
          <w:jc w:val="center"/>
        </w:trPr>
        <w:tc>
          <w:tcPr>
            <w:tcW w:w="1564" w:type="dxa"/>
            <w:tcBorders>
              <w:tl2br w:val="nil"/>
              <w:tr2bl w:val="nil"/>
            </w:tcBorders>
            <w:noWrap w:val="0"/>
            <w:tcMar>
              <w:top w:w="16" w:type="dxa"/>
              <w:left w:w="16" w:type="dxa"/>
              <w:right w:w="16" w:type="dxa"/>
            </w:tcMar>
            <w:vAlign w:val="center"/>
          </w:tcPr>
          <w:p w14:paraId="53198F0D">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1765" w:type="dxa"/>
            <w:tcBorders>
              <w:tl2br w:val="nil"/>
              <w:tr2bl w:val="nil"/>
            </w:tcBorders>
            <w:noWrap w:val="0"/>
            <w:vAlign w:val="center"/>
          </w:tcPr>
          <w:p w14:paraId="314A1A75">
            <w:pPr>
              <w:adjustRightInd w:val="0"/>
              <w:snapToGrid w:val="0"/>
              <w:jc w:val="both"/>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sym w:font="Wingdings" w:char="00FE"/>
            </w:r>
            <w:r>
              <w:rPr>
                <w:rFonts w:hint="default" w:ascii="Times New Roman" w:hAnsi="Times New Roman" w:cs="Times New Roman"/>
                <w:color w:val="auto"/>
                <w:sz w:val="24"/>
                <w:szCs w:val="24"/>
                <w:highlight w:val="none"/>
              </w:rPr>
              <w:t>否</w:t>
            </w:r>
          </w:p>
          <w:p w14:paraId="24044995">
            <w:pPr>
              <w:keepNext w:val="0"/>
              <w:keepLines w:val="0"/>
              <w:widowControl/>
              <w:suppressLineNumbers w:val="0"/>
              <w:jc w:val="both"/>
              <w:rPr>
                <w:rFonts w:hint="default" w:ascii="Times New Roman" w:hAnsi="Times New Roman" w:eastAsia="宋体" w:cs="Times New Roman"/>
                <w:color w:val="auto"/>
                <w:sz w:val="24"/>
                <w:szCs w:val="24"/>
                <w:highlight w:val="none"/>
                <w:u w:val="single"/>
                <w:lang w:val="en-US" w:eastAsia="zh-CN"/>
              </w:rPr>
            </w:pPr>
            <w:r>
              <w:rPr>
                <w:rFonts w:hint="default" w:ascii="Times New Roman" w:hAnsi="Times New Roman" w:cs="Times New Roman"/>
                <w:color w:val="auto"/>
                <w:sz w:val="24"/>
                <w:szCs w:val="24"/>
                <w:highlight w:val="none"/>
                <w:lang w:eastAsia="zh-CN"/>
              </w:rPr>
              <w:sym w:font="Wingdings" w:char="00A8"/>
            </w:r>
            <w:r>
              <w:rPr>
                <w:rFonts w:hint="default" w:ascii="Times New Roman" w:hAnsi="Times New Roman" w:cs="Times New Roman"/>
                <w:color w:val="auto"/>
                <w:sz w:val="24"/>
                <w:szCs w:val="24"/>
                <w:highlight w:val="none"/>
              </w:rPr>
              <w:t>是</w:t>
            </w:r>
          </w:p>
        </w:tc>
        <w:tc>
          <w:tcPr>
            <w:tcW w:w="2048" w:type="dxa"/>
            <w:tcBorders>
              <w:tl2br w:val="nil"/>
              <w:tr2bl w:val="nil"/>
            </w:tcBorders>
            <w:noWrap w:val="0"/>
            <w:tcMar>
              <w:top w:w="16" w:type="dxa"/>
              <w:left w:w="16" w:type="dxa"/>
              <w:right w:w="16" w:type="dxa"/>
            </w:tcMar>
            <w:vAlign w:val="center"/>
          </w:tcPr>
          <w:p w14:paraId="4F3762E4">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rPr>
              <w:t>用地（用海）面积（m</w:t>
            </w:r>
            <w:r>
              <w:rPr>
                <w:rFonts w:hint="default" w:ascii="Times New Roman" w:hAnsi="Times New Roman" w:cs="Times New Roman"/>
                <w:color w:val="auto"/>
                <w:spacing w:val="-6"/>
                <w:sz w:val="24"/>
                <w:szCs w:val="24"/>
                <w:highlight w:val="none"/>
                <w:vertAlign w:val="superscript"/>
              </w:rPr>
              <w:t>2</w:t>
            </w:r>
            <w:r>
              <w:rPr>
                <w:rFonts w:hint="default" w:ascii="Times New Roman" w:hAnsi="Times New Roman" w:cs="Times New Roman"/>
                <w:color w:val="auto"/>
                <w:spacing w:val="-6"/>
                <w:sz w:val="24"/>
                <w:szCs w:val="24"/>
                <w:highlight w:val="none"/>
              </w:rPr>
              <w:t>）</w:t>
            </w:r>
          </w:p>
        </w:tc>
        <w:tc>
          <w:tcPr>
            <w:tcW w:w="2955" w:type="dxa"/>
            <w:tcBorders>
              <w:tl2br w:val="nil"/>
              <w:tr2bl w:val="nil"/>
            </w:tcBorders>
            <w:noWrap w:val="0"/>
            <w:vAlign w:val="center"/>
          </w:tcPr>
          <w:p w14:paraId="0E38CCA6">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4000</w:t>
            </w:r>
          </w:p>
          <w:p w14:paraId="10530977">
            <w:pPr>
              <w:keepNext w:val="0"/>
              <w:keepLines w:val="0"/>
              <w:pageBreakBefore w:val="0"/>
              <w:widowControl w:val="0"/>
              <w:kinsoku/>
              <w:wordWrap/>
              <w:overflowPunct/>
              <w:topLinePunct w:val="0"/>
              <w:autoSpaceDE/>
              <w:autoSpaceDN/>
              <w:bidi w:val="0"/>
              <w:adjustRightInd/>
              <w:snapToGrid/>
              <w:ind w:firstLine="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（不新增用地）</w:t>
            </w:r>
          </w:p>
        </w:tc>
      </w:tr>
      <w:tr w14:paraId="02EA3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1564" w:type="dxa"/>
            <w:tcBorders>
              <w:tl2br w:val="nil"/>
              <w:tr2bl w:val="nil"/>
            </w:tcBorders>
            <w:noWrap w:val="0"/>
            <w:vAlign w:val="center"/>
          </w:tcPr>
          <w:p w14:paraId="40DFCE54">
            <w:pPr>
              <w:autoSpaceDE w:val="0"/>
              <w:autoSpaceDN w:val="0"/>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专项评价设置情况</w:t>
            </w:r>
          </w:p>
        </w:tc>
        <w:tc>
          <w:tcPr>
            <w:tcW w:w="6768" w:type="dxa"/>
            <w:gridSpan w:val="3"/>
            <w:tcBorders>
              <w:tl2br w:val="nil"/>
              <w:tr2bl w:val="nil"/>
            </w:tcBorders>
            <w:noWrap w:val="0"/>
            <w:vAlign w:val="center"/>
          </w:tcPr>
          <w:p w14:paraId="0E09D774">
            <w:pPr>
              <w:autoSpaceDE w:val="0"/>
              <w:autoSpaceDN w:val="0"/>
              <w:adjustRightInd w:val="0"/>
              <w:snapToGrid w:val="0"/>
              <w:jc w:val="center"/>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不设置</w:t>
            </w:r>
          </w:p>
        </w:tc>
      </w:tr>
      <w:tr w14:paraId="79F27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1564" w:type="dxa"/>
            <w:tcBorders>
              <w:tl2br w:val="nil"/>
              <w:tr2bl w:val="nil"/>
            </w:tcBorders>
            <w:noWrap w:val="0"/>
            <w:vAlign w:val="center"/>
          </w:tcPr>
          <w:p w14:paraId="63315B76">
            <w:pPr>
              <w:keepNext w:val="0"/>
              <w:keepLines w:val="0"/>
              <w:pageBreakBefore w:val="0"/>
              <w:kinsoku/>
              <w:wordWrap/>
              <w:overflowPunct/>
              <w:topLinePunct w:val="0"/>
              <w:autoSpaceDE w:val="0"/>
              <w:autoSpaceDN w:val="0"/>
              <w:bidi w:val="0"/>
              <w:adjustRightInd w:val="0"/>
              <w:snapToGrid w:val="0"/>
              <w:spacing w:line="360" w:lineRule="auto"/>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规划情况</w:t>
            </w:r>
          </w:p>
        </w:tc>
        <w:tc>
          <w:tcPr>
            <w:tcW w:w="6768" w:type="dxa"/>
            <w:gridSpan w:val="3"/>
            <w:tcBorders>
              <w:tl2br w:val="nil"/>
              <w:tr2bl w:val="nil"/>
            </w:tcBorders>
            <w:noWrap w:val="0"/>
            <w:vAlign w:val="center"/>
          </w:tcPr>
          <w:p w14:paraId="039B0630">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lang w:val="en-US" w:eastAsia="zh-CN"/>
              </w:rPr>
              <w:t>规划名称：</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昌吉</w:t>
            </w:r>
            <w:r>
              <w:rPr>
                <w:rFonts w:hint="eastAsia" w:ascii="Times New Roman" w:hAnsi="Times New Roman" w:cs="Times New Roman"/>
                <w:color w:val="auto"/>
                <w:sz w:val="24"/>
                <w:szCs w:val="24"/>
                <w:highlight w:val="none"/>
                <w:lang w:val="en-US" w:eastAsia="zh-CN"/>
              </w:rPr>
              <w:t>市</w:t>
            </w:r>
            <w:r>
              <w:rPr>
                <w:rFonts w:hint="default" w:ascii="Times New Roman" w:hAnsi="Times New Roman" w:cs="Times New Roman"/>
                <w:color w:val="auto"/>
                <w:sz w:val="24"/>
                <w:szCs w:val="24"/>
                <w:highlight w:val="none"/>
              </w:rPr>
              <w:t>国土空间总体规划</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（2021-2035年）</w:t>
            </w:r>
          </w:p>
          <w:p w14:paraId="221E7B38">
            <w:pPr>
              <w:pStyle w:val="31"/>
              <w:keepNext w:val="0"/>
              <w:keepLines w:val="0"/>
              <w:pageBreakBefore w:val="0"/>
              <w:widowControl w:val="0"/>
              <w:kinsoku/>
              <w:wordWrap/>
              <w:overflowPunct/>
              <w:topLinePunct w:val="0"/>
              <w:bidi w:val="0"/>
              <w:spacing w:line="36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highlight w:val="none"/>
                <w:lang w:val="en-US" w:eastAsia="zh-CN"/>
              </w:rPr>
              <w:t>审批机关：</w:t>
            </w:r>
            <w:r>
              <w:rPr>
                <w:rFonts w:hint="default" w:ascii="Times New Roman" w:hAnsi="Times New Roman" w:cs="Times New Roman"/>
                <w:color w:val="auto"/>
                <w:highlight w:val="none"/>
                <w:lang w:val="en-US" w:eastAsia="zh-CN"/>
              </w:rPr>
              <w:t>新疆维吾尔自治区人民政府</w:t>
            </w:r>
          </w:p>
          <w:p w14:paraId="7A77CBB6">
            <w:pPr>
              <w:keepNext w:val="0"/>
              <w:keepLines w:val="0"/>
              <w:pageBreakBefore w:val="0"/>
              <w:widowControl w:val="0"/>
              <w:kinsoku/>
              <w:wordWrap/>
              <w:overflowPunct/>
              <w:topLinePunct w:val="0"/>
              <w:bidi w:val="0"/>
              <w:spacing w:line="36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sz w:val="24"/>
                <w:szCs w:val="24"/>
                <w:highlight w:val="none"/>
                <w:lang w:val="en-US" w:eastAsia="zh-CN"/>
              </w:rPr>
              <w:t>审批文号：</w:t>
            </w:r>
            <w:r>
              <w:rPr>
                <w:rFonts w:hint="default" w:ascii="Times New Roman" w:hAnsi="Times New Roman" w:cs="Times New Roman"/>
                <w:b w:val="0"/>
                <w:bCs w:val="0"/>
                <w:color w:val="auto"/>
                <w:sz w:val="24"/>
                <w:szCs w:val="24"/>
                <w:highlight w:val="none"/>
                <w:lang w:val="en-US" w:eastAsia="zh-CN"/>
              </w:rPr>
              <w:t>新疆维吾尔自治区人民政府关于《昌吉市国土空间总体规划(2021-2035年)》的批复（</w:t>
            </w:r>
            <w:r>
              <w:rPr>
                <w:rFonts w:hint="default" w:ascii="Times New Roman" w:hAnsi="Times New Roman" w:eastAsia="宋体" w:cs="Times New Roman"/>
                <w:b w:val="0"/>
                <w:bCs w:val="0"/>
                <w:color w:val="auto"/>
                <w:kern w:val="2"/>
                <w:sz w:val="24"/>
                <w:szCs w:val="24"/>
                <w:highlight w:val="none"/>
                <w:lang w:val="en-US" w:eastAsia="zh-CN" w:bidi="ar-SA"/>
              </w:rPr>
              <w:t>新政函〔2024〕137号</w:t>
            </w:r>
            <w:r>
              <w:rPr>
                <w:rFonts w:hint="default" w:ascii="Times New Roman" w:hAnsi="Times New Roman" w:cs="Times New Roman"/>
                <w:b w:val="0"/>
                <w:bCs w:val="0"/>
                <w:color w:val="auto"/>
                <w:kern w:val="2"/>
                <w:sz w:val="24"/>
                <w:szCs w:val="24"/>
                <w:highlight w:val="none"/>
                <w:lang w:val="en-US" w:eastAsia="zh-CN" w:bidi="ar-SA"/>
              </w:rPr>
              <w:t>）</w:t>
            </w:r>
          </w:p>
        </w:tc>
      </w:tr>
      <w:tr w14:paraId="26159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64" w:type="dxa"/>
            <w:tcBorders>
              <w:tl2br w:val="nil"/>
              <w:tr2bl w:val="nil"/>
            </w:tcBorders>
            <w:noWrap w:val="0"/>
            <w:vAlign w:val="center"/>
          </w:tcPr>
          <w:p w14:paraId="0AE57FEB">
            <w:pPr>
              <w:keepNext w:val="0"/>
              <w:keepLines w:val="0"/>
              <w:pageBreakBefore w:val="0"/>
              <w:kinsoku/>
              <w:wordWrap/>
              <w:overflowPunct/>
              <w:topLinePunct w:val="0"/>
              <w:bidi w:val="0"/>
              <w:adjustRightInd w:val="0"/>
              <w:snapToGrid w:val="0"/>
              <w:spacing w:line="360" w:lineRule="auto"/>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规划环境影响评价情况</w:t>
            </w:r>
          </w:p>
        </w:tc>
        <w:tc>
          <w:tcPr>
            <w:tcW w:w="6768" w:type="dxa"/>
            <w:gridSpan w:val="3"/>
            <w:tcBorders>
              <w:tl2br w:val="nil"/>
              <w:tr2bl w:val="nil"/>
            </w:tcBorders>
            <w:noWrap w:val="0"/>
            <w:vAlign w:val="center"/>
          </w:tcPr>
          <w:p w14:paraId="2A7FA57F">
            <w:pPr>
              <w:keepNext w:val="0"/>
              <w:keepLines w:val="0"/>
              <w:pageBreakBefore w:val="0"/>
              <w:widowControl/>
              <w:suppressLineNumbers w:val="0"/>
              <w:kinsoku/>
              <w:wordWrap/>
              <w:overflowPunct/>
              <w:topLinePunct w:val="0"/>
              <w:bidi w:val="0"/>
              <w:spacing w:before="0" w:beforeAutospacing="0" w:after="0" w:afterAutospacing="0" w:line="360" w:lineRule="auto"/>
              <w:ind w:right="0" w:rightChars="0"/>
              <w:jc w:val="center"/>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无</w:t>
            </w:r>
          </w:p>
        </w:tc>
      </w:tr>
      <w:tr w14:paraId="2BB140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564" w:type="dxa"/>
            <w:tcBorders>
              <w:tl2br w:val="nil"/>
              <w:tr2bl w:val="nil"/>
            </w:tcBorders>
            <w:noWrap w:val="0"/>
            <w:vAlign w:val="center"/>
          </w:tcPr>
          <w:p w14:paraId="72A6DCAC">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规划及规划环境影响评价符合性分析</w:t>
            </w:r>
          </w:p>
        </w:tc>
        <w:tc>
          <w:tcPr>
            <w:tcW w:w="6768" w:type="dxa"/>
            <w:gridSpan w:val="3"/>
            <w:tcBorders>
              <w:tl2br w:val="nil"/>
              <w:tr2bl w:val="nil"/>
            </w:tcBorders>
            <w:noWrap w:val="0"/>
            <w:vAlign w:val="center"/>
          </w:tcPr>
          <w:p w14:paraId="1DEF086A">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kern w:val="0"/>
                <w:sz w:val="24"/>
                <w:szCs w:val="24"/>
                <w:highlight w:val="none"/>
                <w:lang w:val="en-US" w:eastAsia="zh-CN"/>
              </w:rPr>
              <w:t>1.</w:t>
            </w:r>
            <w:r>
              <w:rPr>
                <w:rFonts w:hint="default" w:ascii="Times New Roman" w:hAnsi="Times New Roman" w:cs="Times New Roman"/>
                <w:b/>
                <w:bCs/>
                <w:color w:val="auto"/>
                <w:sz w:val="24"/>
                <w:szCs w:val="24"/>
                <w:highlight w:val="none"/>
                <w:lang w:val="en-US" w:eastAsia="zh-CN"/>
              </w:rPr>
              <w:t>项目与《昌吉</w:t>
            </w:r>
            <w:r>
              <w:rPr>
                <w:rFonts w:hint="eastAsia" w:ascii="Times New Roman" w:hAnsi="Times New Roman" w:cs="Times New Roman"/>
                <w:color w:val="auto"/>
                <w:sz w:val="24"/>
                <w:szCs w:val="24"/>
                <w:highlight w:val="none"/>
                <w:lang w:val="en-US" w:eastAsia="zh-CN"/>
              </w:rPr>
              <w:t>市</w:t>
            </w:r>
            <w:r>
              <w:rPr>
                <w:rFonts w:hint="default" w:ascii="Times New Roman" w:hAnsi="Times New Roman" w:cs="Times New Roman"/>
                <w:b/>
                <w:bCs/>
                <w:color w:val="auto"/>
                <w:sz w:val="24"/>
                <w:szCs w:val="24"/>
                <w:highlight w:val="none"/>
                <w:lang w:val="en-US" w:eastAsia="zh-CN"/>
              </w:rPr>
              <w:t>国土空间总体规划》（2021-2035年）的符合性分析。</w:t>
            </w:r>
          </w:p>
          <w:p w14:paraId="409F472E">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cs="Times New Roman"/>
                <w:b w:val="0"/>
                <w:bCs w:val="0"/>
                <w:color w:val="auto"/>
                <w:sz w:val="24"/>
                <w:szCs w:val="24"/>
                <w:highlight w:val="none"/>
                <w:lang w:val="en-US" w:eastAsia="zh-CN"/>
              </w:rPr>
              <w:t>《昌吉</w:t>
            </w:r>
            <w:r>
              <w:rPr>
                <w:rFonts w:hint="eastAsia" w:ascii="Times New Roman" w:hAnsi="Times New Roman" w:cs="Times New Roman"/>
                <w:color w:val="auto"/>
                <w:sz w:val="24"/>
                <w:szCs w:val="24"/>
                <w:highlight w:val="none"/>
                <w:lang w:val="en-US" w:eastAsia="zh-CN"/>
              </w:rPr>
              <w:t>市</w:t>
            </w:r>
            <w:r>
              <w:rPr>
                <w:rFonts w:hint="default" w:ascii="Times New Roman" w:hAnsi="Times New Roman" w:cs="Times New Roman"/>
                <w:b w:val="0"/>
                <w:bCs w:val="0"/>
                <w:color w:val="auto"/>
                <w:sz w:val="24"/>
                <w:szCs w:val="24"/>
                <w:highlight w:val="none"/>
                <w:lang w:val="en-US" w:eastAsia="zh-CN"/>
              </w:rPr>
              <w:t>国土空间总体规划》（2021-2035年）提出：</w:t>
            </w:r>
            <w:r>
              <w:rPr>
                <w:rFonts w:hint="default" w:ascii="Times New Roman" w:hAnsi="Times New Roman" w:eastAsia="宋体" w:cs="Times New Roman"/>
                <w:b w:val="0"/>
                <w:bCs w:val="0"/>
                <w:color w:val="auto"/>
                <w:kern w:val="2"/>
                <w:sz w:val="24"/>
                <w:szCs w:val="24"/>
                <w:highlight w:val="none"/>
                <w:lang w:val="en-US" w:eastAsia="zh-CN" w:bidi="ar-SA"/>
              </w:rPr>
              <w:t>明确空间规划分区。落实国土空间开发保护格局，实施全域要素用途管制，统筹全域各类用地需求，协调开发与保护的关系，将全域空间划分为</w:t>
            </w:r>
            <w:r>
              <w:rPr>
                <w:rFonts w:hint="eastAsia" w:ascii="Times New Roman" w:hAnsi="Times New Roman" w:cs="Times New Roman"/>
                <w:b w:val="0"/>
                <w:bCs w:val="0"/>
                <w:color w:val="auto"/>
                <w:kern w:val="2"/>
                <w:sz w:val="24"/>
                <w:szCs w:val="24"/>
                <w:highlight w:val="none"/>
                <w:lang w:val="en-US" w:eastAsia="zh-CN" w:bidi="ar-SA"/>
              </w:rPr>
              <w:t>农产品主产区、重点生态功能区、城市化地区</w:t>
            </w:r>
            <w:r>
              <w:rPr>
                <w:rFonts w:hint="default" w:ascii="Times New Roman" w:hAnsi="Times New Roman" w:eastAsia="宋体" w:cs="Times New Roman"/>
                <w:b w:val="0"/>
                <w:bCs w:val="0"/>
                <w:color w:val="auto"/>
                <w:kern w:val="2"/>
                <w:sz w:val="24"/>
                <w:szCs w:val="24"/>
                <w:highlight w:val="none"/>
                <w:lang w:val="en-US" w:eastAsia="zh-CN" w:bidi="ar-SA"/>
              </w:rPr>
              <w:t>区。</w:t>
            </w:r>
          </w:p>
          <w:p w14:paraId="69A6BEDF">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农田保护区即永久基本农田相对集中需严格保护的区域；生态保护区包括具有特殊重要生态功能或生态敏感脆弱、必须强制性严格保护的自然区域；城镇发展区包含城镇开发边界和其他保障准东城镇发展空间两部分；生态控制区包含生态保护红线外需要予以保留原貌、强化生态保育和生态建设、限制开发建设的区域；乡村发展区即永久基本农田外为满足农林牧渔等农业发展以及农民集中生活和生产配套为主的区域；矿产能源发展区包含了为适应国家能源安全与矿业发展的重要陆域采矿区、战略性矿产储量区等区域。</w:t>
            </w:r>
          </w:p>
          <w:p w14:paraId="4594394D">
            <w:pPr>
              <w:pStyle w:val="2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加强耕地数量、质量、生态“三位一体”保护，不断优化农业生产布局，保障国家粮食安全。推动</w:t>
            </w:r>
            <w:r>
              <w:rPr>
                <w:rFonts w:hint="default" w:ascii="Times New Roman" w:hAnsi="Times New Roman" w:cs="Times New Roman"/>
                <w:b w:val="0"/>
                <w:bCs w:val="0"/>
                <w:color w:val="auto"/>
                <w:kern w:val="2"/>
                <w:sz w:val="24"/>
                <w:szCs w:val="24"/>
                <w:highlight w:val="none"/>
                <w:lang w:val="en-US" w:eastAsia="zh-CN" w:bidi="ar-SA"/>
              </w:rPr>
              <w:t>一二三产业融合</w:t>
            </w:r>
            <w:r>
              <w:rPr>
                <w:rFonts w:hint="default" w:ascii="Times New Roman" w:hAnsi="Times New Roman" w:eastAsia="宋体" w:cs="Times New Roman"/>
                <w:b w:val="0"/>
                <w:bCs w:val="0"/>
                <w:color w:val="auto"/>
                <w:kern w:val="2"/>
                <w:sz w:val="24"/>
                <w:szCs w:val="24"/>
                <w:highlight w:val="none"/>
                <w:lang w:val="en-US" w:eastAsia="zh-CN" w:bidi="ar-SA"/>
              </w:rPr>
              <w:t>，创建产业发展新格局，挖掘乡村振兴新动能。统筹推进土地综合整治，优化村庄布局，改善人居环境，推动城乡融合发展。</w:t>
            </w:r>
          </w:p>
          <w:p w14:paraId="40A28A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highlight w:val="none"/>
                <w:lang w:val="en-US"/>
              </w:rPr>
            </w:pPr>
            <w:r>
              <w:rPr>
                <w:rFonts w:hint="default" w:ascii="Times New Roman" w:hAnsi="Times New Roman" w:eastAsia="宋体" w:cs="Times New Roman"/>
                <w:b w:val="0"/>
                <w:bCs w:val="0"/>
                <w:color w:val="auto"/>
                <w:kern w:val="2"/>
                <w:sz w:val="24"/>
                <w:szCs w:val="24"/>
                <w:highlight w:val="none"/>
                <w:lang w:val="en-US" w:eastAsia="zh-CN" w:bidi="ar-SA"/>
              </w:rPr>
              <w:t>项目位于昌吉市六工镇，</w:t>
            </w:r>
            <w:r>
              <w:rPr>
                <w:rFonts w:hint="eastAsia" w:ascii="Times New Roman" w:hAnsi="Times New Roman" w:cs="Times New Roman"/>
                <w:b w:val="0"/>
                <w:bCs w:val="0"/>
                <w:color w:val="auto"/>
                <w:kern w:val="2"/>
                <w:sz w:val="24"/>
                <w:szCs w:val="24"/>
                <w:highlight w:val="none"/>
                <w:lang w:val="en-US" w:eastAsia="zh-CN" w:bidi="ar-SA"/>
              </w:rPr>
              <w:t>项目占地类型为工业用地，不涉及农用地，</w:t>
            </w:r>
            <w:r>
              <w:rPr>
                <w:rFonts w:hint="default" w:ascii="Times New Roman" w:hAnsi="Times New Roman" w:eastAsia="宋体" w:cs="Times New Roman"/>
                <w:b w:val="0"/>
                <w:bCs w:val="0"/>
                <w:color w:val="auto"/>
                <w:kern w:val="2"/>
                <w:sz w:val="24"/>
                <w:szCs w:val="24"/>
                <w:highlight w:val="none"/>
                <w:lang w:val="en-US" w:eastAsia="zh-CN" w:bidi="ar-SA"/>
              </w:rPr>
              <w:t>项目建设不占用永久基本农田，不占用生</w:t>
            </w:r>
            <w:r>
              <w:rPr>
                <w:rFonts w:hint="default" w:ascii="Times New Roman" w:hAnsi="Times New Roman" w:cs="Times New Roman"/>
                <w:b w:val="0"/>
                <w:bCs w:val="0"/>
                <w:color w:val="auto"/>
                <w:sz w:val="24"/>
                <w:szCs w:val="24"/>
                <w:highlight w:val="none"/>
                <w:lang w:val="en-US" w:eastAsia="zh-CN"/>
              </w:rPr>
              <w:t>态保护红线，用地性质为工业用地，符合《昌吉</w:t>
            </w:r>
            <w:r>
              <w:rPr>
                <w:rFonts w:hint="eastAsia" w:ascii="Times New Roman" w:hAnsi="Times New Roman" w:cs="Times New Roman"/>
                <w:color w:val="auto"/>
                <w:sz w:val="24"/>
                <w:szCs w:val="24"/>
                <w:highlight w:val="none"/>
                <w:lang w:val="en-US" w:eastAsia="zh-CN"/>
              </w:rPr>
              <w:t>市</w:t>
            </w:r>
            <w:r>
              <w:rPr>
                <w:rFonts w:hint="default" w:ascii="Times New Roman" w:hAnsi="Times New Roman" w:cs="Times New Roman"/>
                <w:b w:val="0"/>
                <w:bCs w:val="0"/>
                <w:color w:val="auto"/>
                <w:sz w:val="24"/>
                <w:szCs w:val="24"/>
                <w:highlight w:val="none"/>
                <w:lang w:val="en-US" w:eastAsia="zh-CN"/>
              </w:rPr>
              <w:t>国土空间总体规划》（2021-2035年）的相关要求</w:t>
            </w:r>
            <w:r>
              <w:rPr>
                <w:rFonts w:hint="default" w:ascii="Times New Roman" w:hAnsi="Times New Roman" w:cs="Times New Roman"/>
                <w:b w:val="0"/>
                <w:bCs w:val="0"/>
                <w:color w:val="auto"/>
                <w:sz w:val="24"/>
                <w:szCs w:val="24"/>
                <w:highlight w:val="none"/>
                <w:lang w:val="en-US" w:eastAsia="zh-CN"/>
              </w:rPr>
              <w:t>。</w:t>
            </w:r>
          </w:p>
        </w:tc>
      </w:tr>
      <w:tr w14:paraId="3DE7CF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64" w:type="dxa"/>
            <w:tcBorders>
              <w:tl2br w:val="nil"/>
              <w:tr2bl w:val="nil"/>
            </w:tcBorders>
            <w:noWrap w:val="0"/>
            <w:vAlign w:val="center"/>
          </w:tcPr>
          <w:p w14:paraId="5FC943FF">
            <w:pPr>
              <w:autoSpaceDE w:val="0"/>
              <w:autoSpaceDN w:val="0"/>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其他符合性分析</w:t>
            </w:r>
          </w:p>
        </w:tc>
        <w:tc>
          <w:tcPr>
            <w:tcW w:w="6768" w:type="dxa"/>
            <w:gridSpan w:val="3"/>
            <w:tcBorders>
              <w:tl2br w:val="nil"/>
              <w:tr2bl w:val="nil"/>
            </w:tcBorders>
            <w:noWrap w:val="0"/>
            <w:vAlign w:val="center"/>
          </w:tcPr>
          <w:p w14:paraId="7F777A07">
            <w:pPr>
              <w:pStyle w:val="40"/>
              <w:adjustRightInd/>
              <w:spacing w:line="360" w:lineRule="auto"/>
              <w:ind w:left="0" w:leftChars="0" w:firstLine="0" w:firstLineChars="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政策符合性分析</w:t>
            </w:r>
          </w:p>
          <w:p w14:paraId="36D1DB2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根据《产业结构调整指导目录（2024年本）》中“第一类鼓励类十九、轻工2、农用塑料节水器材，长寿命（三年及以上）功能性农用薄膜的开发、生产”，本项目属于农用薄膜生产项目，不属于淘汰类及限制类。因此，本项目符合国家产业政策要求。</w:t>
            </w:r>
          </w:p>
          <w:p w14:paraId="1FE0CDE8">
            <w:pPr>
              <w:pStyle w:val="12"/>
              <w:spacing w:line="360" w:lineRule="auto"/>
              <w:rPr>
                <w:rFonts w:hint="default" w:ascii="Times New Roman" w:hAnsi="Times New Roman" w:eastAsia="宋体" w:cs="Times New Roman"/>
                <w:b/>
                <w:bCs/>
                <w:color w:val="auto"/>
                <w:spacing w:val="-6"/>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val="en-US" w:eastAsia="zh-CN"/>
              </w:rPr>
              <w:t>.</w:t>
            </w:r>
            <w:r>
              <w:rPr>
                <w:rFonts w:hint="default" w:ascii="Times New Roman" w:hAnsi="Times New Roman" w:eastAsia="宋体" w:cs="Times New Roman"/>
                <w:b/>
                <w:bCs/>
                <w:color w:val="auto"/>
                <w:spacing w:val="-6"/>
                <w:sz w:val="24"/>
                <w:szCs w:val="24"/>
                <w:highlight w:val="none"/>
              </w:rPr>
              <w:t>与</w:t>
            </w:r>
            <w:r>
              <w:rPr>
                <w:rFonts w:hint="default" w:ascii="Times New Roman" w:hAnsi="Times New Roman" w:cs="Times New Roman"/>
                <w:b/>
                <w:bCs/>
                <w:color w:val="auto"/>
                <w:sz w:val="24"/>
                <w:highlight w:val="none"/>
              </w:rPr>
              <w:t>《新疆维吾尔自治区生态环境分区管控动态更新成果》</w:t>
            </w:r>
            <w:r>
              <w:rPr>
                <w:rFonts w:hint="default" w:ascii="Times New Roman" w:hAnsi="Times New Roman" w:cs="Times New Roman"/>
                <w:b/>
                <w:bCs/>
                <w:color w:val="auto"/>
                <w:sz w:val="24"/>
                <w:highlight w:val="none"/>
                <w:lang w:val="en-US" w:eastAsia="zh-CN"/>
              </w:rPr>
              <w:t>的符合性分析</w:t>
            </w:r>
          </w:p>
          <w:p w14:paraId="68FAAEC3">
            <w:pPr>
              <w:pStyle w:val="12"/>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根据《新疆维吾尔自治区生态环境分区管控动态更新成果》（新环环评发〔2024〕157号），“三线一单”生态环境分区管控基本</w:t>
            </w:r>
            <w:r>
              <w:rPr>
                <w:rFonts w:hint="default" w:ascii="Times New Roman" w:hAnsi="Times New Roman" w:cs="Times New Roman"/>
                <w:color w:val="auto"/>
                <w:sz w:val="24"/>
                <w:highlight w:val="none"/>
                <w:lang w:eastAsia="zh-CN"/>
              </w:rPr>
              <w:t>原则</w:t>
            </w:r>
            <w:r>
              <w:rPr>
                <w:rFonts w:hint="default" w:ascii="Times New Roman" w:hAnsi="Times New Roman" w:cs="Times New Roman"/>
                <w:color w:val="auto"/>
                <w:sz w:val="24"/>
                <w:highlight w:val="none"/>
              </w:rPr>
              <w:t>详见下表</w:t>
            </w:r>
          </w:p>
          <w:p w14:paraId="740F545D">
            <w:pPr>
              <w:pStyle w:val="12"/>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表1-1项目与《新疆维吾尔自治区生态环境分区管控动态更新成果》的符合性分析</w:t>
            </w:r>
          </w:p>
          <w:tbl>
            <w:tblPr>
              <w:tblStyle w:val="24"/>
              <w:tblW w:w="494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61"/>
              <w:gridCol w:w="364"/>
              <w:gridCol w:w="3401"/>
              <w:gridCol w:w="1482"/>
              <w:gridCol w:w="876"/>
            </w:tblGrid>
            <w:tr w14:paraId="420F6B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725" w:type="dxa"/>
                  <w:gridSpan w:val="2"/>
                  <w:tcBorders>
                    <w:tl2br w:val="nil"/>
                    <w:tr2bl w:val="nil"/>
                  </w:tcBorders>
                  <w:vAlign w:val="center"/>
                </w:tcPr>
                <w:p w14:paraId="0B2478B6">
                  <w:pPr>
                    <w:widowControl/>
                    <w:jc w:val="center"/>
                    <w:textAlignment w:val="center"/>
                    <w:rPr>
                      <w:rFonts w:hint="default" w:ascii="Times New Roman" w:hAnsi="Times New Roman" w:cs="Times New Roman"/>
                      <w:b/>
                      <w:bCs/>
                      <w:color w:val="auto"/>
                      <w:sz w:val="21"/>
                      <w:szCs w:val="21"/>
                      <w:highlight w:val="none"/>
                    </w:rPr>
                  </w:pPr>
                  <w:r>
                    <w:rPr>
                      <w:rStyle w:val="65"/>
                      <w:rFonts w:hint="default" w:ascii="Times New Roman" w:hAnsi="Times New Roman" w:cs="Times New Roman"/>
                      <w:color w:val="auto"/>
                      <w:sz w:val="21"/>
                      <w:szCs w:val="21"/>
                      <w:highlight w:val="none"/>
                      <w:lang w:bidi="ar"/>
                    </w:rPr>
                    <w:t>管控维度</w:t>
                  </w:r>
                </w:p>
              </w:tc>
              <w:tc>
                <w:tcPr>
                  <w:tcW w:w="3401" w:type="dxa"/>
                  <w:tcBorders>
                    <w:tl2br w:val="nil"/>
                    <w:tr2bl w:val="nil"/>
                  </w:tcBorders>
                  <w:vAlign w:val="center"/>
                </w:tcPr>
                <w:p w14:paraId="11379A96">
                  <w:pPr>
                    <w:widowControl/>
                    <w:jc w:val="center"/>
                    <w:textAlignment w:val="center"/>
                    <w:rPr>
                      <w:rFonts w:hint="default" w:ascii="Times New Roman" w:hAnsi="Times New Roman" w:cs="Times New Roman"/>
                      <w:b/>
                      <w:bCs/>
                      <w:color w:val="auto"/>
                      <w:sz w:val="21"/>
                      <w:szCs w:val="21"/>
                      <w:highlight w:val="none"/>
                    </w:rPr>
                  </w:pPr>
                  <w:r>
                    <w:rPr>
                      <w:rStyle w:val="65"/>
                      <w:rFonts w:hint="default" w:ascii="Times New Roman" w:hAnsi="Times New Roman" w:cs="Times New Roman"/>
                      <w:color w:val="auto"/>
                      <w:sz w:val="21"/>
                      <w:szCs w:val="21"/>
                      <w:highlight w:val="none"/>
                      <w:lang w:bidi="ar"/>
                    </w:rPr>
                    <w:t>管控要求</w:t>
                  </w:r>
                </w:p>
              </w:tc>
              <w:tc>
                <w:tcPr>
                  <w:tcW w:w="1482" w:type="dxa"/>
                  <w:tcBorders>
                    <w:tl2br w:val="nil"/>
                    <w:tr2bl w:val="nil"/>
                  </w:tcBorders>
                  <w:vAlign w:val="center"/>
                </w:tcPr>
                <w:p w14:paraId="1D323660">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本项目建设情况</w:t>
                  </w:r>
                </w:p>
              </w:tc>
              <w:tc>
                <w:tcPr>
                  <w:tcW w:w="876" w:type="dxa"/>
                  <w:tcBorders>
                    <w:tl2br w:val="nil"/>
                    <w:tr2bl w:val="nil"/>
                  </w:tcBorders>
                  <w:vAlign w:val="center"/>
                </w:tcPr>
                <w:p w14:paraId="2A5CB819">
                  <w:pPr>
                    <w:widowControl/>
                    <w:jc w:val="center"/>
                    <w:textAlignment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kern w:val="0"/>
                      <w:sz w:val="21"/>
                      <w:szCs w:val="21"/>
                      <w:highlight w:val="none"/>
                      <w:lang w:bidi="ar"/>
                    </w:rPr>
                    <w:t>是否符合</w:t>
                  </w:r>
                </w:p>
              </w:tc>
            </w:tr>
            <w:tr w14:paraId="2F4284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restart"/>
                  <w:tcBorders>
                    <w:tl2br w:val="nil"/>
                    <w:tr2bl w:val="nil"/>
                  </w:tcBorders>
                  <w:vAlign w:val="center"/>
                </w:tcPr>
                <w:p w14:paraId="64AB4812">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A1</w:t>
                  </w:r>
                  <w:r>
                    <w:rPr>
                      <w:rFonts w:hint="default" w:ascii="Times New Roman" w:hAnsi="Times New Roman" w:cs="Times New Roman"/>
                      <w:color w:val="auto"/>
                      <w:kern w:val="0"/>
                      <w:sz w:val="21"/>
                      <w:szCs w:val="21"/>
                      <w:highlight w:val="none"/>
                      <w:lang w:bidi="ar"/>
                    </w:rPr>
                    <w:t>空间布局约束</w:t>
                  </w:r>
                </w:p>
              </w:tc>
              <w:tc>
                <w:tcPr>
                  <w:tcW w:w="364" w:type="dxa"/>
                  <w:vMerge w:val="restart"/>
                  <w:tcBorders>
                    <w:tl2br w:val="nil"/>
                    <w:tr2bl w:val="nil"/>
                  </w:tcBorders>
                  <w:vAlign w:val="center"/>
                </w:tcPr>
                <w:p w14:paraId="19F8BB80">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A1.1</w:t>
                  </w:r>
                  <w:r>
                    <w:rPr>
                      <w:rFonts w:hint="default" w:ascii="Times New Roman" w:hAnsi="Times New Roman" w:cs="Times New Roman"/>
                      <w:color w:val="auto"/>
                      <w:kern w:val="0"/>
                      <w:sz w:val="21"/>
                      <w:szCs w:val="21"/>
                      <w:highlight w:val="none"/>
                      <w:lang w:bidi="ar"/>
                    </w:rPr>
                    <w:t>禁止开发建设的活动</w:t>
                  </w:r>
                </w:p>
              </w:tc>
              <w:tc>
                <w:tcPr>
                  <w:tcW w:w="3401" w:type="dxa"/>
                  <w:tcBorders>
                    <w:tl2br w:val="nil"/>
                    <w:tr2bl w:val="nil"/>
                  </w:tcBorders>
                  <w:vAlign w:val="center"/>
                </w:tcPr>
                <w:p w14:paraId="763DD29F">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A1.1-1</w:t>
                  </w:r>
                  <w:r>
                    <w:rPr>
                      <w:rFonts w:hint="default" w:ascii="Times New Roman" w:hAnsi="Times New Roman" w:cs="Times New Roman"/>
                      <w:color w:val="auto"/>
                      <w:kern w:val="0"/>
                      <w:sz w:val="21"/>
                      <w:szCs w:val="21"/>
                      <w:highlight w:val="none"/>
                      <w:lang w:bidi="ar"/>
                    </w:rPr>
                    <w:t>〕禁止新建、扩建《产业结构调整指导目录</w:t>
                  </w:r>
                  <w:r>
                    <w:rPr>
                      <w:rStyle w:val="66"/>
                      <w:rFonts w:hint="default" w:ascii="Times New Roman" w:hAnsi="Times New Roman" w:cs="Times New Roman"/>
                      <w:color w:val="auto"/>
                      <w:sz w:val="21"/>
                      <w:szCs w:val="21"/>
                      <w:highlight w:val="none"/>
                      <w:lang w:bidi="ar"/>
                    </w:rPr>
                    <w:t>(2024</w:t>
                  </w:r>
                  <w:r>
                    <w:rPr>
                      <w:rFonts w:hint="default" w:ascii="Times New Roman" w:hAnsi="Times New Roman" w:cs="Times New Roman"/>
                      <w:color w:val="auto"/>
                      <w:kern w:val="0"/>
                      <w:sz w:val="21"/>
                      <w:szCs w:val="21"/>
                      <w:highlight w:val="none"/>
                      <w:lang w:bidi="ar"/>
                    </w:rPr>
                    <w:t>年本</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》中淘汰类项目。禁止引入《市场准入负面清单</w:t>
                  </w:r>
                  <w:r>
                    <w:rPr>
                      <w:rStyle w:val="66"/>
                      <w:rFonts w:hint="default" w:ascii="Times New Roman" w:hAnsi="Times New Roman" w:cs="Times New Roman"/>
                      <w:color w:val="auto"/>
                      <w:sz w:val="21"/>
                      <w:szCs w:val="21"/>
                      <w:highlight w:val="none"/>
                      <w:lang w:bidi="ar"/>
                    </w:rPr>
                    <w:t>(2022</w:t>
                  </w:r>
                  <w:r>
                    <w:rPr>
                      <w:rFonts w:hint="default" w:ascii="Times New Roman" w:hAnsi="Times New Roman" w:cs="Times New Roman"/>
                      <w:color w:val="auto"/>
                      <w:kern w:val="0"/>
                      <w:sz w:val="21"/>
                      <w:szCs w:val="21"/>
                      <w:highlight w:val="none"/>
                      <w:lang w:bidi="ar"/>
                    </w:rPr>
                    <w:t>年版</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》禁止准入类事项。</w:t>
                  </w:r>
                </w:p>
              </w:tc>
              <w:tc>
                <w:tcPr>
                  <w:tcW w:w="1482" w:type="dxa"/>
                  <w:tcBorders>
                    <w:tl2br w:val="nil"/>
                    <w:tr2bl w:val="nil"/>
                  </w:tcBorders>
                  <w:noWrap/>
                  <w:vAlign w:val="center"/>
                </w:tcPr>
                <w:p w14:paraId="3CC615A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本项目不属于</w:t>
                  </w:r>
                  <w:r>
                    <w:rPr>
                      <w:rFonts w:hint="default" w:ascii="Times New Roman" w:hAnsi="Times New Roman" w:cs="Times New Roman"/>
                      <w:color w:val="auto"/>
                      <w:kern w:val="0"/>
                      <w:sz w:val="21"/>
                      <w:szCs w:val="21"/>
                      <w:highlight w:val="none"/>
                      <w:lang w:bidi="ar"/>
                    </w:rPr>
                    <w:t>《产业结构调整指导目录</w:t>
                  </w:r>
                  <w:r>
                    <w:rPr>
                      <w:rStyle w:val="66"/>
                      <w:rFonts w:hint="default" w:ascii="Times New Roman" w:hAnsi="Times New Roman" w:cs="Times New Roman"/>
                      <w:color w:val="auto"/>
                      <w:sz w:val="21"/>
                      <w:szCs w:val="21"/>
                      <w:highlight w:val="none"/>
                      <w:lang w:bidi="ar"/>
                    </w:rPr>
                    <w:t>(2024</w:t>
                  </w:r>
                  <w:r>
                    <w:rPr>
                      <w:rFonts w:hint="default" w:ascii="Times New Roman" w:hAnsi="Times New Roman" w:cs="Times New Roman"/>
                      <w:color w:val="auto"/>
                      <w:kern w:val="0"/>
                      <w:sz w:val="21"/>
                      <w:szCs w:val="21"/>
                      <w:highlight w:val="none"/>
                      <w:lang w:bidi="ar"/>
                    </w:rPr>
                    <w:t>年本</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》中淘汰类项目</w:t>
                  </w:r>
                </w:p>
              </w:tc>
              <w:tc>
                <w:tcPr>
                  <w:tcW w:w="876" w:type="dxa"/>
                  <w:tcBorders>
                    <w:tl2br w:val="nil"/>
                    <w:tr2bl w:val="nil"/>
                  </w:tcBorders>
                  <w:noWrap/>
                  <w:vAlign w:val="center"/>
                </w:tcPr>
                <w:p w14:paraId="16394CC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1C9CB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5F302EB">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76C3C463">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4F52140F">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A1.1-2</w:t>
                  </w:r>
                  <w:r>
                    <w:rPr>
                      <w:rFonts w:hint="default" w:ascii="Times New Roman" w:hAnsi="Times New Roman" w:cs="Times New Roman"/>
                      <w:color w:val="auto"/>
                      <w:kern w:val="0"/>
                      <w:sz w:val="21"/>
                      <w:szCs w:val="21"/>
                      <w:highlight w:val="none"/>
                      <w:lang w:bidi="ar"/>
                    </w:rPr>
                    <w:t>〕禁止建设不符合国家和自治区环境保护标准的项目。</w:t>
                  </w:r>
                </w:p>
              </w:tc>
              <w:tc>
                <w:tcPr>
                  <w:tcW w:w="1482" w:type="dxa"/>
                  <w:tcBorders>
                    <w:tl2br w:val="nil"/>
                    <w:tr2bl w:val="nil"/>
                  </w:tcBorders>
                  <w:noWrap/>
                  <w:vAlign w:val="center"/>
                </w:tcPr>
                <w:p w14:paraId="1AD8544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本项目为</w:t>
                  </w:r>
                  <w:r>
                    <w:rPr>
                      <w:rFonts w:hint="default" w:ascii="Times New Roman" w:hAnsi="Times New Roman" w:cs="Times New Roman"/>
                      <w:color w:val="auto"/>
                      <w:sz w:val="21"/>
                      <w:szCs w:val="21"/>
                      <w:highlight w:val="none"/>
                      <w:lang w:eastAsia="zh-CN"/>
                    </w:rPr>
                    <w:t>塑料薄膜制造项目</w:t>
                  </w:r>
                  <w:r>
                    <w:rPr>
                      <w:rFonts w:hint="default" w:ascii="Times New Roman" w:hAnsi="Times New Roman" w:cs="Times New Roman"/>
                      <w:color w:val="auto"/>
                      <w:sz w:val="21"/>
                      <w:szCs w:val="21"/>
                      <w:highlight w:val="none"/>
                    </w:rPr>
                    <w:t>，不属于</w:t>
                  </w:r>
                  <w:r>
                    <w:rPr>
                      <w:rFonts w:hint="default" w:ascii="Times New Roman" w:hAnsi="Times New Roman" w:cs="Times New Roman"/>
                      <w:color w:val="auto"/>
                      <w:kern w:val="0"/>
                      <w:sz w:val="21"/>
                      <w:szCs w:val="21"/>
                      <w:highlight w:val="none"/>
                      <w:lang w:bidi="ar"/>
                    </w:rPr>
                    <w:t>不符合国家和自治区环境保护标准的项目</w:t>
                  </w:r>
                </w:p>
              </w:tc>
              <w:tc>
                <w:tcPr>
                  <w:tcW w:w="876" w:type="dxa"/>
                  <w:tcBorders>
                    <w:tl2br w:val="nil"/>
                    <w:tr2bl w:val="nil"/>
                  </w:tcBorders>
                  <w:noWrap/>
                  <w:vAlign w:val="center"/>
                </w:tcPr>
                <w:p w14:paraId="7826C11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4EC99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358145CA">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3B5F29B5">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4CCFCEA2">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A1.1-3</w:t>
                  </w:r>
                  <w:r>
                    <w:rPr>
                      <w:rFonts w:hint="default" w:ascii="Times New Roman" w:hAnsi="Times New Roman" w:cs="Times New Roman"/>
                      <w:color w:val="auto"/>
                      <w:kern w:val="0"/>
                      <w:sz w:val="21"/>
                      <w:szCs w:val="21"/>
                      <w:highlight w:val="none"/>
                      <w:lang w:bidi="ar"/>
                    </w:rPr>
                    <w:t>〕禁止在饮用水水源保护区、风景名胜区、自然保护区的核心区和缓冲区、城镇居民区、文化教育科学研究区等人口集中区域以及</w:t>
                  </w:r>
                  <w:r>
                    <w:rPr>
                      <w:rFonts w:hint="default" w:ascii="Times New Roman" w:hAnsi="Times New Roman" w:cs="Times New Roman"/>
                      <w:color w:val="auto"/>
                      <w:kern w:val="0"/>
                      <w:sz w:val="21"/>
                      <w:szCs w:val="21"/>
                      <w:highlight w:val="none"/>
                      <w:lang w:eastAsia="zh-CN" w:bidi="ar"/>
                    </w:rPr>
                    <w:t>法律法规</w:t>
                  </w:r>
                  <w:r>
                    <w:rPr>
                      <w:rFonts w:hint="default" w:ascii="Times New Roman" w:hAnsi="Times New Roman" w:cs="Times New Roman"/>
                      <w:color w:val="auto"/>
                      <w:kern w:val="0"/>
                      <w:sz w:val="21"/>
                      <w:szCs w:val="21"/>
                      <w:highlight w:val="none"/>
                      <w:lang w:bidi="ar"/>
                    </w:rPr>
                    <w:t>规定的其他禁止养殖区域建设畜禽养殖场、养殖小区。</w:t>
                  </w:r>
                </w:p>
              </w:tc>
              <w:tc>
                <w:tcPr>
                  <w:tcW w:w="1482" w:type="dxa"/>
                  <w:tcBorders>
                    <w:tl2br w:val="nil"/>
                    <w:tr2bl w:val="nil"/>
                  </w:tcBorders>
                  <w:noWrap/>
                  <w:vAlign w:val="center"/>
                </w:tcPr>
                <w:p w14:paraId="5B36FA7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本项目不在</w:t>
                  </w:r>
                  <w:r>
                    <w:rPr>
                      <w:rFonts w:hint="default" w:ascii="Times New Roman" w:hAnsi="Times New Roman" w:cs="Times New Roman"/>
                      <w:color w:val="auto"/>
                      <w:kern w:val="0"/>
                      <w:sz w:val="21"/>
                      <w:szCs w:val="21"/>
                      <w:highlight w:val="none"/>
                      <w:lang w:bidi="ar"/>
                    </w:rPr>
                    <w:t>饮用水水源保护区、风景名胜区、自然保护区的核心区和缓冲区、城镇居民区、文化教育科学研究区等人口集中区域以及</w:t>
                  </w:r>
                  <w:r>
                    <w:rPr>
                      <w:rFonts w:hint="default" w:ascii="Times New Roman" w:hAnsi="Times New Roman" w:cs="Times New Roman"/>
                      <w:color w:val="auto"/>
                      <w:kern w:val="0"/>
                      <w:sz w:val="21"/>
                      <w:szCs w:val="21"/>
                      <w:highlight w:val="none"/>
                      <w:lang w:eastAsia="zh-CN" w:bidi="ar"/>
                    </w:rPr>
                    <w:t>法律法规</w:t>
                  </w:r>
                  <w:r>
                    <w:rPr>
                      <w:rFonts w:hint="default" w:ascii="Times New Roman" w:hAnsi="Times New Roman" w:cs="Times New Roman"/>
                      <w:color w:val="auto"/>
                      <w:kern w:val="0"/>
                      <w:sz w:val="21"/>
                      <w:szCs w:val="21"/>
                      <w:highlight w:val="none"/>
                      <w:lang w:bidi="ar"/>
                    </w:rPr>
                    <w:t>规定的其他禁止养殖区域建设畜禽养殖场、养殖小区建设，周边无敏感目标。</w:t>
                  </w:r>
                </w:p>
              </w:tc>
              <w:tc>
                <w:tcPr>
                  <w:tcW w:w="876" w:type="dxa"/>
                  <w:tcBorders>
                    <w:tl2br w:val="nil"/>
                    <w:tr2bl w:val="nil"/>
                  </w:tcBorders>
                  <w:noWrap/>
                  <w:vAlign w:val="center"/>
                </w:tcPr>
                <w:p w14:paraId="67326F8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07203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53C4FF32">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477EFCA7">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6DAF6430">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A1.1-4</w:t>
                  </w:r>
                  <w:r>
                    <w:rPr>
                      <w:rFonts w:hint="default" w:ascii="Times New Roman" w:hAnsi="Times New Roman" w:cs="Times New Roman"/>
                      <w:color w:val="auto"/>
                      <w:kern w:val="0"/>
                      <w:sz w:val="21"/>
                      <w:szCs w:val="21"/>
                      <w:highlight w:val="none"/>
                      <w:lang w:bidi="ar"/>
                    </w:rPr>
                    <w:t>〕禁止在水源涵养区、地下水源、饮用水源、自然保护区、风景名胜区、森林公园、重要湿地及人群密集区等生态敏感区域内进行煤炭、石油、天然气开发。</w:t>
                  </w:r>
                </w:p>
              </w:tc>
              <w:tc>
                <w:tcPr>
                  <w:tcW w:w="1482" w:type="dxa"/>
                  <w:tcBorders>
                    <w:tl2br w:val="nil"/>
                    <w:tr2bl w:val="nil"/>
                  </w:tcBorders>
                  <w:noWrap/>
                  <w:vAlign w:val="center"/>
                </w:tcPr>
                <w:p w14:paraId="7CA3774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本项目不在水源涵养区、地下水源、饮用水源、自然保护区、风景名胜区、森林公园、重要湿地及人群密集区等生态敏感区域内进行煤炭、石油、天然气</w:t>
                  </w:r>
                  <w:r>
                    <w:rPr>
                      <w:rFonts w:hint="default" w:ascii="Times New Roman" w:hAnsi="Times New Roman" w:cs="Times New Roman"/>
                      <w:color w:val="auto"/>
                      <w:kern w:val="0"/>
                      <w:sz w:val="21"/>
                      <w:szCs w:val="21"/>
                      <w:highlight w:val="none"/>
                      <w:lang w:eastAsia="zh-CN" w:bidi="ar"/>
                    </w:rPr>
                    <w:t>开发区</w:t>
                  </w:r>
                  <w:r>
                    <w:rPr>
                      <w:rFonts w:hint="default" w:ascii="Times New Roman" w:hAnsi="Times New Roman" w:cs="Times New Roman"/>
                      <w:color w:val="auto"/>
                      <w:kern w:val="0"/>
                      <w:sz w:val="21"/>
                      <w:szCs w:val="21"/>
                      <w:highlight w:val="none"/>
                      <w:lang w:bidi="ar"/>
                    </w:rPr>
                    <w:t>建设。</w:t>
                  </w:r>
                </w:p>
              </w:tc>
              <w:tc>
                <w:tcPr>
                  <w:tcW w:w="876" w:type="dxa"/>
                  <w:tcBorders>
                    <w:tl2br w:val="nil"/>
                    <w:tr2bl w:val="nil"/>
                  </w:tcBorders>
                  <w:noWrap/>
                  <w:vAlign w:val="center"/>
                </w:tcPr>
                <w:p w14:paraId="2622CF2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C2044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51001AA2">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0C0A98D7">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0D96175F">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A1.1-5</w:t>
                  </w:r>
                  <w:r>
                    <w:rPr>
                      <w:rFonts w:hint="default" w:ascii="Times New Roman" w:hAnsi="Times New Roman" w:cs="Times New Roman"/>
                      <w:color w:val="auto"/>
                      <w:kern w:val="0"/>
                      <w:sz w:val="21"/>
                      <w:szCs w:val="21"/>
                      <w:highlight w:val="none"/>
                      <w:lang w:bidi="ar"/>
                    </w:rPr>
                    <w:t>〕禁止下列破坏湿地及其生态功能的行为：</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一</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开</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围</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垦、排干自然湿地，永久性截断自然湿地水源：</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二</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擅自填埋自然湿地，擅自采砂、采矿、取土；</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三</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排放不符合水污染物排放标准的工业废水、生活污水及其他污染湿地的废水、污水，倾倒、堆放、丢弃、遗撒固体废物</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四</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过度放牧或者滥采野生植物，过度捕捞或者灭绝式捕捞，过度施肥、投药、投放饵料等污染湿地的种植养殖行为；</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五</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其他破坏湿地及其生态功能的行为。</w:t>
                  </w:r>
                </w:p>
              </w:tc>
              <w:tc>
                <w:tcPr>
                  <w:tcW w:w="1482" w:type="dxa"/>
                  <w:tcBorders>
                    <w:tl2br w:val="nil"/>
                    <w:tr2bl w:val="nil"/>
                  </w:tcBorders>
                  <w:noWrap/>
                  <w:vAlign w:val="center"/>
                </w:tcPr>
                <w:p w14:paraId="520B51E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175111B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4C1FA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1CEF2D33">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1EA5B833">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5698389E">
                  <w:pPr>
                    <w:widowControl/>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〔A1.1-6〕禁止在自治区行政区域内引进能(水)耗不符合相关国家标准中准入值要求且污染物排放和环境风险防控不符合国家(地方)标准及有关产业准入条件的高污染(排放)、高能(水)耗、高环境风险的工业项目。</w:t>
                  </w:r>
                </w:p>
              </w:tc>
              <w:tc>
                <w:tcPr>
                  <w:tcW w:w="1482" w:type="dxa"/>
                  <w:tcBorders>
                    <w:tl2br w:val="nil"/>
                    <w:tr2bl w:val="nil"/>
                  </w:tcBorders>
                  <w:noWrap/>
                  <w:vAlign w:val="center"/>
                </w:tcPr>
                <w:p w14:paraId="28C0F92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本项目属于</w:t>
                  </w:r>
                  <w:r>
                    <w:rPr>
                      <w:rFonts w:hint="default" w:ascii="Times New Roman" w:hAnsi="Times New Roman" w:cs="Times New Roman"/>
                      <w:color w:val="auto"/>
                      <w:sz w:val="21"/>
                      <w:szCs w:val="21"/>
                      <w:highlight w:val="none"/>
                      <w:lang w:eastAsia="zh-CN"/>
                    </w:rPr>
                    <w:t>塑料薄膜制造项目</w:t>
                  </w:r>
                  <w:r>
                    <w:rPr>
                      <w:rFonts w:hint="default" w:ascii="Times New Roman" w:hAnsi="Times New Roman" w:cs="Times New Roman"/>
                      <w:color w:val="auto"/>
                      <w:sz w:val="21"/>
                      <w:szCs w:val="21"/>
                      <w:highlight w:val="none"/>
                    </w:rPr>
                    <w:t>，本项目不属于</w:t>
                  </w:r>
                  <w:r>
                    <w:rPr>
                      <w:rFonts w:hint="default" w:ascii="Times New Roman" w:hAnsi="Times New Roman" w:cs="Times New Roman"/>
                      <w:color w:val="auto"/>
                      <w:kern w:val="0"/>
                      <w:sz w:val="21"/>
                      <w:szCs w:val="21"/>
                      <w:highlight w:val="none"/>
                      <w:lang w:bidi="ar"/>
                    </w:rPr>
                    <w:t>高污染</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排放</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、高能</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水</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耗、高环境风险的工业项目。</w:t>
                  </w:r>
                </w:p>
              </w:tc>
              <w:tc>
                <w:tcPr>
                  <w:tcW w:w="876" w:type="dxa"/>
                  <w:tcBorders>
                    <w:tl2br w:val="nil"/>
                    <w:tr2bl w:val="nil"/>
                  </w:tcBorders>
                  <w:noWrap/>
                  <w:vAlign w:val="center"/>
                </w:tcPr>
                <w:p w14:paraId="0E238C1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A48E9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0C4A5F3">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331F302C">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4E87DA1B">
                  <w:pPr>
                    <w:widowControl/>
                    <w:jc w:val="center"/>
                    <w:textAlignment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A1.1-7〕①坚决遏制高耗能高排放低水平项目盲目发展。严把高耗能高排放低水平项目准入关口，严格落实污染物排放区域削减要求，对不符合规定的项目坚决停批停建。依法依规淘汰落后产能和化解过剩产能。②重点行业企业纳入重污染天气绩效分级，制定“一厂一策”应急减排清单，实现应纳尽纳；引导重点企业在秋冬季安排停产检修计划，减少冬季和采暖期排放。推进重点行业深度治理，实施全工况脱硫脱硝提标改造，加大无组织排放治理力度，深度开展工业炉窑综合整治，全面提升电解铝、活性炭、硅冶炼、纯碱、电石、聚氯乙烯、石化等行业污染治理水平。</w:t>
                  </w:r>
                </w:p>
              </w:tc>
              <w:tc>
                <w:tcPr>
                  <w:tcW w:w="1482" w:type="dxa"/>
                  <w:tcBorders>
                    <w:tl2br w:val="nil"/>
                    <w:tr2bl w:val="nil"/>
                  </w:tcBorders>
                  <w:noWrap/>
                  <w:vAlign w:val="center"/>
                </w:tcPr>
                <w:p w14:paraId="4CC71AA5">
                  <w:pPr>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sz w:val="21"/>
                      <w:szCs w:val="21"/>
                      <w:highlight w:val="none"/>
                    </w:rPr>
                    <w:t>①本项目不属于</w:t>
                  </w:r>
                  <w:r>
                    <w:rPr>
                      <w:rFonts w:hint="default" w:ascii="Times New Roman" w:hAnsi="Times New Roman" w:cs="Times New Roman"/>
                      <w:color w:val="auto"/>
                      <w:kern w:val="0"/>
                      <w:sz w:val="21"/>
                      <w:szCs w:val="21"/>
                      <w:highlight w:val="none"/>
                      <w:lang w:bidi="ar"/>
                    </w:rPr>
                    <w:t>淘汰落后产能项目；</w:t>
                  </w:r>
                </w:p>
                <w:p w14:paraId="0D5607CF">
                  <w:pPr>
                    <w:jc w:val="center"/>
                    <w:rPr>
                      <w:rFonts w:hint="default" w:ascii="Times New Roman" w:hAnsi="Times New Roman" w:cs="Times New Roman"/>
                      <w:color w:val="auto"/>
                      <w:kern w:val="0"/>
                      <w:sz w:val="21"/>
                      <w:szCs w:val="21"/>
                      <w:highlight w:val="none"/>
                      <w:lang w:bidi="ar"/>
                    </w:rPr>
                  </w:pPr>
                  <w:r>
                    <w:rPr>
                      <w:rFonts w:hint="default" w:ascii="Times New Roman" w:hAnsi="Times New Roman" w:cs="Times New Roman"/>
                      <w:color w:val="auto"/>
                      <w:kern w:val="0"/>
                      <w:sz w:val="21"/>
                      <w:szCs w:val="21"/>
                      <w:highlight w:val="none"/>
                      <w:lang w:bidi="ar"/>
                    </w:rPr>
                    <w:t>②</w:t>
                  </w:r>
                  <w:r>
                    <w:rPr>
                      <w:rFonts w:hint="default" w:ascii="Times New Roman" w:hAnsi="Times New Roman" w:cs="Times New Roman"/>
                      <w:color w:val="auto"/>
                      <w:sz w:val="21"/>
                      <w:szCs w:val="21"/>
                      <w:highlight w:val="none"/>
                    </w:rPr>
                    <w:t>本项目不属于</w:t>
                  </w:r>
                  <w:r>
                    <w:rPr>
                      <w:rFonts w:hint="default" w:ascii="Times New Roman" w:hAnsi="Times New Roman" w:cs="Times New Roman"/>
                      <w:color w:val="auto"/>
                      <w:kern w:val="0"/>
                      <w:sz w:val="21"/>
                      <w:szCs w:val="21"/>
                      <w:highlight w:val="none"/>
                      <w:lang w:bidi="ar"/>
                    </w:rPr>
                    <w:t>重点行业；</w:t>
                  </w:r>
                </w:p>
              </w:tc>
              <w:tc>
                <w:tcPr>
                  <w:tcW w:w="876" w:type="dxa"/>
                  <w:tcBorders>
                    <w:tl2br w:val="nil"/>
                    <w:tr2bl w:val="nil"/>
                  </w:tcBorders>
                  <w:noWrap/>
                  <w:vAlign w:val="center"/>
                </w:tcPr>
                <w:p w14:paraId="387637D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25963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4A440DFB">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2FD935F1">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3AF73DA3">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A1.1-8</w:t>
                  </w:r>
                  <w:r>
                    <w:rPr>
                      <w:rFonts w:hint="default" w:ascii="Times New Roman" w:hAnsi="Times New Roman" w:cs="Times New Roman"/>
                      <w:color w:val="auto"/>
                      <w:kern w:val="0"/>
                      <w:sz w:val="21"/>
                      <w:szCs w:val="21"/>
                      <w:highlight w:val="none"/>
                      <w:lang w:bidi="ar"/>
                    </w:rPr>
                    <w:t>〕严格执行危险化学品</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禁限控</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目录，新建危险化学品生产项目必须进入一般或较低安全风险的化工园区</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与其他行业生产装置配套建设的项目除外</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引导其他石化化工项目在化工园区发展。</w:t>
                  </w:r>
                </w:p>
              </w:tc>
              <w:tc>
                <w:tcPr>
                  <w:tcW w:w="1482" w:type="dxa"/>
                  <w:tcBorders>
                    <w:tl2br w:val="nil"/>
                    <w:tr2bl w:val="nil"/>
                  </w:tcBorders>
                  <w:noWrap/>
                  <w:vAlign w:val="center"/>
                </w:tcPr>
                <w:p w14:paraId="3A045CF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546E9BB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BBBE6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A54782B">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0592E50A">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6F6954D2">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A1.1-9</w:t>
                  </w:r>
                  <w:r>
                    <w:rPr>
                      <w:rFonts w:hint="default" w:ascii="Times New Roman" w:hAnsi="Times New Roman" w:cs="Times New Roman"/>
                      <w:color w:val="auto"/>
                      <w:kern w:val="0"/>
                      <w:sz w:val="21"/>
                      <w:szCs w:val="21"/>
                      <w:highlight w:val="none"/>
                      <w:lang w:bidi="ar"/>
                    </w:rPr>
                    <w:t>〕严禁新建自治区《禁止、控制和限制危险化学品目录》中淘汰类、禁止类危险化学品化工项目。严格执行生态保护红线、永久基本农田管控要求，禁止新</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改、扩</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建化工项目违规占用生态保护红线和永久基本农田。在塔里木河、伊犁河、额尔齐斯河干流及主要支流岸线</w:t>
                  </w:r>
                  <w:r>
                    <w:rPr>
                      <w:rStyle w:val="66"/>
                      <w:rFonts w:hint="default" w:ascii="Times New Roman" w:hAnsi="Times New Roman" w:cs="Times New Roman"/>
                      <w:color w:val="auto"/>
                      <w:sz w:val="21"/>
                      <w:szCs w:val="21"/>
                      <w:highlight w:val="none"/>
                      <w:lang w:bidi="ar"/>
                    </w:rPr>
                    <w:t>1</w:t>
                  </w:r>
                  <w:r>
                    <w:rPr>
                      <w:rFonts w:hint="default" w:ascii="Times New Roman" w:hAnsi="Times New Roman" w:cs="Times New Roman"/>
                      <w:color w:val="auto"/>
                      <w:kern w:val="0"/>
                      <w:sz w:val="21"/>
                      <w:szCs w:val="21"/>
                      <w:highlight w:val="none"/>
                      <w:lang w:bidi="ar"/>
                    </w:rPr>
                    <w:t>公里范围内，除提升安全、环保、节能、智能化、产品质量水平的技术改造项目外，严格禁止新建、扩建化工项目，不得布局新的化工园区</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含化工集中区</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w:t>
                  </w:r>
                </w:p>
              </w:tc>
              <w:tc>
                <w:tcPr>
                  <w:tcW w:w="1482" w:type="dxa"/>
                  <w:tcBorders>
                    <w:tl2br w:val="nil"/>
                    <w:tr2bl w:val="nil"/>
                  </w:tcBorders>
                  <w:noWrap/>
                  <w:vAlign w:val="center"/>
                </w:tcPr>
                <w:p w14:paraId="36E7F23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7B44714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9FDC5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42878237">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639B4228">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5645F1FD">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A1.1-10</w:t>
                  </w:r>
                  <w:r>
                    <w:rPr>
                      <w:rFonts w:hint="default" w:ascii="Times New Roman" w:hAnsi="Times New Roman" w:cs="Times New Roman"/>
                      <w:color w:val="auto"/>
                      <w:kern w:val="0"/>
                      <w:sz w:val="21"/>
                      <w:szCs w:val="21"/>
                      <w:highlight w:val="none"/>
                      <w:lang w:bidi="ar"/>
                    </w:rPr>
                    <w:t>〕推动涉重金属产业集中优化发展，禁止新建用汞的电石法</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聚</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氯乙烯生产工艺，新建、扩建的重有色金属冶炼、电镀、制革企业优先选择布设在依法合规设立并依法开展规划环境影响评价的产业园区。</w:t>
                  </w:r>
                </w:p>
              </w:tc>
              <w:tc>
                <w:tcPr>
                  <w:tcW w:w="1482" w:type="dxa"/>
                  <w:tcBorders>
                    <w:tl2br w:val="nil"/>
                    <w:tr2bl w:val="nil"/>
                  </w:tcBorders>
                  <w:noWrap/>
                  <w:vAlign w:val="center"/>
                </w:tcPr>
                <w:p w14:paraId="5461619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重金属产业</w:t>
                  </w:r>
                </w:p>
              </w:tc>
              <w:tc>
                <w:tcPr>
                  <w:tcW w:w="876" w:type="dxa"/>
                  <w:tcBorders>
                    <w:tl2br w:val="nil"/>
                    <w:tr2bl w:val="nil"/>
                  </w:tcBorders>
                  <w:noWrap/>
                  <w:vAlign w:val="center"/>
                </w:tcPr>
                <w:p w14:paraId="36EA6A5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60CEF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777C4CF8">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76A1C578">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372184B4">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A1.1-11</w:t>
                  </w:r>
                  <w:r>
                    <w:rPr>
                      <w:rFonts w:hint="default" w:ascii="Times New Roman" w:hAnsi="Times New Roman" w:cs="Times New Roman"/>
                      <w:color w:val="auto"/>
                      <w:kern w:val="0"/>
                      <w:sz w:val="21"/>
                      <w:szCs w:val="21"/>
                      <w:highlight w:val="none"/>
                      <w:lang w:bidi="ar"/>
                    </w:rPr>
                    <w:t>〕国务院有关部门和青藏高原县级以上地方人民政府应当建立健全青藏高原雪山冰川冻土保护制度，加强对雪山冰川冻土的监测预警和系统保护。青藏高原省级人民政府应当将大型冰帽冰川、小规模冰川群等划入生态保护红线，对重要雪山冰川实施封禁保护，采取有效措施，严格控制人为扰动。青藏高原省级人民政府应当划定冻土区保护范围，加强对多年冻土区和中深季节冻土区的保护，严格控制多年冻土区资源开发，严格审批多年冻土区城镇规划和交通、管线、输变电等重大工程项目。青藏高原省级人民政府应当开展雪山冰川冻土与周边生态系统的协同保护，维持有利于雪山冰川冻土保护的自然生态环境。</w:t>
                  </w:r>
                </w:p>
              </w:tc>
              <w:tc>
                <w:tcPr>
                  <w:tcW w:w="1482" w:type="dxa"/>
                  <w:tcBorders>
                    <w:tl2br w:val="nil"/>
                    <w:tr2bl w:val="nil"/>
                  </w:tcBorders>
                  <w:noWrap/>
                  <w:vAlign w:val="center"/>
                </w:tcPr>
                <w:p w14:paraId="1BECCDD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66A0E8B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1CC26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794FC998">
                  <w:pPr>
                    <w:jc w:val="center"/>
                    <w:rPr>
                      <w:rFonts w:hint="default" w:ascii="Times New Roman" w:hAnsi="Times New Roman" w:cs="Times New Roman"/>
                      <w:color w:val="auto"/>
                      <w:sz w:val="21"/>
                      <w:szCs w:val="21"/>
                      <w:highlight w:val="none"/>
                    </w:rPr>
                  </w:pPr>
                </w:p>
              </w:tc>
              <w:tc>
                <w:tcPr>
                  <w:tcW w:w="364" w:type="dxa"/>
                  <w:vMerge w:val="restart"/>
                  <w:tcBorders>
                    <w:tl2br w:val="nil"/>
                    <w:tr2bl w:val="nil"/>
                  </w:tcBorders>
                  <w:vAlign w:val="center"/>
                </w:tcPr>
                <w:p w14:paraId="04F5BB57">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A1.2</w:t>
                  </w:r>
                  <w:r>
                    <w:rPr>
                      <w:rFonts w:hint="default" w:ascii="Times New Roman" w:hAnsi="Times New Roman" w:cs="Times New Roman"/>
                      <w:color w:val="auto"/>
                      <w:kern w:val="0"/>
                      <w:sz w:val="21"/>
                      <w:szCs w:val="21"/>
                      <w:highlight w:val="none"/>
                      <w:lang w:bidi="ar"/>
                    </w:rPr>
                    <w:t>限制开发建设的活动</w:t>
                  </w:r>
                </w:p>
              </w:tc>
              <w:tc>
                <w:tcPr>
                  <w:tcW w:w="3401" w:type="dxa"/>
                  <w:tcBorders>
                    <w:tl2br w:val="nil"/>
                    <w:tr2bl w:val="nil"/>
                  </w:tcBorders>
                  <w:vAlign w:val="center"/>
                </w:tcPr>
                <w:p w14:paraId="6220BA77">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A1.2-1</w:t>
                  </w:r>
                  <w:r>
                    <w:rPr>
                      <w:rFonts w:hint="default" w:ascii="Times New Roman" w:hAnsi="Times New Roman" w:cs="Times New Roman"/>
                      <w:color w:val="auto"/>
                      <w:kern w:val="0"/>
                      <w:sz w:val="21"/>
                      <w:szCs w:val="21"/>
                      <w:highlight w:val="none"/>
                      <w:lang w:bidi="ar"/>
                    </w:rPr>
                    <w:t>〕严格控制缺水地区、水污染严重区域和敏感区域高耗水、高污染行业发展。</w:t>
                  </w:r>
                </w:p>
              </w:tc>
              <w:tc>
                <w:tcPr>
                  <w:tcW w:w="1482" w:type="dxa"/>
                  <w:tcBorders>
                    <w:tl2br w:val="nil"/>
                    <w:tr2bl w:val="nil"/>
                  </w:tcBorders>
                  <w:noWrap/>
                  <w:vAlign w:val="center"/>
                </w:tcPr>
                <w:p w14:paraId="1C9E5A7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本项目属于</w:t>
                  </w:r>
                  <w:r>
                    <w:rPr>
                      <w:rFonts w:hint="default" w:ascii="Times New Roman" w:hAnsi="Times New Roman" w:cs="Times New Roman"/>
                      <w:color w:val="auto"/>
                      <w:sz w:val="21"/>
                      <w:szCs w:val="21"/>
                      <w:highlight w:val="none"/>
                      <w:lang w:eastAsia="zh-CN"/>
                    </w:rPr>
                    <w:t>塑料薄膜制造项目</w:t>
                  </w:r>
                  <w:r>
                    <w:rPr>
                      <w:rFonts w:hint="default" w:ascii="Times New Roman" w:hAnsi="Times New Roman" w:cs="Times New Roman"/>
                      <w:color w:val="auto"/>
                      <w:sz w:val="21"/>
                      <w:szCs w:val="21"/>
                      <w:highlight w:val="none"/>
                    </w:rPr>
                    <w:t>，项目不属于</w:t>
                  </w:r>
                  <w:r>
                    <w:rPr>
                      <w:rFonts w:hint="default" w:ascii="Times New Roman" w:hAnsi="Times New Roman" w:cs="Times New Roman"/>
                      <w:color w:val="auto"/>
                      <w:kern w:val="0"/>
                      <w:sz w:val="21"/>
                      <w:szCs w:val="21"/>
                      <w:highlight w:val="none"/>
                      <w:lang w:bidi="ar"/>
                    </w:rPr>
                    <w:t>高污染</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排放</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、高能</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水</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耗、高环境风险的工业项目。</w:t>
                  </w:r>
                </w:p>
              </w:tc>
              <w:tc>
                <w:tcPr>
                  <w:tcW w:w="876" w:type="dxa"/>
                  <w:tcBorders>
                    <w:tl2br w:val="nil"/>
                    <w:tr2bl w:val="nil"/>
                  </w:tcBorders>
                  <w:noWrap/>
                  <w:vAlign w:val="center"/>
                </w:tcPr>
                <w:p w14:paraId="0201956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7A174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5FFEC5B1">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4BF2F57C">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42C07C40">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A1.2-2</w:t>
                  </w:r>
                  <w:r>
                    <w:rPr>
                      <w:rFonts w:hint="default" w:ascii="Times New Roman" w:hAnsi="Times New Roman" w:cs="Times New Roman"/>
                      <w:color w:val="auto"/>
                      <w:kern w:val="0"/>
                      <w:sz w:val="21"/>
                      <w:szCs w:val="21"/>
                      <w:highlight w:val="none"/>
                      <w:lang w:bidi="ar"/>
                    </w:rPr>
                    <w:t>〕建设项目用地原则上不得占用永久基本农田，确需占用永久基本农田的建设项目须符合《中华人民共和国基本农田保护条例》中相关要求，占用耕地、林地或草地的建设项目须按照国家、自治区相关补偿要求进行补偿。</w:t>
                  </w:r>
                </w:p>
              </w:tc>
              <w:tc>
                <w:tcPr>
                  <w:tcW w:w="1482" w:type="dxa"/>
                  <w:tcBorders>
                    <w:tl2br w:val="nil"/>
                    <w:tr2bl w:val="nil"/>
                  </w:tcBorders>
                  <w:noWrap/>
                  <w:vAlign w:val="center"/>
                </w:tcPr>
                <w:p w14:paraId="6D6B73C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4E463D1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C9D97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08048BA7">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316E31A7">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6B739F0B">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A1.2-3</w:t>
                  </w:r>
                  <w:r>
                    <w:rPr>
                      <w:rFonts w:hint="default" w:ascii="Times New Roman" w:hAnsi="Times New Roman" w:cs="Times New Roman"/>
                      <w:color w:val="auto"/>
                      <w:kern w:val="0"/>
                      <w:sz w:val="21"/>
                      <w:szCs w:val="21"/>
                      <w:highlight w:val="none"/>
                      <w:lang w:bidi="ar"/>
                    </w:rPr>
                    <w:t>〕以用途变更为住宅、公共管理与公共服务用地的地块为重点，严格建设用地准入管理和风险管控，未依法完成土壤污染状况调查或风险评估的地块，不得开工建设与风险管控和修复无关的项目。</w:t>
                  </w:r>
                </w:p>
              </w:tc>
              <w:tc>
                <w:tcPr>
                  <w:tcW w:w="1482" w:type="dxa"/>
                  <w:tcBorders>
                    <w:tl2br w:val="nil"/>
                    <w:tr2bl w:val="nil"/>
                  </w:tcBorders>
                  <w:noWrap/>
                  <w:vAlign w:val="center"/>
                </w:tcPr>
                <w:p w14:paraId="4DA95ED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75A8ED1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8FCE9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74D84F81">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296EEDB1">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1FA17373">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A1.2-4</w:t>
                  </w:r>
                  <w:r>
                    <w:rPr>
                      <w:rFonts w:hint="default" w:ascii="Times New Roman" w:hAnsi="Times New Roman" w:cs="Times New Roman"/>
                      <w:color w:val="auto"/>
                      <w:kern w:val="0"/>
                      <w:sz w:val="21"/>
                      <w:szCs w:val="21"/>
                      <w:highlight w:val="none"/>
                      <w:lang w:bidi="ar"/>
                    </w:rPr>
                    <w:t>〕严格控制建设项目占用湿地。因国家和自治区重点建设工程、基础设施建设，以及重点公益性项目建设，确需占用湿地的，应当按照有关</w:t>
                  </w:r>
                  <w:r>
                    <w:rPr>
                      <w:rFonts w:hint="default" w:ascii="Times New Roman" w:hAnsi="Times New Roman" w:cs="Times New Roman"/>
                      <w:color w:val="auto"/>
                      <w:kern w:val="0"/>
                      <w:sz w:val="21"/>
                      <w:szCs w:val="21"/>
                      <w:highlight w:val="none"/>
                      <w:lang w:eastAsia="zh-CN" w:bidi="ar"/>
                    </w:rPr>
                    <w:t>法律法规</w:t>
                  </w:r>
                  <w:r>
                    <w:rPr>
                      <w:rFonts w:hint="default" w:ascii="Times New Roman" w:hAnsi="Times New Roman" w:cs="Times New Roman"/>
                      <w:color w:val="auto"/>
                      <w:kern w:val="0"/>
                      <w:sz w:val="21"/>
                      <w:szCs w:val="21"/>
                      <w:highlight w:val="none"/>
                      <w:lang w:bidi="ar"/>
                    </w:rPr>
                    <w:t>规定的权限和程序办理批准手续。</w:t>
                  </w:r>
                </w:p>
              </w:tc>
              <w:tc>
                <w:tcPr>
                  <w:tcW w:w="1482" w:type="dxa"/>
                  <w:tcBorders>
                    <w:tl2br w:val="nil"/>
                    <w:tr2bl w:val="nil"/>
                  </w:tcBorders>
                  <w:noWrap/>
                  <w:vAlign w:val="center"/>
                </w:tcPr>
                <w:p w14:paraId="0FD6B59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3B00CE7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E2F2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09A5C10C">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36EBAE72">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0A901107">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A1.2-5</w:t>
                  </w:r>
                  <w:r>
                    <w:rPr>
                      <w:rFonts w:hint="default" w:ascii="Times New Roman" w:hAnsi="Times New Roman" w:cs="Times New Roman"/>
                      <w:color w:val="auto"/>
                      <w:kern w:val="0"/>
                      <w:sz w:val="21"/>
                      <w:szCs w:val="21"/>
                      <w:highlight w:val="none"/>
                      <w:lang w:bidi="ar"/>
                    </w:rPr>
                    <w:t>〕严格管控自然保护地范围内非生态活动，稳妥推进核心区内居民、耕地有序退出，矿权依法依规退出。</w:t>
                  </w:r>
                </w:p>
              </w:tc>
              <w:tc>
                <w:tcPr>
                  <w:tcW w:w="1482" w:type="dxa"/>
                  <w:tcBorders>
                    <w:tl2br w:val="nil"/>
                    <w:tr2bl w:val="nil"/>
                  </w:tcBorders>
                  <w:noWrap/>
                  <w:vAlign w:val="center"/>
                </w:tcPr>
                <w:p w14:paraId="53E9E33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4EBE1B6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4F94C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1FCBA23">
                  <w:pPr>
                    <w:jc w:val="center"/>
                    <w:rPr>
                      <w:rFonts w:hint="default" w:ascii="Times New Roman" w:hAnsi="Times New Roman" w:cs="Times New Roman"/>
                      <w:color w:val="auto"/>
                      <w:sz w:val="21"/>
                      <w:szCs w:val="21"/>
                      <w:highlight w:val="none"/>
                    </w:rPr>
                  </w:pPr>
                </w:p>
              </w:tc>
              <w:tc>
                <w:tcPr>
                  <w:tcW w:w="364" w:type="dxa"/>
                  <w:vMerge w:val="restart"/>
                  <w:tcBorders>
                    <w:tl2br w:val="nil"/>
                    <w:tr2bl w:val="nil"/>
                  </w:tcBorders>
                  <w:vAlign w:val="center"/>
                </w:tcPr>
                <w:p w14:paraId="777D9D83">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A1.3</w:t>
                  </w:r>
                  <w:r>
                    <w:rPr>
                      <w:rFonts w:hint="default" w:ascii="Times New Roman" w:hAnsi="Times New Roman" w:cs="Times New Roman"/>
                      <w:color w:val="auto"/>
                      <w:kern w:val="0"/>
                      <w:sz w:val="21"/>
                      <w:szCs w:val="21"/>
                      <w:highlight w:val="none"/>
                      <w:lang w:bidi="ar"/>
                    </w:rPr>
                    <w:t>不符合空间布局要求活动的退出要求</w:t>
                  </w:r>
                </w:p>
              </w:tc>
              <w:tc>
                <w:tcPr>
                  <w:tcW w:w="3401" w:type="dxa"/>
                  <w:tcBorders>
                    <w:tl2br w:val="nil"/>
                    <w:tr2bl w:val="nil"/>
                  </w:tcBorders>
                  <w:vAlign w:val="center"/>
                </w:tcPr>
                <w:p w14:paraId="2910B1C3">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A1.3-1</w:t>
                  </w:r>
                  <w:r>
                    <w:rPr>
                      <w:rFonts w:hint="default" w:ascii="Times New Roman" w:hAnsi="Times New Roman" w:cs="Times New Roman"/>
                      <w:color w:val="auto"/>
                      <w:kern w:val="0"/>
                      <w:sz w:val="21"/>
                      <w:szCs w:val="21"/>
                      <w:highlight w:val="none"/>
                      <w:lang w:bidi="ar"/>
                    </w:rPr>
                    <w:t>〕任何单位和个人不得在水源涵养区、饮用水水源保护区内和河流、湖泊、水库周围建设重化工、涉重金属等工业污染项目；对已建成的工业污染项目，当地人民政府应当组织限期搬迁。</w:t>
                  </w:r>
                </w:p>
              </w:tc>
              <w:tc>
                <w:tcPr>
                  <w:tcW w:w="1482" w:type="dxa"/>
                  <w:tcBorders>
                    <w:tl2br w:val="nil"/>
                    <w:tr2bl w:val="nil"/>
                  </w:tcBorders>
                  <w:noWrap/>
                  <w:vAlign w:val="center"/>
                </w:tcPr>
                <w:p w14:paraId="0080536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560BFD1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E9A86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0AF5B436">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0F0F4174">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574EBDB4">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A1.3-2</w:t>
                  </w:r>
                  <w:r>
                    <w:rPr>
                      <w:rFonts w:hint="default" w:ascii="Times New Roman" w:hAnsi="Times New Roman" w:cs="Times New Roman"/>
                      <w:color w:val="auto"/>
                      <w:kern w:val="0"/>
                      <w:sz w:val="21"/>
                      <w:szCs w:val="21"/>
                      <w:highlight w:val="none"/>
                      <w:lang w:bidi="ar"/>
                    </w:rPr>
                    <w:t>〕对不符合国家产业政策、严重污染水环境的生产项目全部予以取缔。</w:t>
                  </w:r>
                </w:p>
              </w:tc>
              <w:tc>
                <w:tcPr>
                  <w:tcW w:w="1482" w:type="dxa"/>
                  <w:tcBorders>
                    <w:tl2br w:val="nil"/>
                    <w:tr2bl w:val="nil"/>
                  </w:tcBorders>
                  <w:noWrap/>
                  <w:vAlign w:val="center"/>
                </w:tcPr>
                <w:p w14:paraId="02D095E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1714A8C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897CE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592E4D4E">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60587FBA">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3E28ECF8">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A1.3-3</w:t>
                  </w:r>
                  <w:r>
                    <w:rPr>
                      <w:rFonts w:hint="default" w:ascii="Times New Roman" w:hAnsi="Times New Roman" w:cs="Times New Roman"/>
                      <w:color w:val="auto"/>
                      <w:kern w:val="0"/>
                      <w:sz w:val="21"/>
                      <w:szCs w:val="21"/>
                      <w:highlight w:val="none"/>
                      <w:lang w:bidi="ar"/>
                    </w:rPr>
                    <w:t>〕根据《产业结构调整指导目录》《限期淘汰产生严重污染环境的工业固体废物的落后生产工艺设备名录》等要求，配合有关部门依法淘汰烧结</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鼓风炉炼铅工艺炼铅等涉重金属落后产能和化解过剩产能。严格执行生态环境保护等相关法规标准，推动经整改仍达不到要求的产能依法依规关闭退出。</w:t>
                  </w:r>
                </w:p>
              </w:tc>
              <w:tc>
                <w:tcPr>
                  <w:tcW w:w="1482" w:type="dxa"/>
                  <w:tcBorders>
                    <w:tl2br w:val="nil"/>
                    <w:tr2bl w:val="nil"/>
                  </w:tcBorders>
                  <w:noWrap/>
                  <w:vAlign w:val="center"/>
                </w:tcPr>
                <w:p w14:paraId="4317BD3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重金属落后产能和化解过剩产能</w:t>
                  </w:r>
                </w:p>
              </w:tc>
              <w:tc>
                <w:tcPr>
                  <w:tcW w:w="876" w:type="dxa"/>
                  <w:tcBorders>
                    <w:tl2br w:val="nil"/>
                    <w:tr2bl w:val="nil"/>
                  </w:tcBorders>
                  <w:noWrap/>
                  <w:vAlign w:val="center"/>
                </w:tcPr>
                <w:p w14:paraId="00C38A2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E1388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2D86BF9">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63B2EBFF">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62148CD9">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A1.3-4</w:t>
                  </w:r>
                  <w:r>
                    <w:rPr>
                      <w:rFonts w:hint="default" w:ascii="Times New Roman" w:hAnsi="Times New Roman" w:cs="Times New Roman"/>
                      <w:color w:val="auto"/>
                      <w:kern w:val="0"/>
                      <w:sz w:val="21"/>
                      <w:szCs w:val="21"/>
                      <w:highlight w:val="none"/>
                      <w:lang w:bidi="ar"/>
                    </w:rPr>
                    <w:t>〕城市建成区、重点流域内已建成投产化工企业和危险化学品生产企业应加快退城入园，搬入化工园区前企业不应实施改扩建工程扩大生产规模。</w:t>
                  </w:r>
                </w:p>
              </w:tc>
              <w:tc>
                <w:tcPr>
                  <w:tcW w:w="1482" w:type="dxa"/>
                  <w:tcBorders>
                    <w:tl2br w:val="nil"/>
                    <w:tr2bl w:val="nil"/>
                  </w:tcBorders>
                  <w:noWrap/>
                  <w:vAlign w:val="center"/>
                </w:tcPr>
                <w:p w14:paraId="496C3A4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58054AC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C984D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E672FF2">
                  <w:pPr>
                    <w:jc w:val="center"/>
                    <w:rPr>
                      <w:rFonts w:hint="default" w:ascii="Times New Roman" w:hAnsi="Times New Roman" w:cs="Times New Roman"/>
                      <w:color w:val="auto"/>
                      <w:sz w:val="21"/>
                      <w:szCs w:val="21"/>
                      <w:highlight w:val="none"/>
                    </w:rPr>
                  </w:pPr>
                </w:p>
              </w:tc>
              <w:tc>
                <w:tcPr>
                  <w:tcW w:w="364" w:type="dxa"/>
                  <w:vMerge w:val="restart"/>
                  <w:tcBorders>
                    <w:tl2br w:val="nil"/>
                    <w:tr2bl w:val="nil"/>
                  </w:tcBorders>
                  <w:vAlign w:val="center"/>
                </w:tcPr>
                <w:p w14:paraId="47A73446">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A1.4</w:t>
                  </w:r>
                  <w:r>
                    <w:rPr>
                      <w:rFonts w:hint="default" w:ascii="Times New Roman" w:hAnsi="Times New Roman" w:cs="Times New Roman"/>
                      <w:color w:val="auto"/>
                      <w:kern w:val="0"/>
                      <w:sz w:val="21"/>
                      <w:szCs w:val="21"/>
                      <w:highlight w:val="none"/>
                      <w:lang w:bidi="ar"/>
                    </w:rPr>
                    <w:t>其它布局要求</w:t>
                  </w:r>
                </w:p>
              </w:tc>
              <w:tc>
                <w:tcPr>
                  <w:tcW w:w="3401" w:type="dxa"/>
                  <w:tcBorders>
                    <w:tl2br w:val="nil"/>
                    <w:tr2bl w:val="nil"/>
                  </w:tcBorders>
                  <w:vAlign w:val="center"/>
                </w:tcPr>
                <w:p w14:paraId="748D47B4">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A1.4-1</w:t>
                  </w:r>
                  <w:r>
                    <w:rPr>
                      <w:rFonts w:hint="default" w:ascii="Times New Roman" w:hAnsi="Times New Roman" w:cs="Times New Roman"/>
                      <w:color w:val="auto"/>
                      <w:kern w:val="0"/>
                      <w:sz w:val="21"/>
                      <w:szCs w:val="21"/>
                      <w:highlight w:val="none"/>
                      <w:lang w:bidi="ar"/>
                    </w:rPr>
                    <w:t>〕一切开发建设活动应符合国家、自治区主体功能区规划、自治区和各地颁布实施的生态环境功能区划、国民经济发展规划、产业发展规划、国土空间规划等相关规划及重点生态功能区负面清单要求，符合区域或产业规划环评要求。</w:t>
                  </w:r>
                </w:p>
              </w:tc>
              <w:tc>
                <w:tcPr>
                  <w:tcW w:w="1482" w:type="dxa"/>
                  <w:tcBorders>
                    <w:tl2br w:val="nil"/>
                    <w:tr2bl w:val="nil"/>
                  </w:tcBorders>
                  <w:noWrap/>
                  <w:vAlign w:val="center"/>
                </w:tcPr>
                <w:p w14:paraId="6B04C24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309DB0E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A9794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69E8FC27">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2A1E4C3F">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675FCBD3">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A1.4-2</w:t>
                  </w:r>
                  <w:r>
                    <w:rPr>
                      <w:rFonts w:hint="default" w:ascii="Times New Roman" w:hAnsi="Times New Roman" w:cs="Times New Roman"/>
                      <w:color w:val="auto"/>
                      <w:kern w:val="0"/>
                      <w:sz w:val="21"/>
                      <w:szCs w:val="21"/>
                      <w:highlight w:val="none"/>
                      <w:lang w:bidi="ar"/>
                    </w:rPr>
                    <w:t>〕新建、扩建石化、化工、焦化、有色金属冶炼、平板玻璃项目应布设在依法合规设立并经规划环评的产业园区。</w:t>
                  </w:r>
                </w:p>
              </w:tc>
              <w:tc>
                <w:tcPr>
                  <w:tcW w:w="1482" w:type="dxa"/>
                  <w:tcBorders>
                    <w:tl2br w:val="nil"/>
                    <w:tr2bl w:val="nil"/>
                  </w:tcBorders>
                  <w:noWrap/>
                  <w:vAlign w:val="center"/>
                </w:tcPr>
                <w:p w14:paraId="611B4DA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6F7F882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798F1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74267D27">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039C33AA">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1A76A2DA">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A1.4-3</w:t>
                  </w:r>
                  <w:r>
                    <w:rPr>
                      <w:rFonts w:hint="default" w:ascii="Times New Roman" w:hAnsi="Times New Roman" w:cs="Times New Roman"/>
                      <w:color w:val="auto"/>
                      <w:kern w:val="0"/>
                      <w:sz w:val="21"/>
                      <w:szCs w:val="21"/>
                      <w:highlight w:val="none"/>
                      <w:lang w:bidi="ar"/>
                    </w:rPr>
                    <w:t>〕危险化学品生产企业搬迁改造及新建化工项目必须进入国家及自治区各级人民政府正式批准设立，规划环评通过审查，规划通过审批且环保基础设施完善的工业园区，并符合国土空间规划、产业发展规划和生态红线管控要求。</w:t>
                  </w:r>
                </w:p>
              </w:tc>
              <w:tc>
                <w:tcPr>
                  <w:tcW w:w="1482" w:type="dxa"/>
                  <w:tcBorders>
                    <w:tl2br w:val="nil"/>
                    <w:tr2bl w:val="nil"/>
                  </w:tcBorders>
                  <w:noWrap/>
                  <w:vAlign w:val="center"/>
                </w:tcPr>
                <w:p w14:paraId="5452517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750C655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41B7F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restart"/>
                  <w:tcBorders>
                    <w:tl2br w:val="nil"/>
                    <w:tr2bl w:val="nil"/>
                  </w:tcBorders>
                  <w:vAlign w:val="center"/>
                </w:tcPr>
                <w:p w14:paraId="417E6A13">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A2</w:t>
                  </w:r>
                  <w:r>
                    <w:rPr>
                      <w:rFonts w:hint="default" w:ascii="Times New Roman" w:hAnsi="Times New Roman" w:cs="Times New Roman"/>
                      <w:color w:val="auto"/>
                      <w:kern w:val="0"/>
                      <w:sz w:val="21"/>
                      <w:szCs w:val="21"/>
                      <w:highlight w:val="none"/>
                      <w:lang w:bidi="ar"/>
                    </w:rPr>
                    <w:t>污染物排放管控</w:t>
                  </w:r>
                </w:p>
              </w:tc>
              <w:tc>
                <w:tcPr>
                  <w:tcW w:w="364" w:type="dxa"/>
                  <w:vMerge w:val="restart"/>
                  <w:tcBorders>
                    <w:tl2br w:val="nil"/>
                    <w:tr2bl w:val="nil"/>
                  </w:tcBorders>
                  <w:vAlign w:val="center"/>
                </w:tcPr>
                <w:p w14:paraId="29B83E55">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A2.1</w:t>
                  </w:r>
                  <w:r>
                    <w:rPr>
                      <w:rFonts w:hint="default" w:ascii="Times New Roman" w:hAnsi="Times New Roman" w:cs="Times New Roman"/>
                      <w:color w:val="auto"/>
                      <w:kern w:val="0"/>
                      <w:sz w:val="21"/>
                      <w:szCs w:val="21"/>
                      <w:highlight w:val="none"/>
                      <w:lang w:bidi="ar"/>
                    </w:rPr>
                    <w:t>污染物削减</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替代要求</w:t>
                  </w:r>
                </w:p>
              </w:tc>
              <w:tc>
                <w:tcPr>
                  <w:tcW w:w="3401" w:type="dxa"/>
                  <w:tcBorders>
                    <w:tl2br w:val="nil"/>
                    <w:tr2bl w:val="nil"/>
                  </w:tcBorders>
                  <w:vAlign w:val="center"/>
                </w:tcPr>
                <w:p w14:paraId="1C3C1E25">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A2.1-1</w:t>
                  </w:r>
                  <w:r>
                    <w:rPr>
                      <w:rFonts w:hint="default" w:ascii="Times New Roman" w:hAnsi="Times New Roman" w:cs="Times New Roman"/>
                      <w:color w:val="auto"/>
                      <w:kern w:val="0"/>
                      <w:sz w:val="21"/>
                      <w:szCs w:val="21"/>
                      <w:highlight w:val="none"/>
                      <w:lang w:bidi="ar"/>
                    </w:rPr>
                    <w:t>〕新、改、扩建重点行业建设项目应符合</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三线一单</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、产业政策、区域环评、规划环评和行业环境准入管控要求。重点区域的新、改、扩建重点行业建设项目应遵循重点重金属污染物排放</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减量替代</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原则。</w:t>
                  </w:r>
                </w:p>
              </w:tc>
              <w:tc>
                <w:tcPr>
                  <w:tcW w:w="1482" w:type="dxa"/>
                  <w:tcBorders>
                    <w:tl2br w:val="nil"/>
                    <w:tr2bl w:val="nil"/>
                  </w:tcBorders>
                  <w:noWrap/>
                  <w:vAlign w:val="center"/>
                </w:tcPr>
                <w:p w14:paraId="495D2E0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16BCCD4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FC0A7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0DE5C4EE">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42C0A292">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73299925">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A2.1-2</w:t>
                  </w:r>
                  <w:r>
                    <w:rPr>
                      <w:rFonts w:hint="default" w:ascii="Times New Roman" w:hAnsi="Times New Roman" w:cs="Times New Roman"/>
                      <w:color w:val="auto"/>
                      <w:kern w:val="0"/>
                      <w:sz w:val="21"/>
                      <w:szCs w:val="21"/>
                      <w:highlight w:val="none"/>
                      <w:lang w:bidi="ar"/>
                    </w:rPr>
                    <w:t>〕以石化、化工、涂装、医药、包装印刷、油品储运销等行业领域为重点，安全高效推进挥发性有机物综合治理，实施原辅材料和产品源头替代工程。</w:t>
                  </w:r>
                </w:p>
              </w:tc>
              <w:tc>
                <w:tcPr>
                  <w:tcW w:w="1482" w:type="dxa"/>
                  <w:tcBorders>
                    <w:tl2br w:val="nil"/>
                    <w:tr2bl w:val="nil"/>
                  </w:tcBorders>
                  <w:noWrap/>
                  <w:vAlign w:val="center"/>
                </w:tcPr>
                <w:p w14:paraId="1DE5260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7AF1226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DE862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6CE3BF76">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7834FAEA">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238AD653">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A2.1-3</w:t>
                  </w:r>
                  <w:r>
                    <w:rPr>
                      <w:rFonts w:hint="default" w:ascii="Times New Roman" w:hAnsi="Times New Roman" w:cs="Times New Roman"/>
                      <w:color w:val="auto"/>
                      <w:kern w:val="0"/>
                      <w:sz w:val="21"/>
                      <w:szCs w:val="21"/>
                      <w:highlight w:val="none"/>
                      <w:lang w:bidi="ar"/>
                    </w:rPr>
                    <w:t>〕促进大气污染物与温室气体协同控制。实施污染物和温室气体协同控制，实现减污降碳协同效应。开展工业、农业温室气体和污染减排协同控制研究，减少温室气体和污染物排放。强化污水、垃圾等集中处置设施环境管理，协同控制氢氟碳化物、甲烷、氧化亚氮等温室气体。加强节约能源与大气污染防治协同有效衔接，促进大气污染防治协同增效。</w:t>
                  </w:r>
                </w:p>
              </w:tc>
              <w:tc>
                <w:tcPr>
                  <w:tcW w:w="1482" w:type="dxa"/>
                  <w:tcBorders>
                    <w:tl2br w:val="nil"/>
                    <w:tr2bl w:val="nil"/>
                  </w:tcBorders>
                  <w:noWrap/>
                  <w:vAlign w:val="center"/>
                </w:tcPr>
                <w:p w14:paraId="204CF69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439D8AF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258DA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71E2485">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4A6BD975">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268240DC">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A2.1-4</w:t>
                  </w:r>
                  <w:r>
                    <w:rPr>
                      <w:rFonts w:hint="default" w:ascii="Times New Roman" w:hAnsi="Times New Roman" w:cs="Times New Roman"/>
                      <w:color w:val="auto"/>
                      <w:kern w:val="0"/>
                      <w:sz w:val="21"/>
                      <w:szCs w:val="21"/>
                      <w:highlight w:val="none"/>
                      <w:lang w:bidi="ar"/>
                    </w:rPr>
                    <w:t>〕严控建材、铸造、冶炼等行业无组织排放，推进石化、化工、涂装、医药、包装印刷、油品储运销等行业项目挥发性有机物</w:t>
                  </w:r>
                  <w:r>
                    <w:rPr>
                      <w:rStyle w:val="66"/>
                      <w:rFonts w:hint="default" w:ascii="Times New Roman" w:hAnsi="Times New Roman" w:cs="Times New Roman"/>
                      <w:color w:val="auto"/>
                      <w:sz w:val="21"/>
                      <w:szCs w:val="21"/>
                      <w:highlight w:val="none"/>
                      <w:lang w:bidi="ar"/>
                    </w:rPr>
                    <w:t>(</w:t>
                  </w:r>
                  <w:r>
                    <w:rPr>
                      <w:rStyle w:val="66"/>
                      <w:rFonts w:hint="default" w:ascii="Times New Roman" w:hAnsi="Times New Roman" w:cs="Times New Roman"/>
                      <w:color w:val="auto"/>
                      <w:sz w:val="21"/>
                      <w:szCs w:val="21"/>
                      <w:highlight w:val="none"/>
                      <w:lang w:eastAsia="zh-CN" w:bidi="ar"/>
                    </w:rPr>
                    <w:t>VOCs（以非甲烷总烃计）</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防治。严格有色金属冶炼、石油加工、化工、焦化等行业项目的土壤、地下水污染防治措施要求。推进工业园区和企业集群建设涉</w:t>
                  </w:r>
                  <w:r>
                    <w:rPr>
                      <w:rStyle w:val="66"/>
                      <w:rFonts w:hint="default" w:ascii="Times New Roman" w:hAnsi="Times New Roman" w:cs="Times New Roman"/>
                      <w:color w:val="auto"/>
                      <w:sz w:val="21"/>
                      <w:szCs w:val="21"/>
                      <w:highlight w:val="none"/>
                      <w:lang w:eastAsia="zh-CN" w:bidi="ar"/>
                    </w:rPr>
                    <w:t>VOCs（以非甲烷总烃计）</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绿岛</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项目，统筹规划建设一批集中涂装中心、活性炭集中处理中心、溶剂回收中心等，实现</w:t>
                  </w:r>
                  <w:r>
                    <w:rPr>
                      <w:rStyle w:val="66"/>
                      <w:rFonts w:hint="default" w:ascii="Times New Roman" w:hAnsi="Times New Roman" w:cs="Times New Roman"/>
                      <w:color w:val="auto"/>
                      <w:sz w:val="21"/>
                      <w:szCs w:val="21"/>
                      <w:highlight w:val="none"/>
                      <w:lang w:eastAsia="zh-CN" w:bidi="ar"/>
                    </w:rPr>
                    <w:t>VOCs（以非甲烷总烃计）</w:t>
                  </w:r>
                  <w:r>
                    <w:rPr>
                      <w:rFonts w:hint="default" w:ascii="Times New Roman" w:hAnsi="Times New Roman" w:cs="Times New Roman"/>
                      <w:color w:val="auto"/>
                      <w:kern w:val="0"/>
                      <w:sz w:val="21"/>
                      <w:szCs w:val="21"/>
                      <w:highlight w:val="none"/>
                      <w:lang w:bidi="ar"/>
                    </w:rPr>
                    <w:t>集中高效处理。</w:t>
                  </w:r>
                </w:p>
              </w:tc>
              <w:tc>
                <w:tcPr>
                  <w:tcW w:w="1482" w:type="dxa"/>
                  <w:tcBorders>
                    <w:tl2br w:val="nil"/>
                    <w:tr2bl w:val="nil"/>
                  </w:tcBorders>
                  <w:noWrap/>
                  <w:vAlign w:val="center"/>
                </w:tcPr>
                <w:p w14:paraId="6DFF0C3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6C84811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9C84DE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15B2BD7B">
                  <w:pPr>
                    <w:jc w:val="center"/>
                    <w:rPr>
                      <w:rFonts w:hint="default" w:ascii="Times New Roman" w:hAnsi="Times New Roman" w:cs="Times New Roman"/>
                      <w:color w:val="auto"/>
                      <w:sz w:val="21"/>
                      <w:szCs w:val="21"/>
                      <w:highlight w:val="none"/>
                    </w:rPr>
                  </w:pPr>
                </w:p>
              </w:tc>
              <w:tc>
                <w:tcPr>
                  <w:tcW w:w="364" w:type="dxa"/>
                  <w:vMerge w:val="restart"/>
                  <w:tcBorders>
                    <w:tl2br w:val="nil"/>
                    <w:tr2bl w:val="nil"/>
                  </w:tcBorders>
                  <w:vAlign w:val="center"/>
                </w:tcPr>
                <w:p w14:paraId="051BE277">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A2.2</w:t>
                  </w:r>
                  <w:r>
                    <w:rPr>
                      <w:rFonts w:hint="default" w:ascii="Times New Roman" w:hAnsi="Times New Roman" w:cs="Times New Roman"/>
                      <w:color w:val="auto"/>
                      <w:kern w:val="0"/>
                      <w:sz w:val="21"/>
                      <w:szCs w:val="21"/>
                      <w:highlight w:val="none"/>
                      <w:lang w:bidi="ar"/>
                    </w:rPr>
                    <w:t>污染控制措施要求</w:t>
                  </w:r>
                </w:p>
              </w:tc>
              <w:tc>
                <w:tcPr>
                  <w:tcW w:w="3401" w:type="dxa"/>
                  <w:tcBorders>
                    <w:tl2br w:val="nil"/>
                    <w:tr2bl w:val="nil"/>
                  </w:tcBorders>
                  <w:vAlign w:val="center"/>
                </w:tcPr>
                <w:p w14:paraId="19CBAD59">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A2.2-1</w:t>
                  </w:r>
                  <w:r>
                    <w:rPr>
                      <w:rFonts w:hint="default" w:ascii="Times New Roman" w:hAnsi="Times New Roman" w:cs="Times New Roman"/>
                      <w:color w:val="auto"/>
                      <w:kern w:val="0"/>
                      <w:sz w:val="21"/>
                      <w:szCs w:val="21"/>
                      <w:highlight w:val="none"/>
                      <w:lang w:bidi="ar"/>
                    </w:rPr>
                    <w:t>〕推动能源、钢铁、建材、有色、电力、化工等重点领域技术升级，控制工业过程温室气体排放，推动工业领域绿色低碳发展。积极鼓励发展二氧化碳捕集利用与封存等低碳技术。促进大气污染物与温室气体协同控制。实施污染物和温室气体协同控制，实现减污降碳协同效应。强化污水、垃圾等集中处置设施环境管理，协同控制氢氟碳化物、甲烷、氧化亚氮等温室气体。加强节约能源与大气污染防治协同有效衔接，促进大气污染防治协同增效。</w:t>
                  </w:r>
                </w:p>
              </w:tc>
              <w:tc>
                <w:tcPr>
                  <w:tcW w:w="1482" w:type="dxa"/>
                  <w:tcBorders>
                    <w:tl2br w:val="nil"/>
                    <w:tr2bl w:val="nil"/>
                  </w:tcBorders>
                  <w:noWrap/>
                  <w:vAlign w:val="center"/>
                </w:tcPr>
                <w:p w14:paraId="35C5F91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06F0AA7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3E114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74626DDD">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7F1D9F48">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2E7491DB">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A2.2-2</w:t>
                  </w:r>
                  <w:r>
                    <w:rPr>
                      <w:rFonts w:hint="default" w:ascii="Times New Roman" w:hAnsi="Times New Roman" w:cs="Times New Roman"/>
                      <w:color w:val="auto"/>
                      <w:kern w:val="0"/>
                      <w:sz w:val="21"/>
                      <w:szCs w:val="21"/>
                      <w:highlight w:val="none"/>
                      <w:lang w:bidi="ar"/>
                    </w:rPr>
                    <w:t>〕实施重点行业氮氧化物等污染物深度治理。持续推进钢铁、水泥、焦化行业超低排放改造。推进玻璃、陶瓷、铸造、铁合金、有色、煤化和石化等行业采取清洁生产、提标改造、深度治理等综合措施。加强自备燃煤机组污染治理设施运行管控，确保按照超低排放标准运行。针对铸造、铁合金、焦化、水泥、砖瓦、石灰、耐火材料、金属冶炼以及煤化工、石油化工等行业，严格控制物料储存、输送及生产工艺过程无组织排放。重点涉气排放企业逐步取消烟气旁路，因安全生产无法取消的，安装在线监控系统。</w:t>
                  </w:r>
                </w:p>
              </w:tc>
              <w:tc>
                <w:tcPr>
                  <w:tcW w:w="1482" w:type="dxa"/>
                  <w:tcBorders>
                    <w:tl2br w:val="nil"/>
                    <w:tr2bl w:val="nil"/>
                  </w:tcBorders>
                  <w:noWrap/>
                  <w:vAlign w:val="center"/>
                </w:tcPr>
                <w:p w14:paraId="490C4C6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钢铁、水泥、焦化行业超低排放改造</w:t>
                  </w:r>
                </w:p>
              </w:tc>
              <w:tc>
                <w:tcPr>
                  <w:tcW w:w="876" w:type="dxa"/>
                  <w:tcBorders>
                    <w:tl2br w:val="nil"/>
                    <w:tr2bl w:val="nil"/>
                  </w:tcBorders>
                  <w:noWrap/>
                  <w:vAlign w:val="center"/>
                </w:tcPr>
                <w:p w14:paraId="77DC276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D310F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7CDA8539">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6635C8CD">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38654C4C">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A2.2-3</w:t>
                  </w:r>
                  <w:r>
                    <w:rPr>
                      <w:rFonts w:hint="default" w:ascii="Times New Roman" w:hAnsi="Times New Roman" w:cs="Times New Roman"/>
                      <w:color w:val="auto"/>
                      <w:kern w:val="0"/>
                      <w:sz w:val="21"/>
                      <w:szCs w:val="21"/>
                      <w:highlight w:val="none"/>
                      <w:lang w:bidi="ar"/>
                    </w:rPr>
                    <w:t>〕强化重点区域大气污染联防联控，合理确定产业布局，推动区域内统一产业准入和排放标准。实施水泥行业错峰生产，推进散煤整治、挥发性有机污染物综合治理、钢铁、水泥、焦化和燃煤工业锅炉行业超低排放改造、燃气锅炉低氮燃烧改造、工业园区内轨道运输</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大宗货物</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公转铁</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、柴油货车治理、锅炉炉窑综合治理等工程项目。全面推行绿色施工，持续推动城市建成区重污染企业搬迁或关闭退出。</w:t>
                  </w:r>
                </w:p>
              </w:tc>
              <w:tc>
                <w:tcPr>
                  <w:tcW w:w="1482" w:type="dxa"/>
                  <w:tcBorders>
                    <w:tl2br w:val="nil"/>
                    <w:tr2bl w:val="nil"/>
                  </w:tcBorders>
                  <w:noWrap/>
                  <w:vAlign w:val="center"/>
                </w:tcPr>
                <w:p w14:paraId="212CC1B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散煤整治、挥发性有机污染物综合治理、钢铁、水泥、焦化和燃煤工业锅炉行业超低排放改造</w:t>
                  </w:r>
                </w:p>
              </w:tc>
              <w:tc>
                <w:tcPr>
                  <w:tcW w:w="876" w:type="dxa"/>
                  <w:tcBorders>
                    <w:tl2br w:val="nil"/>
                    <w:tr2bl w:val="nil"/>
                  </w:tcBorders>
                  <w:noWrap/>
                  <w:vAlign w:val="center"/>
                </w:tcPr>
                <w:p w14:paraId="4D0FAB7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44BD7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0E390293">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3C246AB0">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5C1DBEFF">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A2.2-4</w:t>
                  </w:r>
                  <w:r>
                    <w:rPr>
                      <w:rFonts w:hint="default" w:ascii="Times New Roman" w:hAnsi="Times New Roman" w:cs="Times New Roman"/>
                      <w:color w:val="auto"/>
                      <w:kern w:val="0"/>
                      <w:sz w:val="21"/>
                      <w:szCs w:val="21"/>
                      <w:highlight w:val="none"/>
                      <w:lang w:bidi="ar"/>
                    </w:rPr>
                    <w:t>〕强化用水定额管理。推进地下水超采综合治理。开展河湖生态流量</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水量</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确定工作，强化生态用水保障。</w:t>
                  </w:r>
                </w:p>
              </w:tc>
              <w:tc>
                <w:tcPr>
                  <w:tcW w:w="1482" w:type="dxa"/>
                  <w:tcBorders>
                    <w:tl2br w:val="nil"/>
                    <w:tr2bl w:val="nil"/>
                  </w:tcBorders>
                  <w:noWrap/>
                  <w:vAlign w:val="center"/>
                </w:tcPr>
                <w:p w14:paraId="7C352D6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地下水开采</w:t>
                  </w:r>
                </w:p>
              </w:tc>
              <w:tc>
                <w:tcPr>
                  <w:tcW w:w="876" w:type="dxa"/>
                  <w:tcBorders>
                    <w:tl2br w:val="nil"/>
                    <w:tr2bl w:val="nil"/>
                  </w:tcBorders>
                  <w:noWrap/>
                  <w:vAlign w:val="center"/>
                </w:tcPr>
                <w:p w14:paraId="1F1BB06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F25D5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6C8BDA07">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4C382D36">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222B5566">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A2.2-5</w:t>
                  </w:r>
                  <w:r>
                    <w:rPr>
                      <w:rFonts w:hint="default" w:ascii="Times New Roman" w:hAnsi="Times New Roman" w:cs="Times New Roman"/>
                      <w:color w:val="auto"/>
                      <w:kern w:val="0"/>
                      <w:sz w:val="21"/>
                      <w:szCs w:val="21"/>
                      <w:highlight w:val="none"/>
                      <w:lang w:bidi="ar"/>
                    </w:rPr>
                    <w:t>〕持续推进伊犁河、额尔齐斯河、额敏河、玛纳斯河、乌伦古湖、博斯腾湖等流域生态治理，加强生态修复。推动重点行业、重点企业绿色发展，严格落实水污染物排放标准。加强农副食品加工、化工、印染、棉浆粕、粘胶纤维等企业综合治理和清洁化改造。</w:t>
                  </w:r>
                </w:p>
              </w:tc>
              <w:tc>
                <w:tcPr>
                  <w:tcW w:w="1482" w:type="dxa"/>
                  <w:tcBorders>
                    <w:tl2br w:val="nil"/>
                    <w:tr2bl w:val="nil"/>
                  </w:tcBorders>
                  <w:noWrap/>
                  <w:vAlign w:val="center"/>
                </w:tcPr>
                <w:p w14:paraId="7377E94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5A3DC7C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7AD85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397EDEF6">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533C618D">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4E77446D">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A2.2-6</w:t>
                  </w:r>
                  <w:r>
                    <w:rPr>
                      <w:rFonts w:hint="default" w:ascii="Times New Roman" w:hAnsi="Times New Roman" w:cs="Times New Roman"/>
                      <w:color w:val="auto"/>
                      <w:kern w:val="0"/>
                      <w:sz w:val="21"/>
                      <w:szCs w:val="21"/>
                      <w:highlight w:val="none"/>
                      <w:lang w:bidi="ar"/>
                    </w:rPr>
                    <w:t>〕推进地表水与地下水协同防治。以傍河型地下水饮用水水源为重点，防范受污染河段侧渗和垂直补给对地下水污染。加强化学品生产企业、工业聚集区、矿山开采区等污染源的地表、地下协同防治与环境风险管控。加强工业污染防治。推动重点行业、重点企业绿色发展，严格落实水污染物排放标准和排污许可制度。加强农副食品加工、化工、印染、棉浆粕、粘胶纤维、制糖等企业综合治理和清洁化改造。支持企业积极实施节水技术改造，加强工业园区污水集中处理设施运行管理，加快再生水回用设施建设，提升园区水资源循环利用水平。</w:t>
                  </w:r>
                </w:p>
              </w:tc>
              <w:tc>
                <w:tcPr>
                  <w:tcW w:w="1482" w:type="dxa"/>
                  <w:tcBorders>
                    <w:tl2br w:val="nil"/>
                    <w:tr2bl w:val="nil"/>
                  </w:tcBorders>
                  <w:noWrap/>
                  <w:vAlign w:val="center"/>
                </w:tcPr>
                <w:p w14:paraId="5088DA2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地表水与地下水协同防治</w:t>
                  </w:r>
                </w:p>
              </w:tc>
              <w:tc>
                <w:tcPr>
                  <w:tcW w:w="876" w:type="dxa"/>
                  <w:tcBorders>
                    <w:tl2br w:val="nil"/>
                    <w:tr2bl w:val="nil"/>
                  </w:tcBorders>
                  <w:noWrap/>
                  <w:vAlign w:val="center"/>
                </w:tcPr>
                <w:p w14:paraId="2D25A16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C454F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76E253A4">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63AFBB61">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67B45B5E">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A2.2-7</w:t>
                  </w:r>
                  <w:r>
                    <w:rPr>
                      <w:rFonts w:hint="default" w:ascii="Times New Roman" w:hAnsi="Times New Roman" w:cs="Times New Roman"/>
                      <w:color w:val="auto"/>
                      <w:kern w:val="0"/>
                      <w:sz w:val="21"/>
                      <w:szCs w:val="21"/>
                      <w:highlight w:val="none"/>
                      <w:lang w:bidi="ar"/>
                    </w:rPr>
                    <w:t>〕强化重点区域地下水环境风险管控，对化学品生产企业、工业集聚区、尾矿库、矿山开采区、危险废物处置场、垃圾填埋场等地下水污染源及周边区域，逐步开展地下水环境状况调查评估，加强风险管控。</w:t>
                  </w:r>
                </w:p>
              </w:tc>
              <w:tc>
                <w:tcPr>
                  <w:tcW w:w="1482" w:type="dxa"/>
                  <w:tcBorders>
                    <w:tl2br w:val="nil"/>
                    <w:tr2bl w:val="nil"/>
                  </w:tcBorders>
                  <w:noWrap/>
                  <w:vAlign w:val="center"/>
                </w:tcPr>
                <w:p w14:paraId="0D220AE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地下水环境风险管控</w:t>
                  </w:r>
                </w:p>
              </w:tc>
              <w:tc>
                <w:tcPr>
                  <w:tcW w:w="876" w:type="dxa"/>
                  <w:tcBorders>
                    <w:tl2br w:val="nil"/>
                    <w:tr2bl w:val="nil"/>
                  </w:tcBorders>
                  <w:noWrap/>
                  <w:vAlign w:val="center"/>
                </w:tcPr>
                <w:p w14:paraId="6E090D0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0DA36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39F9AEC8">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3AB309FF">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01933F3A">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A2.2-8</w:t>
                  </w:r>
                  <w:r>
                    <w:rPr>
                      <w:rFonts w:hint="default" w:ascii="Times New Roman" w:hAnsi="Times New Roman" w:cs="Times New Roman"/>
                      <w:color w:val="auto"/>
                      <w:kern w:val="0"/>
                      <w:sz w:val="21"/>
                      <w:szCs w:val="21"/>
                      <w:highlight w:val="none"/>
                      <w:lang w:bidi="ar"/>
                    </w:rPr>
                    <w:t>〕严控土壤重金属污染，加强油</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气</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田开发土壤污染防治，以历史遗留工业企业污染场地为重点，开展土壤污染风险管控与修复工程。</w:t>
                  </w:r>
                </w:p>
              </w:tc>
              <w:tc>
                <w:tcPr>
                  <w:tcW w:w="1482" w:type="dxa"/>
                  <w:tcBorders>
                    <w:tl2br w:val="nil"/>
                    <w:tr2bl w:val="nil"/>
                  </w:tcBorders>
                  <w:noWrap/>
                  <w:vAlign w:val="center"/>
                </w:tcPr>
                <w:p w14:paraId="08ED416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10F2E224">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F2E14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5E608CDB">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39088DEB">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18393A7A">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A2.2-9</w:t>
                  </w:r>
                  <w:r>
                    <w:rPr>
                      <w:rFonts w:hint="default" w:ascii="Times New Roman" w:hAnsi="Times New Roman" w:cs="Times New Roman"/>
                      <w:color w:val="auto"/>
                      <w:kern w:val="0"/>
                      <w:sz w:val="21"/>
                      <w:szCs w:val="21"/>
                      <w:highlight w:val="none"/>
                      <w:lang w:bidi="ar"/>
                    </w:rPr>
                    <w:t>〕加强种植业污染防治。深入推进化肥农药减量增效，全面推广测土配方施肥，引导推动有机肥、绿肥替代化肥，集成推广化肥减量增效技术模式，加强农药包装废弃物管理。实施农膜回收行动，健全农田废旧地膜回收利用体系，提高废旧地膜回收率。推进农作物秸秆综合利用，不断完善秸秆收储运用体系，形成布局合理、多元利用的秸秆综合利用格局。</w:t>
                  </w:r>
                </w:p>
              </w:tc>
              <w:tc>
                <w:tcPr>
                  <w:tcW w:w="1482" w:type="dxa"/>
                  <w:tcBorders>
                    <w:tl2br w:val="nil"/>
                    <w:tr2bl w:val="nil"/>
                  </w:tcBorders>
                  <w:noWrap/>
                  <w:vAlign w:val="center"/>
                </w:tcPr>
                <w:p w14:paraId="66852672">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1D20D23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AABE5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restart"/>
                  <w:tcBorders>
                    <w:tl2br w:val="nil"/>
                    <w:tr2bl w:val="nil"/>
                  </w:tcBorders>
                  <w:vAlign w:val="center"/>
                </w:tcPr>
                <w:p w14:paraId="75C4F34B">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A3</w:t>
                  </w:r>
                  <w:r>
                    <w:rPr>
                      <w:rFonts w:hint="default" w:ascii="Times New Roman" w:hAnsi="Times New Roman" w:cs="Times New Roman"/>
                      <w:color w:val="auto"/>
                      <w:kern w:val="0"/>
                      <w:sz w:val="21"/>
                      <w:szCs w:val="21"/>
                      <w:highlight w:val="none"/>
                      <w:lang w:bidi="ar"/>
                    </w:rPr>
                    <w:t>环境风险防控</w:t>
                  </w:r>
                </w:p>
              </w:tc>
              <w:tc>
                <w:tcPr>
                  <w:tcW w:w="364" w:type="dxa"/>
                  <w:vMerge w:val="restart"/>
                  <w:tcBorders>
                    <w:tl2br w:val="nil"/>
                    <w:tr2bl w:val="nil"/>
                  </w:tcBorders>
                  <w:vAlign w:val="center"/>
                </w:tcPr>
                <w:p w14:paraId="1FB66EA6">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A3.1</w:t>
                  </w:r>
                  <w:r>
                    <w:rPr>
                      <w:rFonts w:hint="default" w:ascii="Times New Roman" w:hAnsi="Times New Roman" w:cs="Times New Roman"/>
                      <w:color w:val="auto"/>
                      <w:kern w:val="0"/>
                      <w:sz w:val="21"/>
                      <w:szCs w:val="21"/>
                      <w:highlight w:val="none"/>
                      <w:lang w:bidi="ar"/>
                    </w:rPr>
                    <w:t>人居环境要求</w:t>
                  </w:r>
                </w:p>
              </w:tc>
              <w:tc>
                <w:tcPr>
                  <w:tcW w:w="3401" w:type="dxa"/>
                  <w:tcBorders>
                    <w:tl2br w:val="nil"/>
                    <w:tr2bl w:val="nil"/>
                  </w:tcBorders>
                  <w:vAlign w:val="center"/>
                </w:tcPr>
                <w:p w14:paraId="34BF8716">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A3.1-1</w:t>
                  </w:r>
                  <w:r>
                    <w:rPr>
                      <w:rFonts w:hint="default" w:ascii="Times New Roman" w:hAnsi="Times New Roman" w:cs="Times New Roman"/>
                      <w:color w:val="auto"/>
                      <w:kern w:val="0"/>
                      <w:sz w:val="21"/>
                      <w:szCs w:val="21"/>
                      <w:highlight w:val="none"/>
                      <w:lang w:bidi="ar"/>
                    </w:rPr>
                    <w:t>〕建立和完善重污染天气兵地联合应急预案、预报预警应急机制和会商联动机制。</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乌一昌一石</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区域内可能影响相邻行政区域大气环境的项目，兵地间、城市间必须相互征求意见。</w:t>
                  </w:r>
                </w:p>
              </w:tc>
              <w:tc>
                <w:tcPr>
                  <w:tcW w:w="1482" w:type="dxa"/>
                  <w:tcBorders>
                    <w:tl2br w:val="nil"/>
                    <w:tr2bl w:val="nil"/>
                  </w:tcBorders>
                  <w:noWrap/>
                  <w:vAlign w:val="center"/>
                </w:tcPr>
                <w:p w14:paraId="32AE13F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5B417ED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EC371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F84F9B2">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1B6BFA9B">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1879D717">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A3.1-2</w:t>
                  </w:r>
                  <w:r>
                    <w:rPr>
                      <w:rFonts w:hint="default" w:ascii="Times New Roman" w:hAnsi="Times New Roman" w:cs="Times New Roman"/>
                      <w:color w:val="auto"/>
                      <w:kern w:val="0"/>
                      <w:sz w:val="21"/>
                      <w:szCs w:val="21"/>
                      <w:highlight w:val="none"/>
                      <w:lang w:bidi="ar"/>
                    </w:rPr>
                    <w:t>〕对跨国境河流、涉及县级及以上集中式饮用水水源地的河流、其他重要环境敏感目标的河流，建立健全流域上下游突发水污染事件</w:t>
                  </w:r>
                  <w:r>
                    <w:rPr>
                      <w:rFonts w:hint="default" w:ascii="Times New Roman" w:hAnsi="Times New Roman" w:cs="Times New Roman"/>
                      <w:color w:val="auto"/>
                      <w:kern w:val="0"/>
                      <w:sz w:val="21"/>
                      <w:szCs w:val="21"/>
                      <w:highlight w:val="none"/>
                      <w:lang w:eastAsia="zh-CN" w:bidi="ar"/>
                    </w:rPr>
                    <w:t>联防联控机制</w:t>
                  </w:r>
                  <w:r>
                    <w:rPr>
                      <w:rFonts w:hint="default" w:ascii="Times New Roman" w:hAnsi="Times New Roman" w:cs="Times New Roman"/>
                      <w:color w:val="auto"/>
                      <w:kern w:val="0"/>
                      <w:sz w:val="21"/>
                      <w:szCs w:val="21"/>
                      <w:highlight w:val="none"/>
                      <w:lang w:bidi="ar"/>
                    </w:rPr>
                    <w:t>，建立流域环境应急基础信息动态更新长效机制，绘制全流域</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一河一策一图</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。建立健全跨部门、跨区域的环境应急协调联动处置机制，强化流域上下游、兵地各部门协调，实施联合监测、联合执法、应急联动、信息共享，形成</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政府引导、多元联动、社会参与、专业救援</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的环境应急处置机制，持续开展应急综合演练，实现从被动应对到主动防控的重大转变。加强流域突发水环境事件应急能力建设，提升应急响应水平，加强监测预警、拦污控污、信息通报、协同处置、基础保障等工作，防范重大生态环境风险，坚决守住生态环境安全底线。</w:t>
                  </w:r>
                </w:p>
              </w:tc>
              <w:tc>
                <w:tcPr>
                  <w:tcW w:w="1482" w:type="dxa"/>
                  <w:tcBorders>
                    <w:tl2br w:val="nil"/>
                    <w:tr2bl w:val="nil"/>
                  </w:tcBorders>
                  <w:noWrap/>
                  <w:vAlign w:val="center"/>
                </w:tcPr>
                <w:p w14:paraId="153D4B7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6B852AA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FDFD3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5AE964A0">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46C645EF">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3F75CCAC">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A3.1-3</w:t>
                  </w:r>
                  <w:r>
                    <w:rPr>
                      <w:rFonts w:hint="default" w:ascii="Times New Roman" w:hAnsi="Times New Roman" w:cs="Times New Roman"/>
                      <w:color w:val="auto"/>
                      <w:kern w:val="0"/>
                      <w:sz w:val="21"/>
                      <w:szCs w:val="21"/>
                      <w:highlight w:val="none"/>
                      <w:lang w:bidi="ar"/>
                    </w:rPr>
                    <w:t>〕强化重污染天气监测预报预警能力，建立和完善重污染天气兵地联合应急预案、预警应急机制和会商联动机制，加强轻、中度污染天气管控。</w:t>
                  </w:r>
                </w:p>
              </w:tc>
              <w:tc>
                <w:tcPr>
                  <w:tcW w:w="1482" w:type="dxa"/>
                  <w:tcBorders>
                    <w:tl2br w:val="nil"/>
                    <w:tr2bl w:val="nil"/>
                  </w:tcBorders>
                  <w:noWrap/>
                  <w:vAlign w:val="center"/>
                </w:tcPr>
                <w:p w14:paraId="2539BD13">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已编制突发环境事件应急预案，且能够按照重污染天气响应进行管控</w:t>
                  </w:r>
                </w:p>
              </w:tc>
              <w:tc>
                <w:tcPr>
                  <w:tcW w:w="876" w:type="dxa"/>
                  <w:tcBorders>
                    <w:tl2br w:val="nil"/>
                    <w:tr2bl w:val="nil"/>
                  </w:tcBorders>
                  <w:noWrap/>
                  <w:vAlign w:val="center"/>
                </w:tcPr>
                <w:p w14:paraId="33174C8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7BC36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68D2E33F">
                  <w:pPr>
                    <w:jc w:val="center"/>
                    <w:rPr>
                      <w:rFonts w:hint="default" w:ascii="Times New Roman" w:hAnsi="Times New Roman" w:cs="Times New Roman"/>
                      <w:color w:val="auto"/>
                      <w:sz w:val="21"/>
                      <w:szCs w:val="21"/>
                      <w:highlight w:val="none"/>
                    </w:rPr>
                  </w:pPr>
                </w:p>
              </w:tc>
              <w:tc>
                <w:tcPr>
                  <w:tcW w:w="364" w:type="dxa"/>
                  <w:vMerge w:val="restart"/>
                  <w:tcBorders>
                    <w:tl2br w:val="nil"/>
                    <w:tr2bl w:val="nil"/>
                  </w:tcBorders>
                  <w:vAlign w:val="center"/>
                </w:tcPr>
                <w:p w14:paraId="7D64DD25">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A3.2</w:t>
                  </w:r>
                  <w:r>
                    <w:rPr>
                      <w:rFonts w:hint="default" w:ascii="Times New Roman" w:hAnsi="Times New Roman" w:cs="Times New Roman"/>
                      <w:color w:val="auto"/>
                      <w:kern w:val="0"/>
                      <w:sz w:val="21"/>
                      <w:szCs w:val="21"/>
                      <w:highlight w:val="none"/>
                      <w:lang w:bidi="ar"/>
                    </w:rPr>
                    <w:t>联防联控要求</w:t>
                  </w:r>
                </w:p>
              </w:tc>
              <w:tc>
                <w:tcPr>
                  <w:tcW w:w="3401" w:type="dxa"/>
                  <w:tcBorders>
                    <w:tl2br w:val="nil"/>
                    <w:tr2bl w:val="nil"/>
                  </w:tcBorders>
                  <w:vAlign w:val="center"/>
                </w:tcPr>
                <w:p w14:paraId="2184DEE9">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A3.2-1</w:t>
                  </w:r>
                  <w:r>
                    <w:rPr>
                      <w:rFonts w:hint="default" w:ascii="Times New Roman" w:hAnsi="Times New Roman" w:cs="Times New Roman"/>
                      <w:color w:val="auto"/>
                      <w:kern w:val="0"/>
                      <w:sz w:val="21"/>
                      <w:szCs w:val="21"/>
                      <w:highlight w:val="none"/>
                      <w:lang w:bidi="ar"/>
                    </w:rPr>
                    <w:t>〕提升饮用水安全保障水平。以县级及以上集中式饮用水水源地为重点，推进饮用水水源保护区规范化建设，统筹推进备用水源或应急水源建设。单一水源供水的重点城市于</w:t>
                  </w:r>
                  <w:r>
                    <w:rPr>
                      <w:rStyle w:val="66"/>
                      <w:rFonts w:hint="default" w:ascii="Times New Roman" w:hAnsi="Times New Roman" w:cs="Times New Roman"/>
                      <w:color w:val="auto"/>
                      <w:sz w:val="21"/>
                      <w:szCs w:val="21"/>
                      <w:highlight w:val="none"/>
                      <w:lang w:bidi="ar"/>
                    </w:rPr>
                    <w:t>2025</w:t>
                  </w:r>
                  <w:r>
                    <w:rPr>
                      <w:rFonts w:hint="default" w:ascii="Times New Roman" w:hAnsi="Times New Roman" w:cs="Times New Roman"/>
                      <w:color w:val="auto"/>
                      <w:kern w:val="0"/>
                      <w:sz w:val="21"/>
                      <w:szCs w:val="21"/>
                      <w:highlight w:val="none"/>
                      <w:lang w:bidi="ar"/>
                    </w:rPr>
                    <w:t>年底前基本完成备用水源或应急水源建设，有条件的地区开展兵地互为备用水源建设。梯次推进农村集中式饮用水水源保护区划定，到</w:t>
                  </w:r>
                  <w:r>
                    <w:rPr>
                      <w:rStyle w:val="66"/>
                      <w:rFonts w:hint="default" w:ascii="Times New Roman" w:hAnsi="Times New Roman" w:cs="Times New Roman"/>
                      <w:color w:val="auto"/>
                      <w:sz w:val="21"/>
                      <w:szCs w:val="21"/>
                      <w:highlight w:val="none"/>
                      <w:lang w:bidi="ar"/>
                    </w:rPr>
                    <w:t>2025</w:t>
                  </w:r>
                  <w:r>
                    <w:rPr>
                      <w:rFonts w:hint="default" w:ascii="Times New Roman" w:hAnsi="Times New Roman" w:cs="Times New Roman"/>
                      <w:color w:val="auto"/>
                      <w:kern w:val="0"/>
                      <w:sz w:val="21"/>
                      <w:szCs w:val="21"/>
                      <w:highlight w:val="none"/>
                      <w:lang w:bidi="ar"/>
                    </w:rPr>
                    <w:t>年，完成乡镇级集中式饮用水水源保护区划定与勘界立标。开展</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千吨万人</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农村饮用水水源保护区环境风险排查整治，加强农村水源水质监测，依法清理饮用水水源保护区内违法建筑和排污口，实施从水源到水龙头全过程监管。强化饮用水水源保护区环境应急管理，完善重大突发环境事件的物资和技术储备。针对汇水区、补给区存在兵地跨界的，建立统一的饮用水水源应急和执法机制，共享应急物资。</w:t>
                  </w:r>
                </w:p>
              </w:tc>
              <w:tc>
                <w:tcPr>
                  <w:tcW w:w="1482" w:type="dxa"/>
                  <w:tcBorders>
                    <w:tl2br w:val="nil"/>
                    <w:tr2bl w:val="nil"/>
                  </w:tcBorders>
                  <w:noWrap/>
                  <w:vAlign w:val="center"/>
                </w:tcPr>
                <w:p w14:paraId="01685DE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备用水源或应急水源建设</w:t>
                  </w:r>
                </w:p>
              </w:tc>
              <w:tc>
                <w:tcPr>
                  <w:tcW w:w="876" w:type="dxa"/>
                  <w:tcBorders>
                    <w:tl2br w:val="nil"/>
                    <w:tr2bl w:val="nil"/>
                  </w:tcBorders>
                  <w:noWrap/>
                  <w:vAlign w:val="center"/>
                </w:tcPr>
                <w:p w14:paraId="1BE6FE7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1AAD4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5A879975">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1F170817">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519E2FC6">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A3.2-2</w:t>
                  </w:r>
                  <w:r>
                    <w:rPr>
                      <w:rFonts w:hint="default" w:ascii="Times New Roman" w:hAnsi="Times New Roman" w:cs="Times New Roman"/>
                      <w:color w:val="auto"/>
                      <w:kern w:val="0"/>
                      <w:sz w:val="21"/>
                      <w:szCs w:val="21"/>
                      <w:highlight w:val="none"/>
                      <w:lang w:bidi="ar"/>
                    </w:rPr>
                    <w:t>〕依法推行农用地分类管理制度，强化受污染耕地安全利用和风险管控。因地制宜制定实施安全利用方案，鼓励采取种植结构调整等措施，确保受污染耕地全部实现安全利用。</w:t>
                  </w:r>
                </w:p>
              </w:tc>
              <w:tc>
                <w:tcPr>
                  <w:tcW w:w="1482" w:type="dxa"/>
                  <w:tcBorders>
                    <w:tl2br w:val="nil"/>
                    <w:tr2bl w:val="nil"/>
                  </w:tcBorders>
                  <w:noWrap/>
                  <w:vAlign w:val="center"/>
                </w:tcPr>
                <w:p w14:paraId="3C9B9B7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耕地安全利用和风险管控</w:t>
                  </w:r>
                </w:p>
              </w:tc>
              <w:tc>
                <w:tcPr>
                  <w:tcW w:w="876" w:type="dxa"/>
                  <w:tcBorders>
                    <w:tl2br w:val="nil"/>
                    <w:tr2bl w:val="nil"/>
                  </w:tcBorders>
                  <w:noWrap/>
                  <w:vAlign w:val="center"/>
                </w:tcPr>
                <w:p w14:paraId="38A80A9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395961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31AB66C0">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179193D1">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46E07804">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A3.2-3</w:t>
                  </w:r>
                  <w:r>
                    <w:rPr>
                      <w:rFonts w:hint="default" w:ascii="Times New Roman" w:hAnsi="Times New Roman" w:cs="Times New Roman"/>
                      <w:color w:val="auto"/>
                      <w:kern w:val="0"/>
                      <w:sz w:val="21"/>
                      <w:szCs w:val="21"/>
                      <w:highlight w:val="none"/>
                      <w:lang w:bidi="ar"/>
                    </w:rPr>
                    <w:t>〕加强新污染物多环境介质协同治理。排放重点管控新污染物的企事业单位应采取污染控制措施，达到相关污染物排放标准及环境质量目标要求；按照排污许可管理有关要求，依法申领排污许可证或填写排污登记表，并在其中载明执行的污染控制标准要求及采取的污染控制措施。排放重点管控新污染物的企事业单位和其他生产经营者应按照相关法律法规要求，对排放</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污</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口及其周边环境定期开展环境监测，评估环境风险，排查整治环境安全隐患，依法公开新污染物信息，采取措施防范环境风险。土壤污染重点监管单位应严格控制有毒有害物质排放，建立土壤污染隐患排查制度，防止有毒有害物质渗漏、流失、扬散。</w:t>
                  </w:r>
                </w:p>
              </w:tc>
              <w:tc>
                <w:tcPr>
                  <w:tcW w:w="1482" w:type="dxa"/>
                  <w:tcBorders>
                    <w:tl2br w:val="nil"/>
                    <w:tr2bl w:val="nil"/>
                  </w:tcBorders>
                  <w:noWrap/>
                  <w:vAlign w:val="center"/>
                </w:tcPr>
                <w:p w14:paraId="2C69090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本项目运营期的污染物仅为VOCs（以非甲烷总烃计），产生的VOCs（以非甲烷总烃计）经活性炭吸附脱附+催化燃烧装置处理后能够达标排放。</w:t>
                  </w:r>
                </w:p>
              </w:tc>
              <w:tc>
                <w:tcPr>
                  <w:tcW w:w="876" w:type="dxa"/>
                  <w:tcBorders>
                    <w:tl2br w:val="nil"/>
                    <w:tr2bl w:val="nil"/>
                  </w:tcBorders>
                  <w:noWrap/>
                  <w:vAlign w:val="center"/>
                </w:tcPr>
                <w:p w14:paraId="548CD1C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4D238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34ECA5FC">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75A876DB">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5AE4A63E">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A3.2-4</w:t>
                  </w:r>
                  <w:r>
                    <w:rPr>
                      <w:rFonts w:hint="default" w:ascii="Times New Roman" w:hAnsi="Times New Roman" w:cs="Times New Roman"/>
                      <w:color w:val="auto"/>
                      <w:kern w:val="0"/>
                      <w:sz w:val="21"/>
                      <w:szCs w:val="21"/>
                      <w:highlight w:val="none"/>
                      <w:lang w:bidi="ar"/>
                    </w:rPr>
                    <w:t>〕加强环境风险预警防控。加强涉危险废物企业、涉重金属企业、化工园区、集中式饮用水水源地及重点流域环境风险调查评估，实施分类分级风险管控，协同推进重点区域、流域生态环境污染综合防治、风险防控与生态修复。</w:t>
                  </w:r>
                </w:p>
              </w:tc>
              <w:tc>
                <w:tcPr>
                  <w:tcW w:w="1482" w:type="dxa"/>
                  <w:tcBorders>
                    <w:tl2br w:val="nil"/>
                    <w:tr2bl w:val="nil"/>
                  </w:tcBorders>
                  <w:noWrap/>
                  <w:vAlign w:val="center"/>
                </w:tcPr>
                <w:p w14:paraId="10CA8DF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集中式饮用水水源地及重点流域环境风险调查评估</w:t>
                  </w:r>
                </w:p>
              </w:tc>
              <w:tc>
                <w:tcPr>
                  <w:tcW w:w="876" w:type="dxa"/>
                  <w:tcBorders>
                    <w:tl2br w:val="nil"/>
                    <w:tr2bl w:val="nil"/>
                  </w:tcBorders>
                  <w:noWrap/>
                  <w:vAlign w:val="center"/>
                </w:tcPr>
                <w:p w14:paraId="45B3FBD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5C2CF6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FD46A09">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02F4AF6B">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7FFA4EAB">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A3.2-5</w:t>
                  </w:r>
                  <w:r>
                    <w:rPr>
                      <w:rFonts w:hint="default" w:ascii="Times New Roman" w:hAnsi="Times New Roman" w:cs="Times New Roman"/>
                      <w:color w:val="auto"/>
                      <w:kern w:val="0"/>
                      <w:sz w:val="21"/>
                      <w:szCs w:val="21"/>
                      <w:highlight w:val="none"/>
                      <w:lang w:bidi="ar"/>
                    </w:rPr>
                    <w:t>〕强化生态环境应急管理。实施企业突发生态环境应急预案电子化备案，完成县级以上政府突发环境事件应急预案修编。完善区域和企业应急处置物资储备系统，结合新疆各地特征污染物的特性，加强应急物资储备及应急物资信息化建设，掌握社会应急物资储备动态信息，妥善应对各类突发生态环境事件。加强应急监测装备配置，定期开展应急演练，增强实战能力。</w:t>
                  </w:r>
                </w:p>
              </w:tc>
              <w:tc>
                <w:tcPr>
                  <w:tcW w:w="1482" w:type="dxa"/>
                  <w:tcBorders>
                    <w:tl2br w:val="nil"/>
                    <w:tr2bl w:val="nil"/>
                  </w:tcBorders>
                  <w:noWrap/>
                  <w:vAlign w:val="center"/>
                </w:tcPr>
                <w:p w14:paraId="40A8FC2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本</w:t>
                  </w:r>
                  <w:r>
                    <w:rPr>
                      <w:rFonts w:hint="default" w:ascii="Times New Roman" w:hAnsi="Times New Roman" w:cs="Times New Roman"/>
                      <w:color w:val="auto"/>
                      <w:sz w:val="21"/>
                      <w:szCs w:val="21"/>
                      <w:highlight w:val="none"/>
                      <w:lang w:eastAsia="zh-CN"/>
                    </w:rPr>
                    <w:t>项目</w:t>
                  </w:r>
                  <w:r>
                    <w:rPr>
                      <w:rFonts w:hint="default" w:ascii="Times New Roman" w:hAnsi="Times New Roman" w:cs="Times New Roman"/>
                      <w:color w:val="auto"/>
                      <w:sz w:val="21"/>
                      <w:szCs w:val="21"/>
                      <w:highlight w:val="none"/>
                    </w:rPr>
                    <w:t>建设完成后应</w:t>
                  </w:r>
                  <w:r>
                    <w:rPr>
                      <w:rFonts w:hint="default" w:ascii="Times New Roman" w:hAnsi="Times New Roman" w:cs="Times New Roman"/>
                      <w:color w:val="auto"/>
                      <w:sz w:val="21"/>
                      <w:szCs w:val="21"/>
                      <w:highlight w:val="none"/>
                      <w:lang w:val="en-US" w:eastAsia="zh-CN"/>
                    </w:rPr>
                    <w:t>及时对</w:t>
                  </w:r>
                  <w:r>
                    <w:rPr>
                      <w:rFonts w:hint="default" w:ascii="Times New Roman" w:hAnsi="Times New Roman" w:cs="Times New Roman"/>
                      <w:color w:val="auto"/>
                      <w:kern w:val="0"/>
                      <w:sz w:val="21"/>
                      <w:szCs w:val="21"/>
                      <w:highlight w:val="none"/>
                      <w:lang w:bidi="ar"/>
                    </w:rPr>
                    <w:t>突发环境事件应急预案</w:t>
                  </w:r>
                  <w:r>
                    <w:rPr>
                      <w:rFonts w:hint="default" w:ascii="Times New Roman" w:hAnsi="Times New Roman" w:cs="Times New Roman"/>
                      <w:color w:val="auto"/>
                      <w:kern w:val="0"/>
                      <w:sz w:val="21"/>
                      <w:szCs w:val="21"/>
                      <w:highlight w:val="none"/>
                      <w:lang w:val="en-US" w:eastAsia="zh-CN" w:bidi="ar"/>
                    </w:rPr>
                    <w:t>进行修订</w:t>
                  </w:r>
                </w:p>
              </w:tc>
              <w:tc>
                <w:tcPr>
                  <w:tcW w:w="876" w:type="dxa"/>
                  <w:tcBorders>
                    <w:tl2br w:val="nil"/>
                    <w:tr2bl w:val="nil"/>
                  </w:tcBorders>
                  <w:noWrap/>
                  <w:vAlign w:val="center"/>
                </w:tcPr>
                <w:p w14:paraId="2DDEECB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8191A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44054F78">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1AC69A7E">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50219CD4">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A3.2-6</w:t>
                  </w:r>
                  <w:r>
                    <w:rPr>
                      <w:rFonts w:hint="default" w:ascii="Times New Roman" w:hAnsi="Times New Roman" w:cs="Times New Roman"/>
                      <w:color w:val="auto"/>
                      <w:kern w:val="0"/>
                      <w:sz w:val="21"/>
                      <w:szCs w:val="21"/>
                      <w:highlight w:val="none"/>
                      <w:lang w:bidi="ar"/>
                    </w:rPr>
                    <w:t>〕强化兵地联防联控联治，落实兵地统一规划、统一政策、统一标准、统一要求、统一推进的防治管理措施，完善重大项目环境影响评价区域会商、重污染天气兵地联合应急联动机制。建立兵地生态环境联合执法和联合监测长效机制。</w:t>
                  </w:r>
                </w:p>
              </w:tc>
              <w:tc>
                <w:tcPr>
                  <w:tcW w:w="1482" w:type="dxa"/>
                  <w:tcBorders>
                    <w:tl2br w:val="nil"/>
                    <w:tr2bl w:val="nil"/>
                  </w:tcBorders>
                  <w:noWrap/>
                  <w:vAlign w:val="center"/>
                </w:tcPr>
                <w:p w14:paraId="348A4EA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w:t>
                  </w:r>
                  <w:r>
                    <w:rPr>
                      <w:rFonts w:hint="default" w:ascii="Times New Roman" w:hAnsi="Times New Roman" w:cs="Times New Roman"/>
                      <w:color w:val="auto"/>
                      <w:sz w:val="21"/>
                      <w:szCs w:val="21"/>
                      <w:highlight w:val="none"/>
                      <w:lang w:val="en-US" w:eastAsia="zh-CN"/>
                    </w:rPr>
                    <w:t>已编制突发环境事件应急预案，且能够按照重污染天气响应进行管控</w:t>
                  </w:r>
                </w:p>
              </w:tc>
              <w:tc>
                <w:tcPr>
                  <w:tcW w:w="876" w:type="dxa"/>
                  <w:tcBorders>
                    <w:tl2br w:val="nil"/>
                    <w:tr2bl w:val="nil"/>
                  </w:tcBorders>
                  <w:noWrap/>
                  <w:vAlign w:val="center"/>
                </w:tcPr>
                <w:p w14:paraId="38F91EA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DD167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restart"/>
                  <w:tcBorders>
                    <w:tl2br w:val="nil"/>
                    <w:tr2bl w:val="nil"/>
                  </w:tcBorders>
                  <w:vAlign w:val="center"/>
                </w:tcPr>
                <w:p w14:paraId="0610C439">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A4</w:t>
                  </w:r>
                  <w:r>
                    <w:rPr>
                      <w:rFonts w:hint="default" w:ascii="Times New Roman" w:hAnsi="Times New Roman" w:cs="Times New Roman"/>
                      <w:color w:val="auto"/>
                      <w:kern w:val="0"/>
                      <w:sz w:val="21"/>
                      <w:szCs w:val="21"/>
                      <w:highlight w:val="none"/>
                      <w:lang w:bidi="ar"/>
                    </w:rPr>
                    <w:t>资源利用要求</w:t>
                  </w:r>
                </w:p>
              </w:tc>
              <w:tc>
                <w:tcPr>
                  <w:tcW w:w="364" w:type="dxa"/>
                  <w:vMerge w:val="restart"/>
                  <w:tcBorders>
                    <w:tl2br w:val="nil"/>
                    <w:tr2bl w:val="nil"/>
                  </w:tcBorders>
                  <w:vAlign w:val="center"/>
                </w:tcPr>
                <w:p w14:paraId="4C44704F">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A4.1</w:t>
                  </w:r>
                  <w:r>
                    <w:rPr>
                      <w:rFonts w:hint="default" w:ascii="Times New Roman" w:hAnsi="Times New Roman" w:cs="Times New Roman"/>
                      <w:color w:val="auto"/>
                      <w:kern w:val="0"/>
                      <w:sz w:val="21"/>
                      <w:szCs w:val="21"/>
                      <w:highlight w:val="none"/>
                      <w:lang w:bidi="ar"/>
                    </w:rPr>
                    <w:t>水资源</w:t>
                  </w:r>
                </w:p>
              </w:tc>
              <w:tc>
                <w:tcPr>
                  <w:tcW w:w="3401" w:type="dxa"/>
                  <w:tcBorders>
                    <w:tl2br w:val="nil"/>
                    <w:tr2bl w:val="nil"/>
                  </w:tcBorders>
                  <w:vAlign w:val="center"/>
                </w:tcPr>
                <w:p w14:paraId="789569FA">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A4.1-1</w:t>
                  </w:r>
                  <w:r>
                    <w:rPr>
                      <w:rFonts w:hint="default" w:ascii="Times New Roman" w:hAnsi="Times New Roman" w:cs="Times New Roman"/>
                      <w:color w:val="auto"/>
                      <w:kern w:val="0"/>
                      <w:sz w:val="21"/>
                      <w:szCs w:val="21"/>
                      <w:highlight w:val="none"/>
                      <w:lang w:bidi="ar"/>
                    </w:rPr>
                    <w:t>〕自治区用水总量</w:t>
                  </w:r>
                  <w:r>
                    <w:rPr>
                      <w:rStyle w:val="66"/>
                      <w:rFonts w:hint="default" w:ascii="Times New Roman" w:hAnsi="Times New Roman" w:cs="Times New Roman"/>
                      <w:color w:val="auto"/>
                      <w:sz w:val="21"/>
                      <w:szCs w:val="21"/>
                      <w:highlight w:val="none"/>
                      <w:lang w:bidi="ar"/>
                    </w:rPr>
                    <w:t>2025</w:t>
                  </w:r>
                  <w:r>
                    <w:rPr>
                      <w:rFonts w:hint="default" w:ascii="Times New Roman" w:hAnsi="Times New Roman" w:cs="Times New Roman"/>
                      <w:color w:val="auto"/>
                      <w:kern w:val="0"/>
                      <w:sz w:val="21"/>
                      <w:szCs w:val="21"/>
                      <w:highlight w:val="none"/>
                      <w:lang w:bidi="ar"/>
                    </w:rPr>
                    <w:t>年、</w:t>
                  </w:r>
                  <w:r>
                    <w:rPr>
                      <w:rStyle w:val="66"/>
                      <w:rFonts w:hint="default" w:ascii="Times New Roman" w:hAnsi="Times New Roman" w:cs="Times New Roman"/>
                      <w:color w:val="auto"/>
                      <w:sz w:val="21"/>
                      <w:szCs w:val="21"/>
                      <w:highlight w:val="none"/>
                      <w:lang w:bidi="ar"/>
                    </w:rPr>
                    <w:t>2030</w:t>
                  </w:r>
                  <w:r>
                    <w:rPr>
                      <w:rFonts w:hint="default" w:ascii="Times New Roman" w:hAnsi="Times New Roman" w:cs="Times New Roman"/>
                      <w:color w:val="auto"/>
                      <w:kern w:val="0"/>
                      <w:sz w:val="21"/>
                      <w:szCs w:val="21"/>
                      <w:highlight w:val="none"/>
                      <w:lang w:bidi="ar"/>
                    </w:rPr>
                    <w:t>年控制在国家下达的指标内。</w:t>
                  </w:r>
                </w:p>
              </w:tc>
              <w:tc>
                <w:tcPr>
                  <w:tcW w:w="1482" w:type="dxa"/>
                  <w:tcBorders>
                    <w:tl2br w:val="nil"/>
                    <w:tr2bl w:val="nil"/>
                  </w:tcBorders>
                  <w:noWrap/>
                  <w:vAlign w:val="center"/>
                </w:tcPr>
                <w:p w14:paraId="170F8F8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本项目符合</w:t>
                  </w:r>
                  <w:r>
                    <w:rPr>
                      <w:rFonts w:hint="default" w:ascii="Times New Roman" w:hAnsi="Times New Roman" w:cs="Times New Roman"/>
                      <w:color w:val="auto"/>
                      <w:kern w:val="0"/>
                      <w:sz w:val="21"/>
                      <w:szCs w:val="21"/>
                      <w:highlight w:val="none"/>
                      <w:lang w:bidi="ar"/>
                    </w:rPr>
                    <w:t>自治区用水总量</w:t>
                  </w:r>
                  <w:r>
                    <w:rPr>
                      <w:rStyle w:val="66"/>
                      <w:rFonts w:hint="default" w:ascii="Times New Roman" w:hAnsi="Times New Roman" w:cs="Times New Roman"/>
                      <w:color w:val="auto"/>
                      <w:sz w:val="21"/>
                      <w:szCs w:val="21"/>
                      <w:highlight w:val="none"/>
                      <w:lang w:bidi="ar"/>
                    </w:rPr>
                    <w:t>2025</w:t>
                  </w:r>
                  <w:r>
                    <w:rPr>
                      <w:rFonts w:hint="default" w:ascii="Times New Roman" w:hAnsi="Times New Roman" w:cs="Times New Roman"/>
                      <w:color w:val="auto"/>
                      <w:kern w:val="0"/>
                      <w:sz w:val="21"/>
                      <w:szCs w:val="21"/>
                      <w:highlight w:val="none"/>
                      <w:lang w:bidi="ar"/>
                    </w:rPr>
                    <w:t>年、</w:t>
                  </w:r>
                  <w:r>
                    <w:rPr>
                      <w:rStyle w:val="66"/>
                      <w:rFonts w:hint="default" w:ascii="Times New Roman" w:hAnsi="Times New Roman" w:cs="Times New Roman"/>
                      <w:color w:val="auto"/>
                      <w:sz w:val="21"/>
                      <w:szCs w:val="21"/>
                      <w:highlight w:val="none"/>
                      <w:lang w:bidi="ar"/>
                    </w:rPr>
                    <w:t>2030</w:t>
                  </w:r>
                  <w:r>
                    <w:rPr>
                      <w:rFonts w:hint="default" w:ascii="Times New Roman" w:hAnsi="Times New Roman" w:cs="Times New Roman"/>
                      <w:color w:val="auto"/>
                      <w:kern w:val="0"/>
                      <w:sz w:val="21"/>
                      <w:szCs w:val="21"/>
                      <w:highlight w:val="none"/>
                      <w:lang w:bidi="ar"/>
                    </w:rPr>
                    <w:t>年控制在国家下达的指标</w:t>
                  </w:r>
                </w:p>
              </w:tc>
              <w:tc>
                <w:tcPr>
                  <w:tcW w:w="876" w:type="dxa"/>
                  <w:tcBorders>
                    <w:tl2br w:val="nil"/>
                    <w:tr2bl w:val="nil"/>
                  </w:tcBorders>
                  <w:noWrap/>
                  <w:vAlign w:val="center"/>
                </w:tcPr>
                <w:p w14:paraId="4B015973">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1C4375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3589A5DB">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7CAC9AF8">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04C22930">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A4.1-2</w:t>
                  </w:r>
                  <w:r>
                    <w:rPr>
                      <w:rFonts w:hint="default" w:ascii="Times New Roman" w:hAnsi="Times New Roman" w:cs="Times New Roman"/>
                      <w:color w:val="auto"/>
                      <w:kern w:val="0"/>
                      <w:sz w:val="21"/>
                      <w:szCs w:val="21"/>
                      <w:highlight w:val="none"/>
                      <w:lang w:bidi="ar"/>
                    </w:rPr>
                    <w:t>〕加大城镇污水再生利用工程建设力度，推进区域再生水循环利用，到</w:t>
                  </w:r>
                  <w:r>
                    <w:rPr>
                      <w:rStyle w:val="66"/>
                      <w:rFonts w:hint="default" w:ascii="Times New Roman" w:hAnsi="Times New Roman" w:cs="Times New Roman"/>
                      <w:color w:val="auto"/>
                      <w:sz w:val="21"/>
                      <w:szCs w:val="21"/>
                      <w:highlight w:val="none"/>
                      <w:lang w:bidi="ar"/>
                    </w:rPr>
                    <w:t>2025</w:t>
                  </w:r>
                  <w:r>
                    <w:rPr>
                      <w:rFonts w:hint="default" w:ascii="Times New Roman" w:hAnsi="Times New Roman" w:cs="Times New Roman"/>
                      <w:color w:val="auto"/>
                      <w:kern w:val="0"/>
                      <w:sz w:val="21"/>
                      <w:szCs w:val="21"/>
                      <w:highlight w:val="none"/>
                      <w:lang w:bidi="ar"/>
                    </w:rPr>
                    <w:t>年，城市生活污水再生利用率力争达到</w:t>
                  </w:r>
                  <w:r>
                    <w:rPr>
                      <w:rStyle w:val="66"/>
                      <w:rFonts w:hint="default" w:ascii="Times New Roman" w:hAnsi="Times New Roman" w:cs="Times New Roman"/>
                      <w:color w:val="auto"/>
                      <w:sz w:val="21"/>
                      <w:szCs w:val="21"/>
                      <w:highlight w:val="none"/>
                      <w:lang w:bidi="ar"/>
                    </w:rPr>
                    <w:t>60%</w:t>
                  </w: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A4.1-3</w:t>
                  </w:r>
                  <w:r>
                    <w:rPr>
                      <w:rFonts w:hint="default" w:ascii="Times New Roman" w:hAnsi="Times New Roman" w:cs="Times New Roman"/>
                      <w:color w:val="auto"/>
                      <w:kern w:val="0"/>
                      <w:sz w:val="21"/>
                      <w:szCs w:val="21"/>
                      <w:highlight w:val="none"/>
                      <w:lang w:bidi="ar"/>
                    </w:rPr>
                    <w:t>〕加强农村水利基础设施建设，推进农村供水保障工程，农村自来水普及率、集中供水率分别达到</w:t>
                  </w:r>
                  <w:r>
                    <w:rPr>
                      <w:rStyle w:val="66"/>
                      <w:rFonts w:hint="default" w:ascii="Times New Roman" w:hAnsi="Times New Roman" w:cs="Times New Roman"/>
                      <w:color w:val="auto"/>
                      <w:sz w:val="21"/>
                      <w:szCs w:val="21"/>
                      <w:highlight w:val="none"/>
                      <w:lang w:bidi="ar"/>
                    </w:rPr>
                    <w:t>99.3%</w:t>
                  </w: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99.7%</w:t>
                  </w:r>
                  <w:r>
                    <w:rPr>
                      <w:rFonts w:hint="default" w:ascii="Times New Roman" w:hAnsi="Times New Roman" w:cs="Times New Roman"/>
                      <w:color w:val="auto"/>
                      <w:kern w:val="0"/>
                      <w:sz w:val="21"/>
                      <w:szCs w:val="21"/>
                      <w:highlight w:val="none"/>
                      <w:lang w:bidi="ar"/>
                    </w:rPr>
                    <w:t>。</w:t>
                  </w:r>
                </w:p>
              </w:tc>
              <w:tc>
                <w:tcPr>
                  <w:tcW w:w="1482" w:type="dxa"/>
                  <w:tcBorders>
                    <w:tl2br w:val="nil"/>
                    <w:tr2bl w:val="nil"/>
                  </w:tcBorders>
                  <w:noWrap/>
                  <w:vAlign w:val="center"/>
                </w:tcPr>
                <w:p w14:paraId="27B2CB1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1126E59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E018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630D006A">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04D5C2A5">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1798E925">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A4.1-4</w:t>
                  </w:r>
                  <w:r>
                    <w:rPr>
                      <w:rFonts w:hint="default" w:ascii="Times New Roman" w:hAnsi="Times New Roman" w:cs="Times New Roman"/>
                      <w:color w:val="auto"/>
                      <w:kern w:val="0"/>
                      <w:sz w:val="21"/>
                      <w:szCs w:val="21"/>
                      <w:highlight w:val="none"/>
                      <w:lang w:bidi="ar"/>
                    </w:rPr>
                    <w:t>〕地下水资源利用实行总量控制和水位控制。取用地下水资源，应当按照国家和自治区有关规定申请取水许可。地下水利用应当以浅层地下水为主。</w:t>
                  </w:r>
                </w:p>
              </w:tc>
              <w:tc>
                <w:tcPr>
                  <w:tcW w:w="1482" w:type="dxa"/>
                  <w:tcBorders>
                    <w:tl2br w:val="nil"/>
                    <w:tr2bl w:val="nil"/>
                  </w:tcBorders>
                  <w:noWrap/>
                  <w:vAlign w:val="center"/>
                </w:tcPr>
                <w:p w14:paraId="6034E29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67E4C25E">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AC73A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C98A38B">
                  <w:pPr>
                    <w:jc w:val="center"/>
                    <w:rPr>
                      <w:rFonts w:hint="default" w:ascii="Times New Roman" w:hAnsi="Times New Roman" w:cs="Times New Roman"/>
                      <w:color w:val="auto"/>
                      <w:sz w:val="21"/>
                      <w:szCs w:val="21"/>
                      <w:highlight w:val="none"/>
                    </w:rPr>
                  </w:pPr>
                </w:p>
              </w:tc>
              <w:tc>
                <w:tcPr>
                  <w:tcW w:w="364" w:type="dxa"/>
                  <w:tcBorders>
                    <w:tl2br w:val="nil"/>
                    <w:tr2bl w:val="nil"/>
                  </w:tcBorders>
                  <w:vAlign w:val="center"/>
                </w:tcPr>
                <w:p w14:paraId="76C6C9E9">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A4.2</w:t>
                  </w:r>
                  <w:r>
                    <w:rPr>
                      <w:rFonts w:hint="default" w:ascii="Times New Roman" w:hAnsi="Times New Roman" w:cs="Times New Roman"/>
                      <w:color w:val="auto"/>
                      <w:kern w:val="0"/>
                      <w:sz w:val="21"/>
                      <w:szCs w:val="21"/>
                      <w:highlight w:val="none"/>
                      <w:lang w:bidi="ar"/>
                    </w:rPr>
                    <w:t>土地资源</w:t>
                  </w:r>
                </w:p>
              </w:tc>
              <w:tc>
                <w:tcPr>
                  <w:tcW w:w="3401" w:type="dxa"/>
                  <w:tcBorders>
                    <w:tl2br w:val="nil"/>
                    <w:tr2bl w:val="nil"/>
                  </w:tcBorders>
                  <w:vAlign w:val="center"/>
                </w:tcPr>
                <w:p w14:paraId="433CD53F">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A4.2-1</w:t>
                  </w:r>
                  <w:r>
                    <w:rPr>
                      <w:rFonts w:hint="default" w:ascii="Times New Roman" w:hAnsi="Times New Roman" w:cs="Times New Roman"/>
                      <w:color w:val="auto"/>
                      <w:kern w:val="0"/>
                      <w:sz w:val="21"/>
                      <w:szCs w:val="21"/>
                      <w:highlight w:val="none"/>
                      <w:lang w:bidi="ar"/>
                    </w:rPr>
                    <w:t>〕土地资源上线指标控制在最终批复的国土空间规划控制指标内。</w:t>
                  </w:r>
                </w:p>
              </w:tc>
              <w:tc>
                <w:tcPr>
                  <w:tcW w:w="1482" w:type="dxa"/>
                  <w:tcBorders>
                    <w:tl2br w:val="nil"/>
                    <w:tr2bl w:val="nil"/>
                  </w:tcBorders>
                  <w:noWrap/>
                  <w:vAlign w:val="center"/>
                </w:tcPr>
                <w:p w14:paraId="0FCDB76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本项目租用现有空置厂房，符合</w:t>
                  </w:r>
                  <w:r>
                    <w:rPr>
                      <w:rFonts w:hint="default" w:ascii="Times New Roman" w:hAnsi="Times New Roman" w:cs="Times New Roman"/>
                      <w:color w:val="auto"/>
                      <w:kern w:val="0"/>
                      <w:sz w:val="21"/>
                      <w:szCs w:val="21"/>
                      <w:highlight w:val="none"/>
                      <w:lang w:bidi="ar"/>
                    </w:rPr>
                    <w:t>土地资源上线</w:t>
                  </w:r>
                </w:p>
              </w:tc>
              <w:tc>
                <w:tcPr>
                  <w:tcW w:w="876" w:type="dxa"/>
                  <w:tcBorders>
                    <w:tl2br w:val="nil"/>
                    <w:tr2bl w:val="nil"/>
                  </w:tcBorders>
                  <w:noWrap/>
                  <w:vAlign w:val="center"/>
                </w:tcPr>
                <w:p w14:paraId="62023C1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98EBC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1829C5DE">
                  <w:pPr>
                    <w:jc w:val="center"/>
                    <w:rPr>
                      <w:rFonts w:hint="default" w:ascii="Times New Roman" w:hAnsi="Times New Roman" w:cs="Times New Roman"/>
                      <w:color w:val="auto"/>
                      <w:sz w:val="21"/>
                      <w:szCs w:val="21"/>
                      <w:highlight w:val="none"/>
                    </w:rPr>
                  </w:pPr>
                </w:p>
              </w:tc>
              <w:tc>
                <w:tcPr>
                  <w:tcW w:w="364" w:type="dxa"/>
                  <w:vMerge w:val="restart"/>
                  <w:tcBorders>
                    <w:tl2br w:val="nil"/>
                    <w:tr2bl w:val="nil"/>
                  </w:tcBorders>
                  <w:vAlign w:val="center"/>
                </w:tcPr>
                <w:p w14:paraId="1598951E">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A4.3</w:t>
                  </w:r>
                  <w:r>
                    <w:rPr>
                      <w:rFonts w:hint="default" w:ascii="Times New Roman" w:hAnsi="Times New Roman" w:cs="Times New Roman"/>
                      <w:color w:val="auto"/>
                      <w:kern w:val="0"/>
                      <w:sz w:val="21"/>
                      <w:szCs w:val="21"/>
                      <w:highlight w:val="none"/>
                      <w:lang w:bidi="ar"/>
                    </w:rPr>
                    <w:t>能源利用</w:t>
                  </w:r>
                </w:p>
              </w:tc>
              <w:tc>
                <w:tcPr>
                  <w:tcW w:w="3401" w:type="dxa"/>
                  <w:tcBorders>
                    <w:tl2br w:val="nil"/>
                    <w:tr2bl w:val="nil"/>
                  </w:tcBorders>
                  <w:vAlign w:val="center"/>
                </w:tcPr>
                <w:p w14:paraId="199D4D9B">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A4.3-4</w:t>
                  </w:r>
                  <w:r>
                    <w:rPr>
                      <w:rFonts w:hint="default" w:ascii="Times New Roman" w:hAnsi="Times New Roman" w:cs="Times New Roman"/>
                      <w:color w:val="auto"/>
                      <w:kern w:val="0"/>
                      <w:sz w:val="21"/>
                      <w:szCs w:val="21"/>
                      <w:highlight w:val="none"/>
                      <w:lang w:bidi="ar"/>
                    </w:rPr>
                    <w:t>〕鼓励使用清洁能源或电厂热力、工业余热等替代锅炉、炉窑燃料用煤。</w:t>
                  </w:r>
                </w:p>
              </w:tc>
              <w:tc>
                <w:tcPr>
                  <w:tcW w:w="1482" w:type="dxa"/>
                  <w:tcBorders>
                    <w:tl2br w:val="nil"/>
                    <w:tr2bl w:val="nil"/>
                  </w:tcBorders>
                  <w:noWrap/>
                  <w:vAlign w:val="center"/>
                </w:tcPr>
                <w:p w14:paraId="42B7058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025B09A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4A43F7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73F038A9">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61BA9C29">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4F05B8F8">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A4.3-5</w:t>
                  </w:r>
                  <w:r>
                    <w:rPr>
                      <w:rFonts w:hint="default" w:ascii="Times New Roman" w:hAnsi="Times New Roman" w:cs="Times New Roman"/>
                      <w:color w:val="auto"/>
                      <w:kern w:val="0"/>
                      <w:sz w:val="21"/>
                      <w:szCs w:val="21"/>
                      <w:highlight w:val="none"/>
                      <w:lang w:bidi="ar"/>
                    </w:rPr>
                    <w:t>〕以碳达峰碳中和工作为引领，着力提高能源资源利用效率。引导重点行业深入实施清洁生产改造，钢铁、建材、石油化工等重点行业以及其他行业重点用能单位持续开展节能降耗。</w:t>
                  </w:r>
                </w:p>
              </w:tc>
              <w:tc>
                <w:tcPr>
                  <w:tcW w:w="1482" w:type="dxa"/>
                  <w:tcBorders>
                    <w:tl2br w:val="nil"/>
                    <w:tr2bl w:val="nil"/>
                  </w:tcBorders>
                  <w:noWrap/>
                  <w:vAlign w:val="center"/>
                </w:tcPr>
                <w:p w14:paraId="2995E76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76DAFDB5">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0E449A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2C862E71">
                  <w:pPr>
                    <w:jc w:val="center"/>
                    <w:rPr>
                      <w:rFonts w:hint="default" w:ascii="Times New Roman" w:hAnsi="Times New Roman" w:cs="Times New Roman"/>
                      <w:color w:val="auto"/>
                      <w:sz w:val="21"/>
                      <w:szCs w:val="21"/>
                      <w:highlight w:val="none"/>
                    </w:rPr>
                  </w:pPr>
                </w:p>
              </w:tc>
              <w:tc>
                <w:tcPr>
                  <w:tcW w:w="364" w:type="dxa"/>
                  <w:tcBorders>
                    <w:tl2br w:val="nil"/>
                    <w:tr2bl w:val="nil"/>
                  </w:tcBorders>
                  <w:vAlign w:val="center"/>
                </w:tcPr>
                <w:p w14:paraId="32B07D05">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A4.4</w:t>
                  </w:r>
                  <w:r>
                    <w:rPr>
                      <w:rFonts w:hint="default" w:ascii="Times New Roman" w:hAnsi="Times New Roman" w:cs="Times New Roman"/>
                      <w:color w:val="auto"/>
                      <w:kern w:val="0"/>
                      <w:sz w:val="21"/>
                      <w:szCs w:val="21"/>
                      <w:highlight w:val="none"/>
                      <w:lang w:bidi="ar"/>
                    </w:rPr>
                    <w:t>禁燃区要求</w:t>
                  </w:r>
                </w:p>
              </w:tc>
              <w:tc>
                <w:tcPr>
                  <w:tcW w:w="3401" w:type="dxa"/>
                  <w:tcBorders>
                    <w:tl2br w:val="nil"/>
                    <w:tr2bl w:val="nil"/>
                  </w:tcBorders>
                  <w:vAlign w:val="center"/>
                </w:tcPr>
                <w:p w14:paraId="37B8E5BC">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A4.4-1</w:t>
                  </w:r>
                  <w:r>
                    <w:rPr>
                      <w:rFonts w:hint="default" w:ascii="Times New Roman" w:hAnsi="Times New Roman" w:cs="Times New Roman"/>
                      <w:color w:val="auto"/>
                      <w:kern w:val="0"/>
                      <w:sz w:val="21"/>
                      <w:szCs w:val="21"/>
                      <w:highlight w:val="none"/>
                      <w:lang w:bidi="ar"/>
                    </w:rPr>
                    <w:t>〕在禁燃区内，禁止销售、燃用高污染燃料；禁止新建、扩建燃用高污染燃料的设施。已建成的，应当在规定期限内改用清洁能源。</w:t>
                  </w:r>
                </w:p>
              </w:tc>
              <w:tc>
                <w:tcPr>
                  <w:tcW w:w="1482" w:type="dxa"/>
                  <w:tcBorders>
                    <w:tl2br w:val="nil"/>
                    <w:tr2bl w:val="nil"/>
                  </w:tcBorders>
                  <w:noWrap/>
                  <w:vAlign w:val="center"/>
                </w:tcPr>
                <w:p w14:paraId="4B522A9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高污染燃料</w:t>
                  </w:r>
                </w:p>
              </w:tc>
              <w:tc>
                <w:tcPr>
                  <w:tcW w:w="876" w:type="dxa"/>
                  <w:tcBorders>
                    <w:tl2br w:val="nil"/>
                    <w:tr2bl w:val="nil"/>
                  </w:tcBorders>
                  <w:noWrap/>
                  <w:vAlign w:val="center"/>
                </w:tcPr>
                <w:p w14:paraId="2A3A00F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ED611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78EC556B">
                  <w:pPr>
                    <w:jc w:val="center"/>
                    <w:rPr>
                      <w:rFonts w:hint="default" w:ascii="Times New Roman" w:hAnsi="Times New Roman" w:cs="Times New Roman"/>
                      <w:color w:val="auto"/>
                      <w:sz w:val="21"/>
                      <w:szCs w:val="21"/>
                      <w:highlight w:val="none"/>
                    </w:rPr>
                  </w:pPr>
                </w:p>
              </w:tc>
              <w:tc>
                <w:tcPr>
                  <w:tcW w:w="364" w:type="dxa"/>
                  <w:vMerge w:val="restart"/>
                  <w:tcBorders>
                    <w:tl2br w:val="nil"/>
                    <w:tr2bl w:val="nil"/>
                  </w:tcBorders>
                  <w:vAlign w:val="center"/>
                </w:tcPr>
                <w:p w14:paraId="1D95E8A7">
                  <w:pPr>
                    <w:widowControl/>
                    <w:jc w:val="center"/>
                    <w:textAlignment w:val="center"/>
                    <w:rPr>
                      <w:rFonts w:hint="default" w:ascii="Times New Roman" w:hAnsi="Times New Roman" w:cs="Times New Roman"/>
                      <w:color w:val="auto"/>
                      <w:sz w:val="21"/>
                      <w:szCs w:val="21"/>
                      <w:highlight w:val="none"/>
                    </w:rPr>
                  </w:pPr>
                  <w:r>
                    <w:rPr>
                      <w:rStyle w:val="66"/>
                      <w:rFonts w:hint="default" w:ascii="Times New Roman" w:hAnsi="Times New Roman" w:cs="Times New Roman"/>
                      <w:color w:val="auto"/>
                      <w:sz w:val="21"/>
                      <w:szCs w:val="21"/>
                      <w:highlight w:val="none"/>
                      <w:lang w:bidi="ar"/>
                    </w:rPr>
                    <w:t>A4.5</w:t>
                  </w:r>
                  <w:r>
                    <w:rPr>
                      <w:rFonts w:hint="default" w:ascii="Times New Roman" w:hAnsi="Times New Roman" w:cs="Times New Roman"/>
                      <w:color w:val="auto"/>
                      <w:kern w:val="0"/>
                      <w:sz w:val="21"/>
                      <w:szCs w:val="21"/>
                      <w:highlight w:val="none"/>
                      <w:lang w:bidi="ar"/>
                    </w:rPr>
                    <w:t>资源综合利用</w:t>
                  </w:r>
                </w:p>
              </w:tc>
              <w:tc>
                <w:tcPr>
                  <w:tcW w:w="3401" w:type="dxa"/>
                  <w:tcBorders>
                    <w:tl2br w:val="nil"/>
                    <w:tr2bl w:val="nil"/>
                  </w:tcBorders>
                  <w:vAlign w:val="center"/>
                </w:tcPr>
                <w:p w14:paraId="1B0B0F09">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A4.5-1</w:t>
                  </w:r>
                  <w:r>
                    <w:rPr>
                      <w:rFonts w:hint="default" w:ascii="Times New Roman" w:hAnsi="Times New Roman" w:cs="Times New Roman"/>
                      <w:color w:val="auto"/>
                      <w:kern w:val="0"/>
                      <w:sz w:val="21"/>
                      <w:szCs w:val="21"/>
                      <w:highlight w:val="none"/>
                      <w:lang w:bidi="ar"/>
                    </w:rPr>
                    <w:t>〕加强固体废物源头减量、资源化利用和无害化处置，最大限度减少填埋量。推进工业固体废物精细化、名录化环境管理，促进大宗工业固废综合利用、主要农业废弃物全量利用。加快构建废旧物资回收和循环利用体系，健全强制报废制度和废旧家电、消费电子等耐用消费品回收处理体系，推行生产企业</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逆向回收</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等模式。以尾矿和共伴生矿、煤矸石、炉渣、粉煤灰、脱硫石膏、冶炼渣、建筑垃圾等为重点，持续推进固体废物综合利用和环境整治，不断提高大宗固体废物资源化利用水平。推行生活垃圾分类，加快建设县</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市</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生活垃圾处理设施，到</w:t>
                  </w:r>
                  <w:r>
                    <w:rPr>
                      <w:rStyle w:val="66"/>
                      <w:rFonts w:hint="default" w:ascii="Times New Roman" w:hAnsi="Times New Roman" w:cs="Times New Roman"/>
                      <w:color w:val="auto"/>
                      <w:sz w:val="21"/>
                      <w:szCs w:val="21"/>
                      <w:highlight w:val="none"/>
                      <w:lang w:bidi="ar"/>
                    </w:rPr>
                    <w:t>2025</w:t>
                  </w:r>
                  <w:r>
                    <w:rPr>
                      <w:rFonts w:hint="default" w:ascii="Times New Roman" w:hAnsi="Times New Roman" w:cs="Times New Roman"/>
                      <w:color w:val="auto"/>
                      <w:kern w:val="0"/>
                      <w:sz w:val="21"/>
                      <w:szCs w:val="21"/>
                      <w:highlight w:val="none"/>
                      <w:lang w:bidi="ar"/>
                    </w:rPr>
                    <w:t>年，全疆城市生活垃圾无害化处理率达到</w:t>
                  </w:r>
                  <w:r>
                    <w:rPr>
                      <w:rStyle w:val="66"/>
                      <w:rFonts w:hint="default" w:ascii="Times New Roman" w:hAnsi="Times New Roman" w:cs="Times New Roman"/>
                      <w:color w:val="auto"/>
                      <w:sz w:val="21"/>
                      <w:szCs w:val="21"/>
                      <w:highlight w:val="none"/>
                      <w:lang w:bidi="ar"/>
                    </w:rPr>
                    <w:t>99%</w:t>
                  </w:r>
                  <w:r>
                    <w:rPr>
                      <w:rFonts w:hint="default" w:ascii="Times New Roman" w:hAnsi="Times New Roman" w:cs="Times New Roman"/>
                      <w:color w:val="auto"/>
                      <w:kern w:val="0"/>
                      <w:sz w:val="21"/>
                      <w:szCs w:val="21"/>
                      <w:highlight w:val="none"/>
                      <w:lang w:bidi="ar"/>
                    </w:rPr>
                    <w:t>以上。</w:t>
                  </w:r>
                </w:p>
              </w:tc>
              <w:tc>
                <w:tcPr>
                  <w:tcW w:w="1482" w:type="dxa"/>
                  <w:tcBorders>
                    <w:tl2br w:val="nil"/>
                    <w:tr2bl w:val="nil"/>
                  </w:tcBorders>
                  <w:noWrap/>
                  <w:vAlign w:val="center"/>
                </w:tcPr>
                <w:p w14:paraId="124C80D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r>
                    <w:rPr>
                      <w:rFonts w:hint="default" w:ascii="Times New Roman" w:hAnsi="Times New Roman" w:cs="Times New Roman"/>
                      <w:color w:val="auto"/>
                      <w:kern w:val="0"/>
                      <w:sz w:val="21"/>
                      <w:szCs w:val="21"/>
                      <w:highlight w:val="none"/>
                      <w:lang w:bidi="ar"/>
                    </w:rPr>
                    <w:t>废旧物资回收和循环利用体系，健全强制报废制度和废旧家电、消费电子等耐用消费品回收处理；不涉及尾矿和共伴生矿、煤矸石、炉渣、粉煤灰、脱硫石膏、冶炼渣、建筑垃圾的建设</w:t>
                  </w:r>
                </w:p>
              </w:tc>
              <w:tc>
                <w:tcPr>
                  <w:tcW w:w="876" w:type="dxa"/>
                  <w:tcBorders>
                    <w:tl2br w:val="nil"/>
                    <w:tr2bl w:val="nil"/>
                  </w:tcBorders>
                  <w:noWrap/>
                  <w:vAlign w:val="center"/>
                </w:tcPr>
                <w:p w14:paraId="1BF8B21F">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620F24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655EA55F">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7AFB112A">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0CCE686E">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A4.5-2</w:t>
                  </w:r>
                  <w:r>
                    <w:rPr>
                      <w:rFonts w:hint="default" w:ascii="Times New Roman" w:hAnsi="Times New Roman" w:cs="Times New Roman"/>
                      <w:color w:val="auto"/>
                      <w:kern w:val="0"/>
                      <w:sz w:val="21"/>
                      <w:szCs w:val="21"/>
                      <w:highlight w:val="none"/>
                      <w:lang w:bidi="ar"/>
                    </w:rPr>
                    <w:t>〕推动工业固废按元素价值综合开发利用，加快推进尾矿</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共伴生矿</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粉煤灰、煤矸石、冶炼渣、工业副产石膏、赤泥、化工废渣等工业固废在有价组分提取、建材生产、市政设施建设、井下充填、生态修复、土壤治理等领域的规模化利用。着力提升工业固废在生产纤维材料、微晶玻璃、超细化填料、低碳水泥、固废基高性能混凝土、预制件、节能型建筑材料等领域的高值化利用水平。</w:t>
                  </w:r>
                </w:p>
              </w:tc>
              <w:tc>
                <w:tcPr>
                  <w:tcW w:w="1482" w:type="dxa"/>
                  <w:tcBorders>
                    <w:tl2br w:val="nil"/>
                    <w:tr2bl w:val="nil"/>
                  </w:tcBorders>
                  <w:noWrap/>
                  <w:vAlign w:val="center"/>
                </w:tcPr>
                <w:p w14:paraId="6588F44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52109ACA">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73F37E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79F46845">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30510BA4">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30384DB3">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A4.5-3</w:t>
                  </w:r>
                  <w:r>
                    <w:rPr>
                      <w:rFonts w:hint="default" w:ascii="Times New Roman" w:hAnsi="Times New Roman" w:cs="Times New Roman"/>
                      <w:color w:val="auto"/>
                      <w:kern w:val="0"/>
                      <w:sz w:val="21"/>
                      <w:szCs w:val="21"/>
                      <w:highlight w:val="none"/>
                      <w:lang w:bidi="ar"/>
                    </w:rPr>
                    <w:t>〕结合工业领域减污降碳要求，加快探索钢铁、有色、化工、建材等重点行业工业固体废物减量化路径，全面推行清洁生产。全面推进绿色矿山、</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无废</w:t>
                  </w:r>
                  <w:r>
                    <w:rPr>
                      <w:rStyle w:val="66"/>
                      <w:rFonts w:hint="default" w:ascii="Times New Roman" w:hAnsi="Times New Roman" w:cs="Times New Roman"/>
                      <w:color w:val="auto"/>
                      <w:sz w:val="21"/>
                      <w:szCs w:val="21"/>
                      <w:highlight w:val="none"/>
                      <w:lang w:bidi="ar"/>
                    </w:rPr>
                    <w:t>”</w:t>
                  </w:r>
                  <w:r>
                    <w:rPr>
                      <w:rFonts w:hint="default" w:ascii="Times New Roman" w:hAnsi="Times New Roman" w:cs="Times New Roman"/>
                      <w:color w:val="auto"/>
                      <w:kern w:val="0"/>
                      <w:sz w:val="21"/>
                      <w:szCs w:val="21"/>
                      <w:highlight w:val="none"/>
                      <w:lang w:bidi="ar"/>
                    </w:rPr>
                    <w:t>矿区建设，推广尾矿等大宗工业固体废物环境友好型井下充填回填，减少尾矿库贮存量。推动大宗工业固体废物在提取</w:t>
                  </w:r>
                  <w:r>
                    <w:rPr>
                      <w:rFonts w:hint="default" w:ascii="Times New Roman" w:hAnsi="Times New Roman" w:cs="Times New Roman"/>
                      <w:color w:val="auto"/>
                      <w:kern w:val="0"/>
                      <w:sz w:val="21"/>
                      <w:szCs w:val="21"/>
                      <w:highlight w:val="none"/>
                      <w:lang w:eastAsia="zh-CN" w:bidi="ar"/>
                    </w:rPr>
                    <w:t>有机</w:t>
                  </w:r>
                  <w:r>
                    <w:rPr>
                      <w:rFonts w:hint="default" w:ascii="Times New Roman" w:hAnsi="Times New Roman" w:cs="Times New Roman"/>
                      <w:color w:val="auto"/>
                      <w:kern w:val="0"/>
                      <w:sz w:val="21"/>
                      <w:szCs w:val="21"/>
                      <w:highlight w:val="none"/>
                      <w:lang w:bidi="ar"/>
                    </w:rPr>
                    <w:t>组分、生产建材、筑路、生态修复、土壤治理等领域的规模化利用。</w:t>
                  </w:r>
                </w:p>
              </w:tc>
              <w:tc>
                <w:tcPr>
                  <w:tcW w:w="1482" w:type="dxa"/>
                  <w:tcBorders>
                    <w:tl2br w:val="nil"/>
                    <w:tr2bl w:val="nil"/>
                  </w:tcBorders>
                  <w:noWrap/>
                  <w:vAlign w:val="center"/>
                </w:tcPr>
                <w:p w14:paraId="7B098B90">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383C14B7">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r w14:paraId="2034C0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 w:hRule="atLeast"/>
                <w:jc w:val="center"/>
              </w:trPr>
              <w:tc>
                <w:tcPr>
                  <w:tcW w:w="361" w:type="dxa"/>
                  <w:vMerge w:val="continue"/>
                  <w:tcBorders>
                    <w:tl2br w:val="nil"/>
                    <w:tr2bl w:val="nil"/>
                  </w:tcBorders>
                  <w:vAlign w:val="center"/>
                </w:tcPr>
                <w:p w14:paraId="5F4DD1A2">
                  <w:pPr>
                    <w:jc w:val="center"/>
                    <w:rPr>
                      <w:rFonts w:hint="default" w:ascii="Times New Roman" w:hAnsi="Times New Roman" w:cs="Times New Roman"/>
                      <w:color w:val="auto"/>
                      <w:sz w:val="21"/>
                      <w:szCs w:val="21"/>
                      <w:highlight w:val="none"/>
                    </w:rPr>
                  </w:pPr>
                </w:p>
              </w:tc>
              <w:tc>
                <w:tcPr>
                  <w:tcW w:w="364" w:type="dxa"/>
                  <w:vMerge w:val="continue"/>
                  <w:tcBorders>
                    <w:tl2br w:val="nil"/>
                    <w:tr2bl w:val="nil"/>
                  </w:tcBorders>
                  <w:vAlign w:val="center"/>
                </w:tcPr>
                <w:p w14:paraId="47702A77">
                  <w:pPr>
                    <w:jc w:val="center"/>
                    <w:rPr>
                      <w:rFonts w:hint="default" w:ascii="Times New Roman" w:hAnsi="Times New Roman" w:cs="Times New Roman"/>
                      <w:color w:val="auto"/>
                      <w:sz w:val="21"/>
                      <w:szCs w:val="21"/>
                      <w:highlight w:val="none"/>
                    </w:rPr>
                  </w:pPr>
                </w:p>
              </w:tc>
              <w:tc>
                <w:tcPr>
                  <w:tcW w:w="3401" w:type="dxa"/>
                  <w:tcBorders>
                    <w:tl2br w:val="nil"/>
                    <w:tr2bl w:val="nil"/>
                  </w:tcBorders>
                  <w:vAlign w:val="center"/>
                </w:tcPr>
                <w:p w14:paraId="3519DF50">
                  <w:pPr>
                    <w:widowControl/>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kern w:val="0"/>
                      <w:sz w:val="21"/>
                      <w:szCs w:val="21"/>
                      <w:highlight w:val="none"/>
                      <w:lang w:bidi="ar"/>
                    </w:rPr>
                    <w:t>〔</w:t>
                  </w:r>
                  <w:r>
                    <w:rPr>
                      <w:rStyle w:val="66"/>
                      <w:rFonts w:hint="default" w:ascii="Times New Roman" w:hAnsi="Times New Roman" w:cs="Times New Roman"/>
                      <w:color w:val="auto"/>
                      <w:sz w:val="21"/>
                      <w:szCs w:val="21"/>
                      <w:highlight w:val="none"/>
                      <w:lang w:bidi="ar"/>
                    </w:rPr>
                    <w:t>A4.5-4</w:t>
                  </w:r>
                  <w:r>
                    <w:rPr>
                      <w:rFonts w:hint="default" w:ascii="Times New Roman" w:hAnsi="Times New Roman" w:cs="Times New Roman"/>
                      <w:color w:val="auto"/>
                      <w:kern w:val="0"/>
                      <w:sz w:val="21"/>
                      <w:szCs w:val="21"/>
                      <w:highlight w:val="none"/>
                      <w:lang w:bidi="ar"/>
                    </w:rPr>
                    <w:t>〕发展生态种植、生态养殖，建立农业循环经济发展模式，促进农业固体废物综合利用。鼓励和引导农民采用增施有机肥秸秆还田、种植绿肥等技术，持续减少化肥农药使用比例。加大畜禽粪污和秸秆资源化利用先进技术和新型市场模式的集成推广，推动形成长效运行机制。</w:t>
                  </w:r>
                </w:p>
              </w:tc>
              <w:tc>
                <w:tcPr>
                  <w:tcW w:w="1482" w:type="dxa"/>
                  <w:tcBorders>
                    <w:tl2br w:val="nil"/>
                    <w:tr2bl w:val="nil"/>
                  </w:tcBorders>
                  <w:noWrap/>
                  <w:vAlign w:val="center"/>
                </w:tcPr>
                <w:p w14:paraId="3C98CFDD">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本项目不涉及</w:t>
                  </w:r>
                </w:p>
              </w:tc>
              <w:tc>
                <w:tcPr>
                  <w:tcW w:w="876" w:type="dxa"/>
                  <w:tcBorders>
                    <w:tl2br w:val="nil"/>
                    <w:tr2bl w:val="nil"/>
                  </w:tcBorders>
                  <w:noWrap/>
                  <w:vAlign w:val="center"/>
                </w:tcPr>
                <w:p w14:paraId="4D6B15EB">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符合</w:t>
                  </w:r>
                </w:p>
              </w:tc>
            </w:tr>
          </w:tbl>
          <w:p w14:paraId="22D8F9F1">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0" w:firstLineChars="200"/>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区不在《新疆维吾尔自治区28个国家重点生态功能区县（市）产业准入负面清单（试行）》（2017年6月）和《新疆维吾尔自治区17个新增纳入国家重点生态功能区县（市）产业准入负面清单（试行）》（2017年12月）中限制类和禁止类区域。</w:t>
            </w:r>
          </w:p>
          <w:p w14:paraId="581AC33E">
            <w:pPr>
              <w:keepNext w:val="0"/>
              <w:keepLines w:val="0"/>
              <w:pageBreakBefore w:val="0"/>
              <w:widowControl w:val="0"/>
              <w:kinsoku/>
              <w:wordWrap/>
              <w:overflowPunct/>
              <w:topLinePunct w:val="0"/>
              <w:bidi w:val="0"/>
              <w:spacing w:line="360" w:lineRule="auto"/>
              <w:ind w:right="0" w:firstLine="480" w:firstLineChars="200"/>
              <w:jc w:val="both"/>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综上，本项目的建设符合《新疆维吾尔自治区生态环境分区管控动态更新成果》（新环环评发〔2024〕157号）</w:t>
            </w:r>
          </w:p>
          <w:p w14:paraId="793EFDCC">
            <w:pPr>
              <w:spacing w:before="123" w:line="360" w:lineRule="auto"/>
              <w:ind w:right="103"/>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6"/>
                <w:sz w:val="24"/>
                <w:szCs w:val="24"/>
                <w:highlight w:val="none"/>
                <w:lang w:val="en-US" w:eastAsia="zh-CN"/>
              </w:rPr>
              <w:t>3.</w:t>
            </w:r>
            <w:r>
              <w:rPr>
                <w:rFonts w:hint="default" w:ascii="Times New Roman" w:hAnsi="Times New Roman" w:eastAsia="宋体" w:cs="Times New Roman"/>
                <w:b/>
                <w:bCs/>
                <w:color w:val="auto"/>
                <w:spacing w:val="-6"/>
                <w:sz w:val="24"/>
                <w:szCs w:val="24"/>
                <w:highlight w:val="none"/>
              </w:rPr>
              <w:t>与《新疆维吾尔自治区七大片区</w:t>
            </w:r>
            <w:r>
              <w:rPr>
                <w:rFonts w:hint="default" w:ascii="Times New Roman" w:hAnsi="Times New Roman" w:eastAsia="Times New Roman" w:cs="Times New Roman"/>
                <w:b/>
                <w:bCs/>
                <w:color w:val="auto"/>
                <w:spacing w:val="-6"/>
                <w:sz w:val="24"/>
                <w:szCs w:val="24"/>
                <w:highlight w:val="none"/>
              </w:rPr>
              <w:t>“</w:t>
            </w:r>
            <w:r>
              <w:rPr>
                <w:rFonts w:hint="default" w:ascii="Times New Roman" w:hAnsi="Times New Roman" w:eastAsia="宋体" w:cs="Times New Roman"/>
                <w:b/>
                <w:bCs/>
                <w:color w:val="auto"/>
                <w:spacing w:val="-6"/>
                <w:sz w:val="24"/>
                <w:szCs w:val="24"/>
                <w:highlight w:val="none"/>
              </w:rPr>
              <w:t>三线一单</w:t>
            </w:r>
            <w:r>
              <w:rPr>
                <w:rFonts w:hint="default" w:ascii="Times New Roman" w:hAnsi="Times New Roman" w:eastAsia="Times New Roman" w:cs="Times New Roman"/>
                <w:b/>
                <w:bCs/>
                <w:color w:val="auto"/>
                <w:spacing w:val="-7"/>
                <w:sz w:val="24"/>
                <w:szCs w:val="24"/>
                <w:highlight w:val="none"/>
              </w:rPr>
              <w:t>”</w:t>
            </w:r>
            <w:r>
              <w:rPr>
                <w:rFonts w:hint="default" w:ascii="Times New Roman" w:hAnsi="Times New Roman" w:eastAsia="宋体" w:cs="Times New Roman"/>
                <w:b/>
                <w:bCs/>
                <w:color w:val="auto"/>
                <w:spacing w:val="-7"/>
                <w:sz w:val="24"/>
                <w:szCs w:val="24"/>
                <w:highlight w:val="none"/>
              </w:rPr>
              <w:t>生态环</w:t>
            </w:r>
            <w:r>
              <w:rPr>
                <w:rFonts w:hint="default" w:ascii="Times New Roman" w:hAnsi="Times New Roman" w:eastAsia="宋体" w:cs="Times New Roman"/>
                <w:b/>
                <w:bCs/>
                <w:color w:val="auto"/>
                <w:sz w:val="24"/>
                <w:szCs w:val="24"/>
                <w:highlight w:val="none"/>
              </w:rPr>
              <w:t>境分区管控要求》（新环环评发〔</w:t>
            </w:r>
            <w:r>
              <w:rPr>
                <w:rFonts w:hint="default" w:ascii="Times New Roman" w:hAnsi="Times New Roman" w:eastAsia="Times New Roman" w:cs="Times New Roman"/>
                <w:b/>
                <w:bCs/>
                <w:color w:val="auto"/>
                <w:sz w:val="24"/>
                <w:szCs w:val="24"/>
                <w:highlight w:val="none"/>
              </w:rPr>
              <w:t>2021</w:t>
            </w:r>
            <w:r>
              <w:rPr>
                <w:rFonts w:hint="default" w:ascii="Times New Roman" w:hAnsi="Times New Roman" w:eastAsia="宋体" w:cs="Times New Roman"/>
                <w:b/>
                <w:bCs/>
                <w:color w:val="auto"/>
                <w:sz w:val="24"/>
                <w:szCs w:val="24"/>
                <w:highlight w:val="none"/>
              </w:rPr>
              <w:t>〕</w:t>
            </w:r>
            <w:r>
              <w:rPr>
                <w:rFonts w:hint="default" w:ascii="Times New Roman" w:hAnsi="Times New Roman" w:eastAsia="Times New Roman" w:cs="Times New Roman"/>
                <w:b/>
                <w:bCs/>
                <w:color w:val="auto"/>
                <w:sz w:val="24"/>
                <w:szCs w:val="24"/>
                <w:highlight w:val="none"/>
              </w:rPr>
              <w:t>162</w:t>
            </w:r>
            <w:r>
              <w:rPr>
                <w:rFonts w:hint="default" w:ascii="Times New Roman" w:hAnsi="Times New Roman" w:eastAsia="宋体" w:cs="Times New Roman"/>
                <w:b/>
                <w:bCs/>
                <w:color w:val="auto"/>
                <w:sz w:val="24"/>
                <w:szCs w:val="24"/>
                <w:highlight w:val="none"/>
              </w:rPr>
              <w:t>号）符合性分</w:t>
            </w:r>
            <w:r>
              <w:rPr>
                <w:rFonts w:hint="default" w:ascii="Times New Roman" w:hAnsi="Times New Roman" w:eastAsia="宋体" w:cs="Times New Roman"/>
                <w:b/>
                <w:bCs/>
                <w:color w:val="auto"/>
                <w:spacing w:val="-3"/>
                <w:sz w:val="24"/>
                <w:szCs w:val="24"/>
                <w:highlight w:val="none"/>
              </w:rPr>
              <w:t>析</w:t>
            </w:r>
          </w:p>
          <w:p w14:paraId="3129F604">
            <w:pPr>
              <w:spacing w:before="3" w:line="344" w:lineRule="auto"/>
              <w:ind w:left="110" w:right="103"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根据《新疆维吾尔自治区</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rPr>
              <w:t>三线一单</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rPr>
              <w:t>生态环境分区管控</w:t>
            </w:r>
            <w:r>
              <w:rPr>
                <w:rFonts w:hint="default" w:ascii="Times New Roman" w:hAnsi="Times New Roman" w:eastAsia="宋体" w:cs="Times New Roman"/>
                <w:color w:val="auto"/>
                <w:spacing w:val="-4"/>
                <w:sz w:val="24"/>
                <w:szCs w:val="24"/>
                <w:highlight w:val="none"/>
              </w:rPr>
              <w:t>方案》（新环环评发〔</w:t>
            </w:r>
            <w:r>
              <w:rPr>
                <w:rFonts w:hint="default" w:ascii="Times New Roman" w:hAnsi="Times New Roman" w:eastAsia="Times New Roman" w:cs="Times New Roman"/>
                <w:color w:val="auto"/>
                <w:spacing w:val="-4"/>
                <w:sz w:val="24"/>
                <w:szCs w:val="24"/>
                <w:highlight w:val="none"/>
              </w:rPr>
              <w:t>2021</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Times New Roman" w:cs="Times New Roman"/>
                <w:color w:val="auto"/>
                <w:spacing w:val="-4"/>
                <w:sz w:val="24"/>
                <w:szCs w:val="24"/>
                <w:highlight w:val="none"/>
              </w:rPr>
              <w:t>162</w:t>
            </w:r>
            <w:r>
              <w:rPr>
                <w:rFonts w:hint="default" w:ascii="Times New Roman" w:hAnsi="Times New Roman" w:eastAsia="宋体" w:cs="Times New Roman"/>
                <w:color w:val="auto"/>
                <w:spacing w:val="-4"/>
                <w:sz w:val="24"/>
                <w:szCs w:val="24"/>
                <w:highlight w:val="none"/>
              </w:rPr>
              <w:t>号</w:t>
            </w:r>
            <w:r>
              <w:rPr>
                <w:rFonts w:hint="default" w:ascii="Times New Roman" w:hAnsi="Times New Roman" w:eastAsia="宋体" w:cs="Times New Roman"/>
                <w:color w:val="auto"/>
                <w:spacing w:val="6"/>
                <w:sz w:val="24"/>
                <w:szCs w:val="24"/>
                <w:highlight w:val="none"/>
              </w:rPr>
              <w:t>），</w:t>
            </w:r>
            <w:r>
              <w:rPr>
                <w:rFonts w:hint="default" w:ascii="Times New Roman" w:hAnsi="Times New Roman" w:eastAsia="宋体" w:cs="Times New Roman"/>
                <w:color w:val="auto"/>
                <w:spacing w:val="-4"/>
                <w:sz w:val="24"/>
                <w:szCs w:val="24"/>
                <w:highlight w:val="none"/>
              </w:rPr>
              <w:t>自治区共划定</w:t>
            </w:r>
            <w:r>
              <w:rPr>
                <w:rFonts w:hint="default" w:ascii="Times New Roman" w:hAnsi="Times New Roman" w:eastAsia="Times New Roman" w:cs="Times New Roman"/>
                <w:color w:val="auto"/>
                <w:spacing w:val="-4"/>
                <w:sz w:val="24"/>
                <w:szCs w:val="24"/>
                <w:highlight w:val="none"/>
              </w:rPr>
              <w:t>1323</w:t>
            </w:r>
            <w:r>
              <w:rPr>
                <w:rFonts w:hint="default" w:ascii="Times New Roman" w:hAnsi="Times New Roman" w:eastAsia="宋体" w:cs="Times New Roman"/>
                <w:color w:val="auto"/>
                <w:spacing w:val="1"/>
                <w:sz w:val="24"/>
                <w:szCs w:val="24"/>
                <w:highlight w:val="none"/>
              </w:rPr>
              <w:t>个环境管控单元，分为优先保护单元、重点管控单元和一般</w:t>
            </w:r>
            <w:r>
              <w:rPr>
                <w:rFonts w:hint="default" w:ascii="Times New Roman" w:hAnsi="Times New Roman" w:eastAsia="宋体" w:cs="Times New Roman"/>
                <w:color w:val="auto"/>
                <w:spacing w:val="-1"/>
                <w:sz w:val="24"/>
                <w:szCs w:val="24"/>
                <w:highlight w:val="none"/>
              </w:rPr>
              <w:t>管控单元三类，实施分类管控。</w:t>
            </w:r>
          </w:p>
          <w:p w14:paraId="47FF3679">
            <w:pPr>
              <w:spacing w:before="1" w:line="360" w:lineRule="auto"/>
              <w:ind w:left="111" w:right="21" w:firstLine="480"/>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sz w:val="24"/>
                <w:szCs w:val="24"/>
                <w:highlight w:val="none"/>
              </w:rPr>
              <w:t>本项目位于</w:t>
            </w:r>
            <w:r>
              <w:rPr>
                <w:rFonts w:hint="default" w:ascii="Times New Roman" w:hAnsi="Times New Roman" w:cs="Times New Roman"/>
                <w:color w:val="auto"/>
                <w:spacing w:val="-5"/>
                <w:sz w:val="24"/>
                <w:szCs w:val="24"/>
                <w:highlight w:val="none"/>
                <w:lang w:eastAsia="zh-CN"/>
              </w:rPr>
              <w:t>昌吉市</w:t>
            </w:r>
            <w:r>
              <w:rPr>
                <w:rFonts w:hint="default" w:ascii="Times New Roman" w:hAnsi="Times New Roman" w:cs="Times New Roman"/>
                <w:color w:val="auto"/>
                <w:spacing w:val="-5"/>
                <w:sz w:val="24"/>
                <w:szCs w:val="24"/>
                <w:highlight w:val="none"/>
                <w:lang w:val="en-US" w:eastAsia="zh-CN"/>
              </w:rPr>
              <w:t>六工镇</w:t>
            </w:r>
            <w:r>
              <w:rPr>
                <w:rFonts w:hint="default" w:ascii="Times New Roman" w:hAnsi="Times New Roman" w:eastAsia="宋体" w:cs="Times New Roman"/>
                <w:color w:val="auto"/>
                <w:spacing w:val="-5"/>
                <w:sz w:val="24"/>
                <w:szCs w:val="24"/>
                <w:highlight w:val="none"/>
              </w:rPr>
              <w:t>，属于乌昌石</w:t>
            </w:r>
            <w:r>
              <w:rPr>
                <w:rFonts w:hint="default" w:ascii="Times New Roman" w:hAnsi="Times New Roman" w:eastAsia="宋体" w:cs="Times New Roman"/>
                <w:color w:val="auto"/>
                <w:spacing w:val="-6"/>
                <w:sz w:val="24"/>
                <w:szCs w:val="24"/>
                <w:highlight w:val="none"/>
              </w:rPr>
              <w:t>片区。</w:t>
            </w:r>
            <w:r>
              <w:rPr>
                <w:rFonts w:hint="default" w:ascii="Times New Roman" w:hAnsi="Times New Roman" w:eastAsia="宋体" w:cs="Times New Roman"/>
                <w:color w:val="auto"/>
                <w:spacing w:val="-1"/>
                <w:sz w:val="24"/>
                <w:szCs w:val="24"/>
                <w:highlight w:val="none"/>
              </w:rPr>
              <w:t>本项目与《新疆维吾尔自治区七大片区</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rPr>
              <w:t>三线一单</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rPr>
              <w:t>生态环境分区管控要求》相符性分析详见表</w:t>
            </w:r>
            <w:r>
              <w:rPr>
                <w:rFonts w:hint="default" w:ascii="Times New Roman" w:hAnsi="Times New Roman" w:eastAsia="Times New Roman" w:cs="Times New Roman"/>
                <w:color w:val="auto"/>
                <w:spacing w:val="-1"/>
                <w:sz w:val="24"/>
                <w:szCs w:val="24"/>
                <w:highlight w:val="none"/>
              </w:rPr>
              <w:t>1-</w:t>
            </w:r>
            <w:r>
              <w:rPr>
                <w:rFonts w:hint="default" w:ascii="Times New Roman" w:hAnsi="Times New Roman" w:eastAsia="宋体" w:cs="Times New Roman"/>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rPr>
              <w:t>。</w:t>
            </w:r>
          </w:p>
          <w:p w14:paraId="6C4AED1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7"/>
                <w:sz w:val="21"/>
                <w:szCs w:val="21"/>
                <w:highlight w:val="none"/>
              </w:rPr>
            </w:pPr>
            <w:r>
              <w:rPr>
                <w:rFonts w:hint="default" w:ascii="Times New Roman" w:hAnsi="Times New Roman" w:eastAsia="宋体" w:cs="Times New Roman"/>
                <w:b/>
                <w:bCs/>
                <w:color w:val="auto"/>
                <w:spacing w:val="5"/>
                <w:sz w:val="21"/>
                <w:szCs w:val="21"/>
                <w:highlight w:val="none"/>
              </w:rPr>
              <w:t>表</w:t>
            </w:r>
            <w:r>
              <w:rPr>
                <w:rFonts w:hint="default" w:ascii="Times New Roman" w:hAnsi="Times New Roman" w:eastAsia="Times New Roman" w:cs="Times New Roman"/>
                <w:color w:val="auto"/>
                <w:spacing w:val="5"/>
                <w:sz w:val="21"/>
                <w:szCs w:val="21"/>
                <w:highlight w:val="none"/>
              </w:rPr>
              <w:t>1-</w:t>
            </w:r>
            <w:r>
              <w:rPr>
                <w:rFonts w:hint="default" w:ascii="Times New Roman" w:hAnsi="Times New Roman" w:eastAsia="宋体" w:cs="Times New Roman"/>
                <w:color w:val="auto"/>
                <w:spacing w:val="5"/>
                <w:sz w:val="21"/>
                <w:szCs w:val="21"/>
                <w:highlight w:val="none"/>
                <w:lang w:val="en-US" w:eastAsia="zh-CN"/>
              </w:rPr>
              <w:t>2</w:t>
            </w:r>
            <w:r>
              <w:rPr>
                <w:rFonts w:hint="eastAsia" w:ascii="Times New Roman" w:hAnsi="Times New Roman" w:cs="Times New Roman"/>
                <w:color w:val="auto"/>
                <w:spacing w:val="5"/>
                <w:sz w:val="21"/>
                <w:szCs w:val="21"/>
                <w:highlight w:val="none"/>
                <w:lang w:val="en-US" w:eastAsia="zh-CN"/>
              </w:rPr>
              <w:t xml:space="preserve">   </w:t>
            </w:r>
            <w:r>
              <w:rPr>
                <w:rFonts w:hint="default" w:ascii="Times New Roman" w:hAnsi="Times New Roman" w:eastAsia="宋体" w:cs="Times New Roman"/>
                <w:b/>
                <w:bCs/>
                <w:color w:val="auto"/>
                <w:spacing w:val="5"/>
                <w:sz w:val="21"/>
                <w:szCs w:val="21"/>
                <w:highlight w:val="none"/>
              </w:rPr>
              <w:t>七大片区</w:t>
            </w:r>
            <w:r>
              <w:rPr>
                <w:rFonts w:hint="default" w:ascii="Times New Roman" w:hAnsi="Times New Roman" w:eastAsia="Times New Roman" w:cs="Times New Roman"/>
                <w:b/>
                <w:bCs/>
                <w:color w:val="auto"/>
                <w:spacing w:val="5"/>
                <w:sz w:val="21"/>
                <w:szCs w:val="21"/>
                <w:highlight w:val="none"/>
              </w:rPr>
              <w:t>“</w:t>
            </w:r>
            <w:r>
              <w:rPr>
                <w:rFonts w:hint="default" w:ascii="Times New Roman" w:hAnsi="Times New Roman" w:eastAsia="宋体" w:cs="Times New Roman"/>
                <w:b/>
                <w:bCs/>
                <w:color w:val="auto"/>
                <w:spacing w:val="5"/>
                <w:sz w:val="21"/>
                <w:szCs w:val="21"/>
                <w:highlight w:val="none"/>
              </w:rPr>
              <w:t>三线一单</w:t>
            </w:r>
            <w:r>
              <w:rPr>
                <w:rFonts w:hint="default" w:ascii="Times New Roman" w:hAnsi="Times New Roman" w:eastAsia="Times New Roman" w:cs="Times New Roman"/>
                <w:b/>
                <w:bCs/>
                <w:color w:val="auto"/>
                <w:spacing w:val="5"/>
                <w:sz w:val="21"/>
                <w:szCs w:val="21"/>
                <w:highlight w:val="none"/>
              </w:rPr>
              <w:t>”</w:t>
            </w:r>
            <w:r>
              <w:rPr>
                <w:rFonts w:hint="default" w:ascii="Times New Roman" w:hAnsi="Times New Roman" w:eastAsia="宋体" w:cs="Times New Roman"/>
                <w:b/>
                <w:bCs/>
                <w:color w:val="auto"/>
                <w:spacing w:val="5"/>
                <w:sz w:val="21"/>
                <w:szCs w:val="21"/>
                <w:highlight w:val="none"/>
              </w:rPr>
              <w:t>生态环境分区管控要求符合性</w:t>
            </w:r>
          </w:p>
          <w:tbl>
            <w:tblPr>
              <w:tblStyle w:val="54"/>
              <w:tblW w:w="496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72"/>
              <w:gridCol w:w="3107"/>
              <w:gridCol w:w="2137"/>
              <w:gridCol w:w="690"/>
            </w:tblGrid>
            <w:tr w14:paraId="55103B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2" w:type="dxa"/>
                  <w:tcBorders>
                    <w:bottom w:val="single" w:color="000000" w:sz="12" w:space="0"/>
                  </w:tcBorders>
                  <w:vAlign w:val="center"/>
                </w:tcPr>
                <w:p w14:paraId="4752CC4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类别</w:t>
                  </w:r>
                </w:p>
              </w:tc>
              <w:tc>
                <w:tcPr>
                  <w:tcW w:w="3107" w:type="dxa"/>
                  <w:tcBorders>
                    <w:bottom w:val="single" w:color="000000" w:sz="12" w:space="0"/>
                  </w:tcBorders>
                  <w:vAlign w:val="center"/>
                </w:tcPr>
                <w:p w14:paraId="13E64BA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具体要求</w:t>
                  </w:r>
                </w:p>
              </w:tc>
              <w:tc>
                <w:tcPr>
                  <w:tcW w:w="2137" w:type="dxa"/>
                  <w:tcBorders>
                    <w:bottom w:val="single" w:color="000000" w:sz="12" w:space="0"/>
                  </w:tcBorders>
                  <w:vAlign w:val="center"/>
                </w:tcPr>
                <w:p w14:paraId="6D96D5F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项目情况</w:t>
                  </w:r>
                </w:p>
              </w:tc>
              <w:tc>
                <w:tcPr>
                  <w:tcW w:w="690" w:type="dxa"/>
                  <w:tcBorders>
                    <w:bottom w:val="single" w:color="000000" w:sz="12" w:space="0"/>
                  </w:tcBorders>
                  <w:vAlign w:val="center"/>
                </w:tcPr>
                <w:p w14:paraId="3004FF8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符合性</w:t>
                  </w:r>
                </w:p>
              </w:tc>
            </w:tr>
            <w:tr w14:paraId="04DB6F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2" w:type="dxa"/>
                  <w:tcBorders>
                    <w:top w:val="single" w:color="000000" w:sz="12" w:space="0"/>
                    <w:tl2br w:val="nil"/>
                    <w:tr2bl w:val="nil"/>
                  </w:tcBorders>
                  <w:vAlign w:val="center"/>
                </w:tcPr>
                <w:p w14:paraId="5AC3BD8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空间布局约</w:t>
                  </w:r>
                  <w:r>
                    <w:rPr>
                      <w:rFonts w:hint="default" w:ascii="Times New Roman" w:hAnsi="Times New Roman" w:eastAsia="宋体" w:cs="Times New Roman"/>
                      <w:color w:val="auto"/>
                      <w:sz w:val="21"/>
                      <w:szCs w:val="21"/>
                      <w:highlight w:val="none"/>
                    </w:rPr>
                    <w:t>束</w:t>
                  </w:r>
                </w:p>
              </w:tc>
              <w:tc>
                <w:tcPr>
                  <w:tcW w:w="3107" w:type="dxa"/>
                  <w:tcBorders>
                    <w:top w:val="single" w:color="000000" w:sz="12" w:space="0"/>
                    <w:tl2br w:val="nil"/>
                    <w:tr2bl w:val="nil"/>
                  </w:tcBorders>
                  <w:vAlign w:val="center"/>
                </w:tcPr>
                <w:p w14:paraId="717F9BF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严格执行国家、自治区产</w:t>
                  </w:r>
                  <w:r>
                    <w:rPr>
                      <w:rFonts w:hint="default" w:ascii="Times New Roman" w:hAnsi="Times New Roman" w:eastAsia="宋体" w:cs="Times New Roman"/>
                      <w:color w:val="auto"/>
                      <w:spacing w:val="4"/>
                      <w:sz w:val="21"/>
                      <w:szCs w:val="21"/>
                      <w:highlight w:val="none"/>
                    </w:rPr>
                    <w:t>业政策和环境准入要求，</w:t>
                  </w:r>
                  <w:r>
                    <w:rPr>
                      <w:rFonts w:hint="default" w:ascii="Times New Roman" w:hAnsi="Times New Roman" w:eastAsia="宋体" w:cs="Times New Roman"/>
                      <w:color w:val="auto"/>
                      <w:spacing w:val="6"/>
                      <w:sz w:val="21"/>
                      <w:szCs w:val="21"/>
                      <w:highlight w:val="none"/>
                    </w:rPr>
                    <w:t>严禁</w:t>
                  </w:r>
                  <w:r>
                    <w:rPr>
                      <w:rFonts w:hint="default" w:ascii="Times New Roman" w:hAnsi="Times New Roman" w:eastAsia="Times New Roman" w:cs="Times New Roman"/>
                      <w:color w:val="auto"/>
                      <w:spacing w:val="6"/>
                      <w:sz w:val="21"/>
                      <w:szCs w:val="21"/>
                      <w:highlight w:val="none"/>
                    </w:rPr>
                    <w:t>“</w:t>
                  </w:r>
                  <w:r>
                    <w:rPr>
                      <w:rFonts w:hint="default" w:ascii="Times New Roman" w:hAnsi="Times New Roman" w:eastAsia="宋体" w:cs="Times New Roman"/>
                      <w:color w:val="auto"/>
                      <w:spacing w:val="6"/>
                      <w:sz w:val="21"/>
                      <w:szCs w:val="21"/>
                      <w:highlight w:val="none"/>
                    </w:rPr>
                    <w:t>三高</w:t>
                  </w:r>
                  <w:r>
                    <w:rPr>
                      <w:rFonts w:hint="default" w:ascii="Times New Roman" w:hAnsi="Times New Roman" w:eastAsia="Times New Roman" w:cs="Times New Roman"/>
                      <w:color w:val="auto"/>
                      <w:spacing w:val="6"/>
                      <w:sz w:val="21"/>
                      <w:szCs w:val="21"/>
                      <w:highlight w:val="none"/>
                    </w:rPr>
                    <w:t>”</w:t>
                  </w:r>
                  <w:r>
                    <w:rPr>
                      <w:rFonts w:hint="default" w:ascii="Times New Roman" w:hAnsi="Times New Roman" w:eastAsia="宋体" w:cs="Times New Roman"/>
                      <w:color w:val="auto"/>
                      <w:spacing w:val="6"/>
                      <w:sz w:val="21"/>
                      <w:szCs w:val="21"/>
                      <w:highlight w:val="none"/>
                    </w:rPr>
                    <w:t>项目进新疆，</w:t>
                  </w:r>
                  <w:r>
                    <w:rPr>
                      <w:rFonts w:hint="default" w:ascii="Times New Roman" w:hAnsi="Times New Roman" w:eastAsia="宋体" w:cs="Times New Roman"/>
                      <w:color w:val="auto"/>
                      <w:spacing w:val="15"/>
                      <w:sz w:val="21"/>
                      <w:szCs w:val="21"/>
                      <w:highlight w:val="none"/>
                    </w:rPr>
                    <w:t>坚决遏制</w:t>
                  </w:r>
                  <w:r>
                    <w:rPr>
                      <w:rFonts w:hint="default" w:ascii="Times New Roman" w:hAnsi="Times New Roman" w:eastAsia="Times New Roman" w:cs="Times New Roman"/>
                      <w:color w:val="auto"/>
                      <w:spacing w:val="15"/>
                      <w:sz w:val="21"/>
                      <w:szCs w:val="21"/>
                      <w:highlight w:val="none"/>
                    </w:rPr>
                    <w:t>“</w:t>
                  </w:r>
                  <w:r>
                    <w:rPr>
                      <w:rFonts w:hint="default" w:ascii="Times New Roman" w:hAnsi="Times New Roman" w:eastAsia="宋体" w:cs="Times New Roman"/>
                      <w:color w:val="auto"/>
                      <w:spacing w:val="15"/>
                      <w:sz w:val="21"/>
                      <w:szCs w:val="21"/>
                      <w:highlight w:val="none"/>
                    </w:rPr>
                    <w:t>两高</w:t>
                  </w:r>
                  <w:r>
                    <w:rPr>
                      <w:rFonts w:hint="default" w:ascii="Times New Roman" w:hAnsi="Times New Roman" w:eastAsia="Times New Roman" w:cs="Times New Roman"/>
                      <w:color w:val="auto"/>
                      <w:spacing w:val="15"/>
                      <w:sz w:val="21"/>
                      <w:szCs w:val="21"/>
                      <w:highlight w:val="none"/>
                    </w:rPr>
                    <w:t>”</w:t>
                  </w:r>
                  <w:r>
                    <w:rPr>
                      <w:rFonts w:hint="default" w:ascii="Times New Roman" w:hAnsi="Times New Roman" w:eastAsia="宋体" w:cs="Times New Roman"/>
                      <w:color w:val="auto"/>
                      <w:spacing w:val="15"/>
                      <w:sz w:val="21"/>
                      <w:szCs w:val="21"/>
                      <w:highlight w:val="none"/>
                    </w:rPr>
                    <w:t>项目盲</w:t>
                  </w:r>
                  <w:r>
                    <w:rPr>
                      <w:rFonts w:hint="default" w:ascii="Times New Roman" w:hAnsi="Times New Roman" w:eastAsia="宋体" w:cs="Times New Roman"/>
                      <w:color w:val="auto"/>
                      <w:spacing w:val="1"/>
                      <w:sz w:val="21"/>
                      <w:szCs w:val="21"/>
                      <w:highlight w:val="none"/>
                    </w:rPr>
                    <w:t>目发展。不得在水源涵养</w:t>
                  </w:r>
                  <w:r>
                    <w:rPr>
                      <w:rFonts w:hint="default" w:ascii="Times New Roman" w:hAnsi="Times New Roman" w:eastAsia="宋体" w:cs="Times New Roman"/>
                      <w:color w:val="auto"/>
                      <w:sz w:val="21"/>
                      <w:szCs w:val="21"/>
                      <w:highlight w:val="none"/>
                    </w:rPr>
                    <w:t>区、饮用水水源保护区内</w:t>
                  </w:r>
                  <w:r>
                    <w:rPr>
                      <w:rFonts w:hint="default" w:ascii="Times New Roman" w:hAnsi="Times New Roman" w:eastAsia="宋体" w:cs="Times New Roman"/>
                      <w:color w:val="auto"/>
                      <w:spacing w:val="1"/>
                      <w:sz w:val="21"/>
                      <w:szCs w:val="21"/>
                      <w:highlight w:val="none"/>
                    </w:rPr>
                    <w:t>和河流、湖泊、水库周围建设重化工、涉重金属等工业污染项目。推动项目</w:t>
                  </w:r>
                  <w:r>
                    <w:rPr>
                      <w:rFonts w:hint="default" w:ascii="Times New Roman" w:hAnsi="Times New Roman" w:eastAsia="宋体" w:cs="Times New Roman"/>
                      <w:color w:val="auto"/>
                      <w:spacing w:val="8"/>
                      <w:sz w:val="21"/>
                      <w:szCs w:val="21"/>
                      <w:highlight w:val="none"/>
                    </w:rPr>
                    <w:t>集聚发展，新建、改建、扩建工业项目原则上应布置于由县级及以上人</w:t>
                  </w:r>
                  <w:r>
                    <w:rPr>
                      <w:rFonts w:hint="default" w:ascii="Times New Roman" w:hAnsi="Times New Roman" w:eastAsia="宋体" w:cs="Times New Roman"/>
                      <w:color w:val="auto"/>
                      <w:spacing w:val="-1"/>
                      <w:sz w:val="21"/>
                      <w:szCs w:val="21"/>
                      <w:highlight w:val="none"/>
                    </w:rPr>
                    <w:t>民政府批准建立、环境保</w:t>
                  </w:r>
                  <w:r>
                    <w:rPr>
                      <w:rFonts w:hint="default" w:ascii="Times New Roman" w:hAnsi="Times New Roman" w:eastAsia="宋体" w:cs="Times New Roman"/>
                      <w:color w:val="auto"/>
                      <w:spacing w:val="8"/>
                      <w:sz w:val="21"/>
                      <w:szCs w:val="21"/>
                      <w:highlight w:val="none"/>
                    </w:rPr>
                    <w:t>护基础设施完善的产业</w:t>
                  </w:r>
                  <w:r>
                    <w:rPr>
                      <w:rFonts w:hint="default" w:ascii="Times New Roman" w:hAnsi="Times New Roman" w:eastAsia="宋体" w:cs="Times New Roman"/>
                      <w:color w:val="auto"/>
                      <w:spacing w:val="-1"/>
                      <w:sz w:val="21"/>
                      <w:szCs w:val="21"/>
                      <w:highlight w:val="none"/>
                    </w:rPr>
                    <w:t>园区、工业聚集区或规划</w:t>
                  </w:r>
                  <w:r>
                    <w:rPr>
                      <w:rFonts w:hint="default" w:ascii="Times New Roman" w:hAnsi="Times New Roman" w:eastAsia="宋体" w:cs="Times New Roman"/>
                      <w:color w:val="auto"/>
                      <w:spacing w:val="1"/>
                      <w:sz w:val="21"/>
                      <w:szCs w:val="21"/>
                      <w:highlight w:val="none"/>
                    </w:rPr>
                    <w:t>矿区，并且符合相关规划</w:t>
                  </w:r>
                  <w:r>
                    <w:rPr>
                      <w:rFonts w:hint="default" w:ascii="Times New Roman" w:hAnsi="Times New Roman" w:eastAsia="宋体" w:cs="Times New Roman"/>
                      <w:color w:val="auto"/>
                      <w:spacing w:val="7"/>
                      <w:sz w:val="21"/>
                      <w:szCs w:val="21"/>
                      <w:highlight w:val="none"/>
                    </w:rPr>
                    <w:t>和规划环评要求。</w:t>
                  </w:r>
                </w:p>
              </w:tc>
              <w:tc>
                <w:tcPr>
                  <w:tcW w:w="2137" w:type="dxa"/>
                  <w:tcBorders>
                    <w:top w:val="single" w:color="000000" w:sz="12" w:space="0"/>
                    <w:tl2br w:val="nil"/>
                    <w:tr2bl w:val="nil"/>
                  </w:tcBorders>
                  <w:vAlign w:val="center"/>
                </w:tcPr>
                <w:p w14:paraId="06B590A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本项目建设符合国家产业政</w:t>
                  </w:r>
                  <w:r>
                    <w:rPr>
                      <w:rFonts w:hint="default" w:ascii="Times New Roman" w:hAnsi="Times New Roman" w:eastAsia="宋体" w:cs="Times New Roman"/>
                      <w:color w:val="auto"/>
                      <w:spacing w:val="-3"/>
                      <w:sz w:val="21"/>
                      <w:szCs w:val="21"/>
                      <w:highlight w:val="none"/>
                    </w:rPr>
                    <w:t>策。项目生产过</w:t>
                  </w:r>
                  <w:r>
                    <w:rPr>
                      <w:rFonts w:hint="default" w:ascii="Times New Roman" w:hAnsi="Times New Roman" w:eastAsia="宋体" w:cs="Times New Roman"/>
                      <w:color w:val="auto"/>
                      <w:spacing w:val="18"/>
                      <w:sz w:val="21"/>
                      <w:szCs w:val="21"/>
                      <w:highlight w:val="none"/>
                    </w:rPr>
                    <w:t>程中消耗少量</w:t>
                  </w:r>
                  <w:r>
                    <w:rPr>
                      <w:rFonts w:hint="default" w:ascii="Times New Roman" w:hAnsi="Times New Roman" w:eastAsia="宋体" w:cs="Times New Roman"/>
                      <w:color w:val="auto"/>
                      <w:spacing w:val="-4"/>
                      <w:sz w:val="21"/>
                      <w:szCs w:val="21"/>
                      <w:highlight w:val="none"/>
                    </w:rPr>
                    <w:t>的水、电，生产</w:t>
                  </w:r>
                  <w:r>
                    <w:rPr>
                      <w:rFonts w:hint="default" w:ascii="Times New Roman" w:hAnsi="Times New Roman" w:eastAsia="宋体" w:cs="Times New Roman"/>
                      <w:color w:val="auto"/>
                      <w:spacing w:val="8"/>
                      <w:sz w:val="21"/>
                      <w:szCs w:val="21"/>
                      <w:highlight w:val="none"/>
                    </w:rPr>
                    <w:t>废水经三级沉</w:t>
                  </w:r>
                  <w:r>
                    <w:rPr>
                      <w:rFonts w:hint="default" w:ascii="Times New Roman" w:hAnsi="Times New Roman" w:eastAsia="宋体" w:cs="Times New Roman"/>
                      <w:color w:val="auto"/>
                      <w:spacing w:val="7"/>
                      <w:sz w:val="21"/>
                      <w:szCs w:val="21"/>
                      <w:highlight w:val="none"/>
                    </w:rPr>
                    <w:t>淀池沉淀后循</w:t>
                  </w:r>
                  <w:r>
                    <w:rPr>
                      <w:rFonts w:hint="default" w:ascii="Times New Roman" w:hAnsi="Times New Roman" w:eastAsia="宋体" w:cs="Times New Roman"/>
                      <w:color w:val="auto"/>
                      <w:spacing w:val="1"/>
                      <w:sz w:val="21"/>
                      <w:szCs w:val="21"/>
                      <w:highlight w:val="none"/>
                    </w:rPr>
                    <w:t>环使用不外排，</w:t>
                  </w:r>
                  <w:r>
                    <w:rPr>
                      <w:rFonts w:hint="default" w:ascii="Times New Roman" w:hAnsi="Times New Roman" w:eastAsia="宋体" w:cs="Times New Roman"/>
                      <w:color w:val="auto"/>
                      <w:spacing w:val="-3"/>
                      <w:sz w:val="21"/>
                      <w:szCs w:val="21"/>
                      <w:highlight w:val="none"/>
                    </w:rPr>
                    <w:t>产生的废气、生</w:t>
                  </w:r>
                  <w:r>
                    <w:rPr>
                      <w:rFonts w:hint="default" w:ascii="Times New Roman" w:hAnsi="Times New Roman" w:eastAsia="宋体" w:cs="Times New Roman"/>
                      <w:color w:val="auto"/>
                      <w:spacing w:val="7"/>
                      <w:sz w:val="21"/>
                      <w:szCs w:val="21"/>
                      <w:highlight w:val="none"/>
                    </w:rPr>
                    <w:t>活污水及固废经过环保设施处理后均能达</w:t>
                  </w:r>
                  <w:r>
                    <w:rPr>
                      <w:rFonts w:hint="default" w:ascii="Times New Roman" w:hAnsi="Times New Roman" w:eastAsia="宋体" w:cs="Times New Roman"/>
                      <w:color w:val="auto"/>
                      <w:spacing w:val="-3"/>
                      <w:sz w:val="21"/>
                      <w:szCs w:val="21"/>
                      <w:highlight w:val="none"/>
                    </w:rPr>
                    <w:t>标排放，不属于</w:t>
                  </w:r>
                  <w:r>
                    <w:rPr>
                      <w:rFonts w:hint="default" w:ascii="Times New Roman" w:hAnsi="Times New Roman" w:eastAsia="Times New Roman" w:cs="Times New Roman"/>
                      <w:color w:val="auto"/>
                      <w:spacing w:val="6"/>
                      <w:sz w:val="21"/>
                      <w:szCs w:val="21"/>
                      <w:highlight w:val="none"/>
                    </w:rPr>
                    <w:t>“</w:t>
                  </w:r>
                  <w:r>
                    <w:rPr>
                      <w:rFonts w:hint="default" w:ascii="Times New Roman" w:hAnsi="Times New Roman" w:eastAsia="宋体" w:cs="Times New Roman"/>
                      <w:color w:val="auto"/>
                      <w:spacing w:val="6"/>
                      <w:sz w:val="21"/>
                      <w:szCs w:val="21"/>
                      <w:highlight w:val="none"/>
                    </w:rPr>
                    <w:t>三高</w:t>
                  </w:r>
                  <w:r>
                    <w:rPr>
                      <w:rFonts w:hint="default" w:ascii="Times New Roman" w:hAnsi="Times New Roman" w:eastAsia="Times New Roman" w:cs="Times New Roman"/>
                      <w:color w:val="auto"/>
                      <w:spacing w:val="6"/>
                      <w:sz w:val="21"/>
                      <w:szCs w:val="21"/>
                      <w:highlight w:val="none"/>
                    </w:rPr>
                    <w:t>”</w:t>
                  </w:r>
                  <w:r>
                    <w:rPr>
                      <w:rFonts w:hint="default" w:ascii="Times New Roman" w:hAnsi="Times New Roman" w:eastAsia="宋体" w:cs="Times New Roman"/>
                      <w:color w:val="auto"/>
                      <w:spacing w:val="6"/>
                      <w:sz w:val="21"/>
                      <w:szCs w:val="21"/>
                      <w:highlight w:val="none"/>
                    </w:rPr>
                    <w:t>项目。项</w:t>
                  </w:r>
                  <w:r>
                    <w:rPr>
                      <w:rFonts w:hint="default" w:ascii="Times New Roman" w:hAnsi="Times New Roman" w:eastAsia="宋体" w:cs="Times New Roman"/>
                      <w:color w:val="auto"/>
                      <w:spacing w:val="1"/>
                      <w:sz w:val="21"/>
                      <w:szCs w:val="21"/>
                      <w:highlight w:val="none"/>
                    </w:rPr>
                    <w:t>目</w:t>
                  </w:r>
                  <w:r>
                    <w:rPr>
                      <w:rFonts w:hint="default" w:ascii="Times New Roman" w:hAnsi="Times New Roman" w:eastAsia="宋体" w:cs="Times New Roman"/>
                      <w:color w:val="auto"/>
                      <w:spacing w:val="-6"/>
                      <w:sz w:val="21"/>
                      <w:szCs w:val="21"/>
                      <w:highlight w:val="none"/>
                    </w:rPr>
                    <w:t>不在</w:t>
                  </w:r>
                  <w:r>
                    <w:rPr>
                      <w:rFonts w:hint="default" w:ascii="Times New Roman" w:hAnsi="Times New Roman" w:eastAsia="宋体" w:cs="Times New Roman"/>
                      <w:color w:val="auto"/>
                      <w:spacing w:val="-3"/>
                      <w:sz w:val="21"/>
                      <w:szCs w:val="21"/>
                      <w:highlight w:val="none"/>
                    </w:rPr>
                    <w:t>水源涵养区、饮</w:t>
                  </w:r>
                  <w:r>
                    <w:rPr>
                      <w:rFonts w:hint="default" w:ascii="Times New Roman" w:hAnsi="Times New Roman" w:eastAsia="宋体" w:cs="Times New Roman"/>
                      <w:color w:val="auto"/>
                      <w:spacing w:val="19"/>
                      <w:sz w:val="21"/>
                      <w:szCs w:val="21"/>
                      <w:highlight w:val="none"/>
                    </w:rPr>
                    <w:t>用水水源保护</w:t>
                  </w:r>
                  <w:r>
                    <w:rPr>
                      <w:rFonts w:hint="default" w:ascii="Times New Roman" w:hAnsi="Times New Roman" w:eastAsia="宋体" w:cs="Times New Roman"/>
                      <w:color w:val="auto"/>
                      <w:spacing w:val="-3"/>
                      <w:sz w:val="21"/>
                      <w:szCs w:val="21"/>
                      <w:highlight w:val="none"/>
                    </w:rPr>
                    <w:t>区内和河流、湖</w:t>
                  </w:r>
                  <w:r>
                    <w:rPr>
                      <w:rFonts w:hint="default" w:ascii="Times New Roman" w:hAnsi="Times New Roman" w:eastAsia="宋体" w:cs="Times New Roman"/>
                      <w:color w:val="auto"/>
                      <w:spacing w:val="19"/>
                      <w:sz w:val="21"/>
                      <w:szCs w:val="21"/>
                      <w:highlight w:val="none"/>
                    </w:rPr>
                    <w:t>泊、水库等周</w:t>
                  </w:r>
                  <w:r>
                    <w:rPr>
                      <w:rFonts w:hint="default" w:ascii="Times New Roman" w:hAnsi="Times New Roman" w:eastAsia="宋体" w:cs="Times New Roman"/>
                      <w:color w:val="auto"/>
                      <w:spacing w:val="-3"/>
                      <w:sz w:val="21"/>
                      <w:szCs w:val="21"/>
                      <w:highlight w:val="none"/>
                    </w:rPr>
                    <w:t>边</w:t>
                  </w:r>
                  <w:r>
                    <w:rPr>
                      <w:rFonts w:hint="default" w:ascii="Times New Roman" w:hAnsi="Times New Roman" w:eastAsia="宋体" w:cs="Times New Roman"/>
                      <w:color w:val="auto"/>
                      <w:sz w:val="21"/>
                      <w:szCs w:val="21"/>
                      <w:highlight w:val="none"/>
                    </w:rPr>
                    <w:t>。</w:t>
                  </w:r>
                </w:p>
              </w:tc>
              <w:tc>
                <w:tcPr>
                  <w:tcW w:w="690" w:type="dxa"/>
                  <w:tcBorders>
                    <w:top w:val="single" w:color="000000" w:sz="12" w:space="0"/>
                    <w:tl2br w:val="nil"/>
                    <w:tr2bl w:val="nil"/>
                  </w:tcBorders>
                  <w:vAlign w:val="center"/>
                </w:tcPr>
                <w:p w14:paraId="443D3BA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r w14:paraId="3314B5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2" w:type="dxa"/>
                  <w:tcBorders>
                    <w:tl2br w:val="nil"/>
                    <w:tr2bl w:val="nil"/>
                  </w:tcBorders>
                  <w:vAlign w:val="center"/>
                </w:tcPr>
                <w:p w14:paraId="4B846C4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污染物排放</w:t>
                  </w:r>
                  <w:r>
                    <w:rPr>
                      <w:rFonts w:hint="default" w:ascii="Times New Roman" w:hAnsi="Times New Roman" w:eastAsia="宋体" w:cs="Times New Roman"/>
                      <w:color w:val="auto"/>
                      <w:spacing w:val="2"/>
                      <w:sz w:val="21"/>
                      <w:szCs w:val="21"/>
                      <w:highlight w:val="none"/>
                    </w:rPr>
                    <w:t>管控</w:t>
                  </w:r>
                </w:p>
              </w:tc>
              <w:tc>
                <w:tcPr>
                  <w:tcW w:w="3107" w:type="dxa"/>
                  <w:tcBorders>
                    <w:tl2br w:val="nil"/>
                    <w:tr2bl w:val="nil"/>
                  </w:tcBorders>
                  <w:vAlign w:val="center"/>
                </w:tcPr>
                <w:p w14:paraId="1A1B601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深化行业污染源头治理，深入开展火电行业减排，</w:t>
                  </w:r>
                  <w:r>
                    <w:rPr>
                      <w:rFonts w:hint="default" w:ascii="Times New Roman" w:hAnsi="Times New Roman" w:eastAsia="宋体" w:cs="Times New Roman"/>
                      <w:color w:val="auto"/>
                      <w:spacing w:val="15"/>
                      <w:sz w:val="21"/>
                      <w:szCs w:val="21"/>
                      <w:highlight w:val="none"/>
                    </w:rPr>
                    <w:t>全力推进钢铁行业超低</w:t>
                  </w:r>
                  <w:r>
                    <w:rPr>
                      <w:rFonts w:hint="default" w:ascii="Times New Roman" w:hAnsi="Times New Roman" w:eastAsia="宋体" w:cs="Times New Roman"/>
                      <w:color w:val="auto"/>
                      <w:spacing w:val="1"/>
                      <w:sz w:val="21"/>
                      <w:szCs w:val="21"/>
                      <w:highlight w:val="none"/>
                    </w:rPr>
                    <w:t>排放改造，有序推进石化</w:t>
                  </w:r>
                  <w:r>
                    <w:rPr>
                      <w:rFonts w:hint="default" w:ascii="Times New Roman" w:hAnsi="Times New Roman" w:eastAsia="宋体" w:cs="Times New Roman"/>
                      <w:color w:val="auto"/>
                      <w:spacing w:val="19"/>
                      <w:sz w:val="21"/>
                      <w:szCs w:val="21"/>
                      <w:highlight w:val="none"/>
                    </w:rPr>
                    <w:t>行业</w:t>
                  </w:r>
                  <w:r>
                    <w:rPr>
                      <w:rFonts w:hint="default" w:ascii="Times New Roman" w:hAnsi="Times New Roman" w:eastAsia="Times New Roman" w:cs="Times New Roman"/>
                      <w:color w:val="auto"/>
                      <w:spacing w:val="19"/>
                      <w:sz w:val="21"/>
                      <w:szCs w:val="21"/>
                      <w:highlight w:val="none"/>
                    </w:rPr>
                    <w:t>“</w:t>
                  </w:r>
                  <w:r>
                    <w:rPr>
                      <w:rFonts w:hint="default" w:ascii="Times New Roman" w:hAnsi="Times New Roman" w:eastAsia="宋体" w:cs="Times New Roman"/>
                      <w:color w:val="auto"/>
                      <w:spacing w:val="19"/>
                      <w:sz w:val="21"/>
                      <w:szCs w:val="21"/>
                      <w:highlight w:val="none"/>
                    </w:rPr>
                    <w:t>泄漏检测与修复</w:t>
                  </w:r>
                  <w:r>
                    <w:rPr>
                      <w:rFonts w:hint="default" w:ascii="Times New Roman" w:hAnsi="Times New Roman" w:eastAsia="Times New Roman" w:cs="Times New Roman"/>
                      <w:color w:val="auto"/>
                      <w:spacing w:val="19"/>
                      <w:sz w:val="21"/>
                      <w:szCs w:val="21"/>
                      <w:highlight w:val="none"/>
                    </w:rPr>
                    <w:t>”</w:t>
                  </w:r>
                  <w:r>
                    <w:rPr>
                      <w:rFonts w:hint="default" w:ascii="Times New Roman" w:hAnsi="Times New Roman" w:eastAsia="宋体" w:cs="Times New Roman"/>
                      <w:color w:val="auto"/>
                      <w:spacing w:val="6"/>
                      <w:sz w:val="21"/>
                      <w:szCs w:val="21"/>
                      <w:highlight w:val="none"/>
                    </w:rPr>
                    <w:t>技术改造。强化煤化工、</w:t>
                  </w:r>
                  <w:r>
                    <w:rPr>
                      <w:rFonts w:hint="default" w:ascii="Times New Roman" w:hAnsi="Times New Roman" w:eastAsia="宋体" w:cs="Times New Roman"/>
                      <w:color w:val="auto"/>
                      <w:spacing w:val="1"/>
                      <w:sz w:val="21"/>
                      <w:szCs w:val="21"/>
                      <w:highlight w:val="none"/>
                    </w:rPr>
                    <w:t>石化、有机化工、表面涂装、包装印刷等重点行业挥发性有机物控制。深入</w:t>
                  </w:r>
                  <w:r>
                    <w:rPr>
                      <w:rFonts w:hint="default" w:ascii="Times New Roman" w:hAnsi="Times New Roman" w:eastAsia="宋体" w:cs="Times New Roman"/>
                      <w:color w:val="auto"/>
                      <w:spacing w:val="15"/>
                      <w:sz w:val="21"/>
                      <w:szCs w:val="21"/>
                      <w:highlight w:val="none"/>
                    </w:rPr>
                    <w:t>开展燃煤锅炉污染综合</w:t>
                  </w:r>
                  <w:r>
                    <w:rPr>
                      <w:rFonts w:hint="default" w:ascii="Times New Roman" w:hAnsi="Times New Roman" w:eastAsia="宋体" w:cs="Times New Roman"/>
                      <w:color w:val="auto"/>
                      <w:spacing w:val="1"/>
                      <w:sz w:val="21"/>
                      <w:szCs w:val="21"/>
                      <w:highlight w:val="none"/>
                    </w:rPr>
                    <w:t>整治，深化工业炉窑综合</w:t>
                  </w:r>
                  <w:r>
                    <w:rPr>
                      <w:rFonts w:hint="default" w:ascii="Times New Roman" w:hAnsi="Times New Roman" w:eastAsia="宋体" w:cs="Times New Roman"/>
                      <w:color w:val="auto"/>
                      <w:spacing w:val="3"/>
                      <w:sz w:val="21"/>
                      <w:szCs w:val="21"/>
                      <w:highlight w:val="none"/>
                    </w:rPr>
                    <w:t>治理。加强</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散乱污</w:t>
                  </w:r>
                  <w:r>
                    <w:rPr>
                      <w:rFonts w:hint="default" w:ascii="Times New Roman" w:hAnsi="Times New Roman" w:eastAsia="Times New Roman" w:cs="Times New Roman"/>
                      <w:color w:val="auto"/>
                      <w:spacing w:val="3"/>
                      <w:sz w:val="21"/>
                      <w:szCs w:val="21"/>
                      <w:highlight w:val="none"/>
                    </w:rPr>
                    <w:t>”</w:t>
                  </w:r>
                  <w:r>
                    <w:rPr>
                      <w:rFonts w:hint="default" w:ascii="Times New Roman" w:hAnsi="Times New Roman" w:eastAsia="宋体" w:cs="Times New Roman"/>
                      <w:color w:val="auto"/>
                      <w:spacing w:val="3"/>
                      <w:sz w:val="21"/>
                      <w:szCs w:val="21"/>
                      <w:highlight w:val="none"/>
                    </w:rPr>
                    <w:t>企业</w:t>
                  </w:r>
                  <w:r>
                    <w:rPr>
                      <w:rFonts w:hint="default" w:ascii="Times New Roman" w:hAnsi="Times New Roman" w:eastAsia="宋体" w:cs="Times New Roman"/>
                      <w:color w:val="auto"/>
                      <w:spacing w:val="1"/>
                      <w:sz w:val="21"/>
                      <w:szCs w:val="21"/>
                      <w:highlight w:val="none"/>
                    </w:rPr>
                    <w:t>综合整治。优化区域交通运输结构，加快货物运输绿色转型，做好车油联合管控。以改善流域水环境质量为核心，强化源头控</w:t>
                  </w:r>
                  <w:r>
                    <w:rPr>
                      <w:rFonts w:hint="default" w:ascii="Times New Roman" w:hAnsi="Times New Roman" w:eastAsia="宋体" w:cs="Times New Roman"/>
                      <w:color w:val="auto"/>
                      <w:spacing w:val="19"/>
                      <w:sz w:val="21"/>
                      <w:szCs w:val="21"/>
                      <w:highlight w:val="none"/>
                    </w:rPr>
                    <w:t>制，</w:t>
                  </w:r>
                  <w:r>
                    <w:rPr>
                      <w:rFonts w:hint="default" w:ascii="Times New Roman" w:hAnsi="Times New Roman" w:eastAsia="Times New Roman" w:cs="Times New Roman"/>
                      <w:color w:val="auto"/>
                      <w:spacing w:val="19"/>
                      <w:sz w:val="21"/>
                      <w:szCs w:val="21"/>
                      <w:highlight w:val="none"/>
                    </w:rPr>
                    <w:t>“</w:t>
                  </w:r>
                  <w:r>
                    <w:rPr>
                      <w:rFonts w:hint="default" w:ascii="Times New Roman" w:hAnsi="Times New Roman" w:eastAsia="宋体" w:cs="Times New Roman"/>
                      <w:color w:val="auto"/>
                      <w:spacing w:val="19"/>
                      <w:sz w:val="21"/>
                      <w:szCs w:val="21"/>
                      <w:highlight w:val="none"/>
                    </w:rPr>
                    <w:t>一河（湖）一策</w:t>
                  </w:r>
                  <w:r>
                    <w:rPr>
                      <w:rFonts w:hint="default" w:ascii="Times New Roman" w:hAnsi="Times New Roman" w:eastAsia="Times New Roman" w:cs="Times New Roman"/>
                      <w:color w:val="auto"/>
                      <w:spacing w:val="19"/>
                      <w:sz w:val="21"/>
                      <w:szCs w:val="21"/>
                      <w:highlight w:val="none"/>
                    </w:rPr>
                    <w:t>”</w:t>
                  </w:r>
                  <w:r>
                    <w:rPr>
                      <w:rFonts w:hint="default" w:ascii="Times New Roman" w:hAnsi="Times New Roman" w:eastAsia="宋体" w:cs="Times New Roman"/>
                      <w:color w:val="auto"/>
                      <w:spacing w:val="1"/>
                      <w:sz w:val="21"/>
                      <w:szCs w:val="21"/>
                      <w:highlight w:val="none"/>
                    </w:rPr>
                    <w:t>精准施治，减少水污染物排放，持续改善水环境质量。强化园区（工业集聚区）水污染防治，不断提</w:t>
                  </w:r>
                  <w:r>
                    <w:rPr>
                      <w:rFonts w:hint="default" w:ascii="Times New Roman" w:hAnsi="Times New Roman" w:eastAsia="宋体" w:cs="Times New Roman"/>
                      <w:color w:val="auto"/>
                      <w:spacing w:val="6"/>
                      <w:sz w:val="21"/>
                      <w:szCs w:val="21"/>
                      <w:highlight w:val="none"/>
                    </w:rPr>
                    <w:t>高工业用水重复利用率。</w:t>
                  </w:r>
                  <w:r>
                    <w:rPr>
                      <w:rFonts w:hint="default" w:ascii="Times New Roman" w:hAnsi="Times New Roman" w:eastAsia="宋体" w:cs="Times New Roman"/>
                      <w:color w:val="auto"/>
                      <w:spacing w:val="15"/>
                      <w:sz w:val="21"/>
                      <w:szCs w:val="21"/>
                      <w:highlight w:val="none"/>
                    </w:rPr>
                    <w:t>加快实施城镇污水处理</w:t>
                  </w:r>
                  <w:r>
                    <w:rPr>
                      <w:rFonts w:hint="default" w:ascii="Times New Roman" w:hAnsi="Times New Roman" w:eastAsia="宋体" w:cs="Times New Roman"/>
                      <w:color w:val="auto"/>
                      <w:spacing w:val="1"/>
                      <w:sz w:val="21"/>
                      <w:szCs w:val="21"/>
                      <w:highlight w:val="none"/>
                    </w:rPr>
                    <w:t>设施提质增效，补齐生活</w:t>
                  </w:r>
                  <w:r>
                    <w:rPr>
                      <w:rFonts w:hint="default" w:ascii="Times New Roman" w:hAnsi="Times New Roman" w:eastAsia="宋体" w:cs="Times New Roman"/>
                      <w:color w:val="auto"/>
                      <w:spacing w:val="15"/>
                      <w:sz w:val="21"/>
                      <w:szCs w:val="21"/>
                      <w:highlight w:val="none"/>
                    </w:rPr>
                    <w:t>污水收集和处理设施短板，提高再生水回用比</w:t>
                  </w:r>
                  <w:r>
                    <w:rPr>
                      <w:rFonts w:hint="default" w:ascii="Times New Roman" w:hAnsi="Times New Roman" w:eastAsia="宋体" w:cs="Times New Roman"/>
                      <w:color w:val="auto"/>
                      <w:spacing w:val="1"/>
                      <w:sz w:val="21"/>
                      <w:szCs w:val="21"/>
                      <w:highlight w:val="none"/>
                    </w:rPr>
                    <w:t>例。持续推进农业农村污染防治。提升土壤环境监管能力，加强污染地块安全利用监管。强化工矿用地管理，严格建设用地土壤环境风险管控。加强农</w:t>
                  </w:r>
                  <w:r>
                    <w:rPr>
                      <w:rFonts w:hint="default" w:ascii="Times New Roman" w:hAnsi="Times New Roman" w:eastAsia="宋体" w:cs="Times New Roman"/>
                      <w:color w:val="auto"/>
                      <w:spacing w:val="7"/>
                      <w:sz w:val="21"/>
                      <w:szCs w:val="21"/>
                      <w:highlight w:val="none"/>
                    </w:rPr>
                    <w:t>用地土壤污染源头控制，</w:t>
                  </w:r>
                  <w:r>
                    <w:rPr>
                      <w:rFonts w:hint="default" w:ascii="Times New Roman" w:hAnsi="Times New Roman" w:eastAsia="宋体" w:cs="Times New Roman"/>
                      <w:color w:val="auto"/>
                      <w:spacing w:val="1"/>
                      <w:sz w:val="21"/>
                      <w:szCs w:val="21"/>
                      <w:highlight w:val="none"/>
                    </w:rPr>
                    <w:t>科学施用化肥农药，提高</w:t>
                  </w:r>
                  <w:r>
                    <w:rPr>
                      <w:rFonts w:hint="default" w:ascii="Times New Roman" w:hAnsi="Times New Roman" w:eastAsia="宋体" w:cs="Times New Roman"/>
                      <w:color w:val="auto"/>
                      <w:spacing w:val="6"/>
                      <w:sz w:val="21"/>
                      <w:szCs w:val="21"/>
                      <w:highlight w:val="none"/>
                    </w:rPr>
                    <w:t>农膜回收率。</w:t>
                  </w:r>
                </w:p>
              </w:tc>
              <w:tc>
                <w:tcPr>
                  <w:tcW w:w="2137" w:type="dxa"/>
                  <w:tcBorders>
                    <w:tl2br w:val="nil"/>
                    <w:tr2bl w:val="nil"/>
                  </w:tcBorders>
                  <w:vAlign w:val="center"/>
                </w:tcPr>
                <w:p w14:paraId="69FA3D1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大气环境：本项</w:t>
                  </w:r>
                  <w:r>
                    <w:rPr>
                      <w:rFonts w:hint="default" w:ascii="Times New Roman" w:hAnsi="Times New Roman" w:eastAsia="宋体" w:cs="Times New Roman"/>
                      <w:color w:val="auto"/>
                      <w:spacing w:val="1"/>
                      <w:sz w:val="21"/>
                      <w:szCs w:val="21"/>
                      <w:highlight w:val="none"/>
                    </w:rPr>
                    <w:t>目生产过程中</w:t>
                  </w:r>
                  <w:r>
                    <w:rPr>
                      <w:rFonts w:hint="default" w:ascii="Times New Roman" w:hAnsi="Times New Roman" w:eastAsia="宋体" w:cs="Times New Roman"/>
                      <w:color w:val="auto"/>
                      <w:spacing w:val="7"/>
                      <w:sz w:val="21"/>
                      <w:szCs w:val="21"/>
                      <w:highlight w:val="none"/>
                    </w:rPr>
                    <w:t>大气污染物达</w:t>
                  </w:r>
                  <w:r>
                    <w:rPr>
                      <w:rFonts w:hint="default" w:ascii="Times New Roman" w:hAnsi="Times New Roman" w:eastAsia="宋体" w:cs="Times New Roman"/>
                      <w:color w:val="auto"/>
                      <w:spacing w:val="-3"/>
                      <w:sz w:val="21"/>
                      <w:szCs w:val="21"/>
                      <w:highlight w:val="none"/>
                    </w:rPr>
                    <w:t>标排放，排放总量少，对周围环</w:t>
                  </w:r>
                  <w:r>
                    <w:rPr>
                      <w:rFonts w:hint="default" w:ascii="Times New Roman" w:hAnsi="Times New Roman" w:eastAsia="宋体" w:cs="Times New Roman"/>
                      <w:color w:val="auto"/>
                      <w:spacing w:val="-4"/>
                      <w:sz w:val="21"/>
                      <w:szCs w:val="21"/>
                      <w:highlight w:val="none"/>
                    </w:rPr>
                    <w:t>境影响小。水环境：本项目生产</w:t>
                  </w:r>
                  <w:r>
                    <w:rPr>
                      <w:rFonts w:hint="default" w:ascii="Times New Roman" w:hAnsi="Times New Roman" w:eastAsia="宋体" w:cs="Times New Roman"/>
                      <w:color w:val="auto"/>
                      <w:spacing w:val="8"/>
                      <w:sz w:val="21"/>
                      <w:szCs w:val="21"/>
                      <w:highlight w:val="none"/>
                    </w:rPr>
                    <w:t>废水经三级沉</w:t>
                  </w:r>
                  <w:r>
                    <w:rPr>
                      <w:rFonts w:hint="default" w:ascii="Times New Roman" w:hAnsi="Times New Roman" w:eastAsia="宋体" w:cs="Times New Roman"/>
                      <w:color w:val="auto"/>
                      <w:spacing w:val="7"/>
                      <w:sz w:val="21"/>
                      <w:szCs w:val="21"/>
                      <w:highlight w:val="none"/>
                    </w:rPr>
                    <w:t>淀池沉淀后循</w:t>
                  </w:r>
                  <w:r>
                    <w:rPr>
                      <w:rFonts w:hint="default" w:ascii="Times New Roman" w:hAnsi="Times New Roman" w:eastAsia="宋体" w:cs="Times New Roman"/>
                      <w:color w:val="auto"/>
                      <w:spacing w:val="3"/>
                      <w:sz w:val="21"/>
                      <w:szCs w:val="21"/>
                      <w:highlight w:val="none"/>
                    </w:rPr>
                    <w:t>环使用不外排，</w:t>
                  </w:r>
                  <w:r>
                    <w:rPr>
                      <w:rFonts w:hint="default" w:ascii="Times New Roman" w:hAnsi="Times New Roman" w:eastAsia="宋体" w:cs="Times New Roman"/>
                      <w:color w:val="auto"/>
                      <w:spacing w:val="19"/>
                      <w:sz w:val="21"/>
                      <w:szCs w:val="21"/>
                      <w:highlight w:val="none"/>
                    </w:rPr>
                    <w:t>生活污水排入</w:t>
                  </w:r>
                  <w:r>
                    <w:rPr>
                      <w:rFonts w:hint="default" w:ascii="Times New Roman" w:hAnsi="Times New Roman" w:eastAsia="宋体" w:cs="Times New Roman"/>
                      <w:color w:val="auto"/>
                      <w:spacing w:val="3"/>
                      <w:sz w:val="21"/>
                      <w:szCs w:val="21"/>
                      <w:highlight w:val="none"/>
                    </w:rPr>
                    <w:t>园区污水管网。</w:t>
                  </w:r>
                  <w:r>
                    <w:rPr>
                      <w:rFonts w:hint="default" w:ascii="Times New Roman" w:hAnsi="Times New Roman" w:eastAsia="宋体" w:cs="Times New Roman"/>
                      <w:color w:val="auto"/>
                      <w:spacing w:val="-4"/>
                      <w:sz w:val="21"/>
                      <w:szCs w:val="21"/>
                      <w:highlight w:val="none"/>
                    </w:rPr>
                    <w:t>声环境：项目无</w:t>
                  </w:r>
                  <w:r>
                    <w:rPr>
                      <w:rFonts w:hint="default" w:ascii="Times New Roman" w:hAnsi="Times New Roman" w:eastAsia="宋体" w:cs="Times New Roman"/>
                      <w:color w:val="auto"/>
                      <w:spacing w:val="1"/>
                      <w:sz w:val="21"/>
                      <w:szCs w:val="21"/>
                      <w:highlight w:val="none"/>
                    </w:rPr>
                    <w:t>较大的噪声源，</w:t>
                  </w:r>
                  <w:r>
                    <w:rPr>
                      <w:rFonts w:hint="default" w:ascii="Times New Roman" w:hAnsi="Times New Roman" w:eastAsia="宋体" w:cs="Times New Roman"/>
                      <w:color w:val="auto"/>
                      <w:spacing w:val="19"/>
                      <w:sz w:val="21"/>
                      <w:szCs w:val="21"/>
                      <w:highlight w:val="none"/>
                    </w:rPr>
                    <w:t>声环境质量良</w:t>
                  </w:r>
                  <w:r>
                    <w:rPr>
                      <w:rFonts w:hint="default" w:ascii="Times New Roman" w:hAnsi="Times New Roman" w:eastAsia="宋体" w:cs="Times New Roman"/>
                      <w:color w:val="auto"/>
                      <w:spacing w:val="-3"/>
                      <w:sz w:val="21"/>
                      <w:szCs w:val="21"/>
                      <w:highlight w:val="none"/>
                    </w:rPr>
                    <w:t>好。固废：生活</w:t>
                  </w:r>
                  <w:r>
                    <w:rPr>
                      <w:rFonts w:hint="default" w:ascii="Times New Roman" w:hAnsi="Times New Roman" w:eastAsia="宋体" w:cs="Times New Roman"/>
                      <w:color w:val="auto"/>
                      <w:spacing w:val="19"/>
                      <w:sz w:val="21"/>
                      <w:szCs w:val="21"/>
                      <w:highlight w:val="none"/>
                    </w:rPr>
                    <w:t>垃圾集中收集</w:t>
                  </w:r>
                  <w:r>
                    <w:rPr>
                      <w:rFonts w:hint="default" w:ascii="Times New Roman" w:hAnsi="Times New Roman" w:eastAsia="宋体" w:cs="Times New Roman"/>
                      <w:color w:val="auto"/>
                      <w:spacing w:val="7"/>
                      <w:sz w:val="21"/>
                      <w:szCs w:val="21"/>
                      <w:highlight w:val="none"/>
                    </w:rPr>
                    <w:t>后由环卫部门</w:t>
                  </w:r>
                  <w:r>
                    <w:rPr>
                      <w:rFonts w:hint="default" w:ascii="Times New Roman" w:hAnsi="Times New Roman" w:eastAsia="宋体" w:cs="Times New Roman"/>
                      <w:color w:val="auto"/>
                      <w:spacing w:val="-4"/>
                      <w:sz w:val="21"/>
                      <w:szCs w:val="21"/>
                      <w:highlight w:val="none"/>
                    </w:rPr>
                    <w:t>统一清运；不合</w:t>
                  </w:r>
                  <w:r>
                    <w:rPr>
                      <w:rFonts w:hint="default" w:ascii="Times New Roman" w:hAnsi="Times New Roman" w:eastAsia="宋体" w:cs="Times New Roman"/>
                      <w:color w:val="auto"/>
                      <w:spacing w:val="18"/>
                      <w:sz w:val="21"/>
                      <w:szCs w:val="21"/>
                      <w:highlight w:val="none"/>
                    </w:rPr>
                    <w:t>格产品收集后</w:t>
                  </w:r>
                  <w:r>
                    <w:rPr>
                      <w:rFonts w:hint="default" w:ascii="Times New Roman" w:hAnsi="Times New Roman" w:eastAsia="宋体" w:cs="Times New Roman"/>
                      <w:color w:val="auto"/>
                      <w:spacing w:val="-3"/>
                      <w:sz w:val="21"/>
                      <w:szCs w:val="21"/>
                      <w:highlight w:val="none"/>
                    </w:rPr>
                    <w:t>回用于生产，废</w:t>
                  </w:r>
                  <w:r>
                    <w:rPr>
                      <w:rFonts w:hint="default" w:ascii="Times New Roman" w:hAnsi="Times New Roman" w:eastAsia="宋体" w:cs="Times New Roman"/>
                      <w:color w:val="auto"/>
                      <w:spacing w:val="18"/>
                      <w:sz w:val="21"/>
                      <w:szCs w:val="21"/>
                      <w:highlight w:val="none"/>
                    </w:rPr>
                    <w:t>包装材料收集</w:t>
                  </w:r>
                  <w:r>
                    <w:rPr>
                      <w:rFonts w:hint="default" w:ascii="Times New Roman" w:hAnsi="Times New Roman" w:eastAsia="宋体" w:cs="Times New Roman"/>
                      <w:color w:val="auto"/>
                      <w:spacing w:val="-3"/>
                      <w:sz w:val="21"/>
                      <w:szCs w:val="21"/>
                      <w:highlight w:val="none"/>
                    </w:rPr>
                    <w:t>后外售；废活性</w:t>
                  </w:r>
                  <w:r>
                    <w:rPr>
                      <w:rFonts w:hint="default" w:ascii="Times New Roman" w:hAnsi="Times New Roman" w:eastAsia="宋体" w:cs="Times New Roman"/>
                      <w:color w:val="auto"/>
                      <w:spacing w:val="3"/>
                      <w:sz w:val="21"/>
                      <w:szCs w:val="21"/>
                      <w:highlight w:val="none"/>
                    </w:rPr>
                    <w:t>炭、废催化剂、</w:t>
                  </w:r>
                  <w:r>
                    <w:rPr>
                      <w:rFonts w:hint="default" w:ascii="Times New Roman" w:hAnsi="Times New Roman" w:eastAsia="宋体" w:cs="Times New Roman"/>
                      <w:color w:val="auto"/>
                      <w:spacing w:val="8"/>
                      <w:sz w:val="21"/>
                      <w:szCs w:val="21"/>
                      <w:highlight w:val="none"/>
                    </w:rPr>
                    <w:t>废机油交由有</w:t>
                  </w:r>
                  <w:r>
                    <w:rPr>
                      <w:rFonts w:hint="default" w:ascii="Times New Roman" w:hAnsi="Times New Roman" w:eastAsia="宋体" w:cs="Times New Roman"/>
                      <w:color w:val="auto"/>
                      <w:spacing w:val="6"/>
                      <w:sz w:val="21"/>
                      <w:szCs w:val="21"/>
                      <w:highlight w:val="none"/>
                    </w:rPr>
                    <w:t>资质的单位统</w:t>
                  </w:r>
                  <w:r>
                    <w:rPr>
                      <w:rFonts w:hint="default" w:ascii="Times New Roman" w:hAnsi="Times New Roman" w:eastAsia="宋体" w:cs="Times New Roman"/>
                      <w:color w:val="auto"/>
                      <w:spacing w:val="-4"/>
                      <w:sz w:val="21"/>
                      <w:szCs w:val="21"/>
                      <w:highlight w:val="none"/>
                    </w:rPr>
                    <w:t>一处理。本项目</w:t>
                  </w:r>
                  <w:r>
                    <w:rPr>
                      <w:rFonts w:hint="default" w:ascii="Times New Roman" w:hAnsi="Times New Roman" w:eastAsia="宋体" w:cs="Times New Roman"/>
                      <w:color w:val="auto"/>
                      <w:spacing w:val="18"/>
                      <w:sz w:val="21"/>
                      <w:szCs w:val="21"/>
                      <w:highlight w:val="none"/>
                    </w:rPr>
                    <w:t>采取的环保措</w:t>
                  </w:r>
                  <w:r>
                    <w:rPr>
                      <w:rFonts w:hint="default" w:ascii="Times New Roman" w:hAnsi="Times New Roman" w:eastAsia="宋体" w:cs="Times New Roman"/>
                      <w:color w:val="auto"/>
                      <w:spacing w:val="8"/>
                      <w:sz w:val="21"/>
                      <w:szCs w:val="21"/>
                      <w:highlight w:val="none"/>
                    </w:rPr>
                    <w:t>施能确保污染物对环境质量</w:t>
                  </w:r>
                  <w:r>
                    <w:rPr>
                      <w:rFonts w:hint="default" w:ascii="Times New Roman" w:hAnsi="Times New Roman" w:eastAsia="宋体" w:cs="Times New Roman"/>
                      <w:color w:val="auto"/>
                      <w:spacing w:val="7"/>
                      <w:sz w:val="21"/>
                      <w:szCs w:val="21"/>
                      <w:highlight w:val="none"/>
                    </w:rPr>
                    <w:t>影响</w:t>
                  </w:r>
                  <w:r>
                    <w:rPr>
                      <w:rFonts w:hint="default" w:ascii="Times New Roman" w:hAnsi="Times New Roman" w:cs="Times New Roman"/>
                      <w:color w:val="auto"/>
                      <w:spacing w:val="7"/>
                      <w:sz w:val="21"/>
                      <w:szCs w:val="21"/>
                      <w:highlight w:val="none"/>
                      <w:lang w:eastAsia="zh-CN"/>
                    </w:rPr>
                    <w:t>降到最低</w:t>
                  </w:r>
                  <w:r>
                    <w:rPr>
                      <w:rFonts w:hint="default" w:ascii="Times New Roman" w:hAnsi="Times New Roman" w:eastAsia="宋体" w:cs="Times New Roman"/>
                      <w:color w:val="auto"/>
                      <w:spacing w:val="7"/>
                      <w:sz w:val="21"/>
                      <w:szCs w:val="21"/>
                      <w:highlight w:val="none"/>
                    </w:rPr>
                    <w:t>。</w:t>
                  </w:r>
                </w:p>
              </w:tc>
              <w:tc>
                <w:tcPr>
                  <w:tcW w:w="690" w:type="dxa"/>
                  <w:tcBorders>
                    <w:tl2br w:val="nil"/>
                    <w:tr2bl w:val="nil"/>
                  </w:tcBorders>
                  <w:vAlign w:val="center"/>
                </w:tcPr>
                <w:p w14:paraId="76C8BA9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r w14:paraId="0A9C21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2" w:type="dxa"/>
                  <w:tcBorders>
                    <w:tl2br w:val="nil"/>
                    <w:tr2bl w:val="nil"/>
                  </w:tcBorders>
                  <w:vAlign w:val="center"/>
                </w:tcPr>
                <w:p w14:paraId="1D28AA4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环境风险防</w:t>
                  </w:r>
                  <w:r>
                    <w:rPr>
                      <w:rFonts w:hint="default" w:ascii="Times New Roman" w:hAnsi="Times New Roman" w:eastAsia="宋体" w:cs="Times New Roman"/>
                      <w:color w:val="auto"/>
                      <w:spacing w:val="1"/>
                      <w:sz w:val="21"/>
                      <w:szCs w:val="21"/>
                      <w:highlight w:val="none"/>
                    </w:rPr>
                    <w:t>控</w:t>
                  </w:r>
                </w:p>
              </w:tc>
              <w:tc>
                <w:tcPr>
                  <w:tcW w:w="3107" w:type="dxa"/>
                  <w:tcBorders>
                    <w:tl2br w:val="nil"/>
                    <w:tr2bl w:val="nil"/>
                  </w:tcBorders>
                  <w:vAlign w:val="center"/>
                </w:tcPr>
                <w:p w14:paraId="6BB21F7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禁止在化工园区外新建、扩建危险化学品生产项</w:t>
                  </w:r>
                  <w:r>
                    <w:rPr>
                      <w:rFonts w:hint="default" w:ascii="Times New Roman" w:hAnsi="Times New Roman" w:eastAsia="宋体" w:cs="Times New Roman"/>
                      <w:color w:val="auto"/>
                      <w:spacing w:val="-3"/>
                      <w:sz w:val="21"/>
                      <w:szCs w:val="21"/>
                      <w:highlight w:val="none"/>
                    </w:rPr>
                    <w:t>目。严格落实危险废物处</w:t>
                  </w:r>
                  <w:r>
                    <w:rPr>
                      <w:rFonts w:hint="default" w:ascii="Times New Roman" w:hAnsi="Times New Roman" w:eastAsia="宋体" w:cs="Times New Roman"/>
                      <w:color w:val="auto"/>
                      <w:spacing w:val="1"/>
                      <w:sz w:val="21"/>
                      <w:szCs w:val="21"/>
                      <w:highlight w:val="none"/>
                    </w:rPr>
                    <w:t>置相关要求。加强重点流域水环境风险管控，保障</w:t>
                  </w:r>
                  <w:r>
                    <w:rPr>
                      <w:rFonts w:hint="default" w:ascii="Times New Roman" w:hAnsi="Times New Roman" w:eastAsia="宋体" w:cs="Times New Roman"/>
                      <w:color w:val="auto"/>
                      <w:spacing w:val="6"/>
                      <w:sz w:val="21"/>
                      <w:szCs w:val="21"/>
                      <w:highlight w:val="none"/>
                    </w:rPr>
                    <w:t>水环境安全。</w:t>
                  </w:r>
                </w:p>
              </w:tc>
              <w:tc>
                <w:tcPr>
                  <w:tcW w:w="2137" w:type="dxa"/>
                  <w:tcBorders>
                    <w:tl2br w:val="nil"/>
                    <w:tr2bl w:val="nil"/>
                  </w:tcBorders>
                  <w:vAlign w:val="center"/>
                </w:tcPr>
                <w:p w14:paraId="56EF928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本项目不涉及</w:t>
                  </w:r>
                  <w:r>
                    <w:rPr>
                      <w:rFonts w:hint="default" w:ascii="Times New Roman" w:hAnsi="Times New Roman" w:eastAsia="宋体" w:cs="Times New Roman"/>
                      <w:color w:val="auto"/>
                      <w:spacing w:val="7"/>
                      <w:sz w:val="21"/>
                      <w:szCs w:val="21"/>
                      <w:highlight w:val="none"/>
                    </w:rPr>
                    <w:t>危险化学品生</w:t>
                  </w:r>
                  <w:r>
                    <w:rPr>
                      <w:rFonts w:hint="default" w:ascii="Times New Roman" w:hAnsi="Times New Roman" w:eastAsia="宋体" w:cs="Times New Roman"/>
                      <w:color w:val="auto"/>
                      <w:spacing w:val="-3"/>
                      <w:sz w:val="21"/>
                      <w:szCs w:val="21"/>
                      <w:highlight w:val="none"/>
                    </w:rPr>
                    <w:t>产。项目运行过</w:t>
                  </w:r>
                  <w:r>
                    <w:rPr>
                      <w:rFonts w:hint="default" w:ascii="Times New Roman" w:hAnsi="Times New Roman" w:eastAsia="宋体" w:cs="Times New Roman"/>
                      <w:color w:val="auto"/>
                      <w:spacing w:val="19"/>
                      <w:sz w:val="21"/>
                      <w:szCs w:val="21"/>
                      <w:highlight w:val="none"/>
                    </w:rPr>
                    <w:t>程产生的废活</w:t>
                  </w:r>
                  <w:r>
                    <w:rPr>
                      <w:rFonts w:hint="default" w:ascii="Times New Roman" w:hAnsi="Times New Roman" w:eastAsia="宋体" w:cs="Times New Roman"/>
                      <w:color w:val="auto"/>
                      <w:spacing w:val="7"/>
                      <w:sz w:val="21"/>
                      <w:szCs w:val="21"/>
                      <w:highlight w:val="none"/>
                    </w:rPr>
                    <w:t>性炭、废催化</w:t>
                  </w:r>
                  <w:r>
                    <w:rPr>
                      <w:rFonts w:hint="default" w:ascii="Times New Roman" w:hAnsi="Times New Roman" w:eastAsia="宋体" w:cs="Times New Roman"/>
                      <w:color w:val="auto"/>
                      <w:spacing w:val="-4"/>
                      <w:sz w:val="21"/>
                      <w:szCs w:val="21"/>
                      <w:highlight w:val="none"/>
                    </w:rPr>
                    <w:t>剂、废机油严格</w:t>
                  </w:r>
                  <w:r>
                    <w:rPr>
                      <w:rFonts w:hint="default" w:ascii="Times New Roman" w:hAnsi="Times New Roman" w:eastAsia="宋体" w:cs="Times New Roman"/>
                      <w:color w:val="auto"/>
                      <w:spacing w:val="18"/>
                      <w:sz w:val="21"/>
                      <w:szCs w:val="21"/>
                      <w:highlight w:val="none"/>
                    </w:rPr>
                    <w:t>按照危险废物</w:t>
                  </w:r>
                  <w:r>
                    <w:rPr>
                      <w:rFonts w:hint="default" w:ascii="Times New Roman" w:hAnsi="Times New Roman" w:eastAsia="宋体" w:cs="Times New Roman"/>
                      <w:color w:val="auto"/>
                      <w:spacing w:val="-4"/>
                      <w:sz w:val="21"/>
                      <w:szCs w:val="21"/>
                      <w:highlight w:val="none"/>
                    </w:rPr>
                    <w:t>收集、储存及处</w:t>
                  </w:r>
                  <w:r>
                    <w:rPr>
                      <w:rFonts w:hint="default" w:ascii="Times New Roman" w:hAnsi="Times New Roman" w:eastAsia="宋体" w:cs="Times New Roman"/>
                      <w:color w:val="auto"/>
                      <w:spacing w:val="5"/>
                      <w:sz w:val="21"/>
                      <w:szCs w:val="21"/>
                      <w:highlight w:val="none"/>
                    </w:rPr>
                    <w:t>置要求。</w:t>
                  </w:r>
                </w:p>
              </w:tc>
              <w:tc>
                <w:tcPr>
                  <w:tcW w:w="690" w:type="dxa"/>
                  <w:tcBorders>
                    <w:tl2br w:val="nil"/>
                    <w:tr2bl w:val="nil"/>
                  </w:tcBorders>
                  <w:vAlign w:val="center"/>
                </w:tcPr>
                <w:p w14:paraId="13200F0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r w14:paraId="545D17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72" w:type="dxa"/>
                  <w:tcBorders>
                    <w:tl2br w:val="nil"/>
                    <w:tr2bl w:val="nil"/>
                  </w:tcBorders>
                  <w:vAlign w:val="center"/>
                </w:tcPr>
                <w:p w14:paraId="65E5B27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资源利用效率要求</w:t>
                  </w:r>
                </w:p>
              </w:tc>
              <w:tc>
                <w:tcPr>
                  <w:tcW w:w="3107" w:type="dxa"/>
                  <w:tcBorders>
                    <w:tl2br w:val="nil"/>
                    <w:tr2bl w:val="nil"/>
                  </w:tcBorders>
                  <w:vAlign w:val="center"/>
                </w:tcPr>
                <w:p w14:paraId="1613F74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优化能源结构，控制煤炭等化石能源使用量，鼓励使用清洁能源，协同推进减污降碳。全面实施节水工程，合理开发利用水资</w:t>
                  </w:r>
                  <w:r>
                    <w:rPr>
                      <w:rFonts w:hint="default" w:ascii="Times New Roman" w:hAnsi="Times New Roman" w:eastAsia="宋体" w:cs="Times New Roman"/>
                      <w:color w:val="auto"/>
                      <w:spacing w:val="9"/>
                      <w:sz w:val="21"/>
                      <w:szCs w:val="21"/>
                      <w:highlight w:val="none"/>
                    </w:rPr>
                    <w:t>源，提升水资源利用效</w:t>
                  </w:r>
                  <w:r>
                    <w:rPr>
                      <w:rFonts w:hint="default" w:ascii="Times New Roman" w:hAnsi="Times New Roman" w:eastAsia="宋体" w:cs="Times New Roman"/>
                      <w:color w:val="auto"/>
                      <w:spacing w:val="1"/>
                      <w:sz w:val="21"/>
                      <w:szCs w:val="21"/>
                      <w:highlight w:val="none"/>
                    </w:rPr>
                    <w:t>率，保障生态用水，严防</w:t>
                  </w:r>
                  <w:r>
                    <w:rPr>
                      <w:rFonts w:hint="default" w:ascii="Times New Roman" w:hAnsi="Times New Roman" w:eastAsia="宋体" w:cs="Times New Roman"/>
                      <w:color w:val="auto"/>
                      <w:spacing w:val="6"/>
                      <w:sz w:val="21"/>
                      <w:szCs w:val="21"/>
                      <w:highlight w:val="none"/>
                    </w:rPr>
                    <w:t>地下水超采。</w:t>
                  </w:r>
                </w:p>
              </w:tc>
              <w:tc>
                <w:tcPr>
                  <w:tcW w:w="2137" w:type="dxa"/>
                  <w:tcBorders>
                    <w:tl2br w:val="nil"/>
                    <w:tr2bl w:val="nil"/>
                  </w:tcBorders>
                  <w:vAlign w:val="center"/>
                </w:tcPr>
                <w:p w14:paraId="3D1647E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本项目为农用</w:t>
                  </w:r>
                  <w:r>
                    <w:rPr>
                      <w:rFonts w:hint="default" w:ascii="Times New Roman" w:hAnsi="Times New Roman" w:eastAsia="宋体" w:cs="Times New Roman"/>
                      <w:color w:val="auto"/>
                      <w:spacing w:val="1"/>
                      <w:sz w:val="21"/>
                      <w:szCs w:val="21"/>
                      <w:highlight w:val="none"/>
                    </w:rPr>
                    <w:t>地膜生产项目，</w:t>
                  </w:r>
                  <w:r>
                    <w:rPr>
                      <w:rFonts w:hint="default" w:ascii="Times New Roman" w:hAnsi="Times New Roman" w:eastAsia="宋体" w:cs="Times New Roman"/>
                      <w:color w:val="auto"/>
                      <w:spacing w:val="19"/>
                      <w:sz w:val="21"/>
                      <w:szCs w:val="21"/>
                      <w:highlight w:val="none"/>
                    </w:rPr>
                    <w:t>项目生产运营</w:t>
                  </w:r>
                  <w:r>
                    <w:rPr>
                      <w:rFonts w:hint="default" w:ascii="Times New Roman" w:hAnsi="Times New Roman" w:eastAsia="宋体" w:cs="Times New Roman"/>
                      <w:color w:val="auto"/>
                      <w:spacing w:val="8"/>
                      <w:sz w:val="21"/>
                      <w:szCs w:val="21"/>
                      <w:highlight w:val="none"/>
                    </w:rPr>
                    <w:t>过程中会消耗</w:t>
                  </w:r>
                  <w:r>
                    <w:rPr>
                      <w:rFonts w:hint="default" w:ascii="Times New Roman" w:hAnsi="Times New Roman" w:eastAsia="宋体" w:cs="Times New Roman"/>
                      <w:color w:val="auto"/>
                      <w:spacing w:val="-7"/>
                      <w:sz w:val="21"/>
                      <w:szCs w:val="21"/>
                      <w:highlight w:val="none"/>
                    </w:rPr>
                    <w:t>电、水等清洁能</w:t>
                  </w:r>
                  <w:r>
                    <w:rPr>
                      <w:rFonts w:hint="default" w:ascii="Times New Roman" w:hAnsi="Times New Roman" w:eastAsia="宋体" w:cs="Times New Roman"/>
                      <w:color w:val="auto"/>
                      <w:spacing w:val="-3"/>
                      <w:sz w:val="21"/>
                      <w:szCs w:val="21"/>
                      <w:highlight w:val="none"/>
                    </w:rPr>
                    <w:t>源。项目生产废</w:t>
                  </w:r>
                  <w:r>
                    <w:rPr>
                      <w:rFonts w:hint="default" w:ascii="Times New Roman" w:hAnsi="Times New Roman" w:eastAsia="宋体" w:cs="Times New Roman"/>
                      <w:color w:val="auto"/>
                      <w:spacing w:val="7"/>
                      <w:sz w:val="21"/>
                      <w:szCs w:val="21"/>
                      <w:highlight w:val="none"/>
                    </w:rPr>
                    <w:t>水经三级沉淀</w:t>
                  </w:r>
                  <w:r>
                    <w:rPr>
                      <w:rFonts w:hint="default" w:ascii="Times New Roman" w:hAnsi="Times New Roman" w:eastAsia="宋体" w:cs="Times New Roman"/>
                      <w:color w:val="auto"/>
                      <w:spacing w:val="8"/>
                      <w:sz w:val="21"/>
                      <w:szCs w:val="21"/>
                      <w:highlight w:val="none"/>
                    </w:rPr>
                    <w:t>池沉淀后循环</w:t>
                  </w:r>
                  <w:r>
                    <w:rPr>
                      <w:rFonts w:hint="default" w:ascii="Times New Roman" w:hAnsi="Times New Roman" w:eastAsia="宋体" w:cs="Times New Roman"/>
                      <w:color w:val="auto"/>
                      <w:spacing w:val="-3"/>
                      <w:sz w:val="21"/>
                      <w:szCs w:val="21"/>
                      <w:highlight w:val="none"/>
                    </w:rPr>
                    <w:t>使用不外排，生</w:t>
                  </w:r>
                  <w:r>
                    <w:rPr>
                      <w:rFonts w:hint="default" w:ascii="Times New Roman" w:hAnsi="Times New Roman" w:eastAsia="宋体" w:cs="Times New Roman"/>
                      <w:color w:val="auto"/>
                      <w:spacing w:val="18"/>
                      <w:sz w:val="21"/>
                      <w:szCs w:val="21"/>
                      <w:highlight w:val="none"/>
                    </w:rPr>
                    <w:t>活污水直排</w:t>
                  </w:r>
                  <w:r>
                    <w:rPr>
                      <w:rFonts w:hint="default" w:ascii="Times New Roman" w:hAnsi="Times New Roman" w:eastAsia="宋体" w:cs="Times New Roman"/>
                      <w:color w:val="auto"/>
                      <w:spacing w:val="-3"/>
                      <w:sz w:val="21"/>
                      <w:szCs w:val="21"/>
                      <w:highlight w:val="none"/>
                    </w:rPr>
                    <w:t>污水管网</w:t>
                  </w:r>
                  <w:r>
                    <w:rPr>
                      <w:rFonts w:hint="default" w:ascii="Times New Roman" w:hAnsi="Times New Roman" w:eastAsia="宋体" w:cs="Times New Roman"/>
                      <w:color w:val="auto"/>
                      <w:spacing w:val="3"/>
                      <w:sz w:val="21"/>
                      <w:szCs w:val="21"/>
                      <w:highlight w:val="none"/>
                    </w:rPr>
                    <w:t>。</w:t>
                  </w:r>
                </w:p>
              </w:tc>
              <w:tc>
                <w:tcPr>
                  <w:tcW w:w="690" w:type="dxa"/>
                  <w:tcBorders>
                    <w:tl2br w:val="nil"/>
                    <w:tr2bl w:val="nil"/>
                  </w:tcBorders>
                  <w:vAlign w:val="center"/>
                </w:tcPr>
                <w:p w14:paraId="103054C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符合</w:t>
                  </w:r>
                </w:p>
              </w:tc>
            </w:tr>
          </w:tbl>
          <w:p w14:paraId="311E7836">
            <w:pPr>
              <w:spacing w:before="109" w:line="219" w:lineRule="auto"/>
              <w:ind w:left="109"/>
              <w:rPr>
                <w:rFonts w:hint="default" w:ascii="Times New Roman" w:hAnsi="Times New Roman" w:eastAsia="宋体" w:cs="Times New Roman"/>
                <w:b/>
                <w:bCs/>
                <w:color w:val="auto"/>
                <w:spacing w:val="-7"/>
                <w:sz w:val="24"/>
                <w:szCs w:val="24"/>
                <w:highlight w:val="none"/>
              </w:rPr>
            </w:pPr>
          </w:p>
          <w:p w14:paraId="16D8B068">
            <w:pPr>
              <w:pStyle w:val="40"/>
              <w:adjustRightInd/>
              <w:spacing w:line="360" w:lineRule="auto"/>
              <w:ind w:left="0" w:leftChars="0" w:firstLine="0" w:firstLineChars="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eastAsia="宋体" w:cs="Times New Roman"/>
                <w:b/>
                <w:bCs/>
                <w:color w:val="auto"/>
                <w:sz w:val="24"/>
                <w:szCs w:val="24"/>
                <w:highlight w:val="none"/>
              </w:rPr>
              <w:t>与</w:t>
            </w:r>
            <w:r>
              <w:rPr>
                <w:rFonts w:hint="default" w:ascii="Times New Roman" w:hAnsi="Times New Roman" w:eastAsia="宋体" w:cs="Times New Roman"/>
                <w:b/>
                <w:bCs/>
                <w:color w:val="auto"/>
                <w:spacing w:val="-7"/>
                <w:sz w:val="24"/>
                <w:szCs w:val="24"/>
                <w:highlight w:val="none"/>
              </w:rPr>
              <w:t>《</w:t>
            </w:r>
            <w:r>
              <w:rPr>
                <w:rFonts w:hint="default" w:ascii="Times New Roman" w:hAnsi="Times New Roman" w:cs="Times New Roman"/>
                <w:b/>
                <w:bCs/>
                <w:color w:val="auto"/>
                <w:spacing w:val="-7"/>
                <w:sz w:val="24"/>
                <w:szCs w:val="24"/>
                <w:highlight w:val="none"/>
                <w:lang w:eastAsia="zh-CN"/>
              </w:rPr>
              <w:t>昌吉回族自治州生态环境分区管控动态更新成果</w:t>
            </w:r>
            <w:r>
              <w:rPr>
                <w:rFonts w:hint="default" w:ascii="Times New Roman" w:hAnsi="Times New Roman" w:eastAsia="宋体" w:cs="Times New Roman"/>
                <w:b/>
                <w:bCs/>
                <w:color w:val="auto"/>
                <w:spacing w:val="-4"/>
                <w:sz w:val="24"/>
                <w:szCs w:val="24"/>
                <w:highlight w:val="none"/>
              </w:rPr>
              <w:t>》</w:t>
            </w:r>
            <w:r>
              <w:rPr>
                <w:rFonts w:hint="default" w:ascii="Times New Roman" w:hAnsi="Times New Roman" w:eastAsia="宋体" w:cs="Times New Roman"/>
                <w:b/>
                <w:bCs/>
                <w:color w:val="auto"/>
                <w:sz w:val="24"/>
                <w:szCs w:val="24"/>
                <w:highlight w:val="none"/>
                <w:lang w:val="en-US" w:eastAsia="zh-CN"/>
              </w:rPr>
              <w:t>符合性分析</w:t>
            </w:r>
          </w:p>
          <w:p w14:paraId="41B6A7F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本项目位于新疆维吾尔自治区昌吉市六工镇，项目选址属于昌吉回族自治州“三线一单”生态环境分区管控方案中的“昌吉市城镇集中建设区重点管控单元”；环境管控单元编码：ZH652301</w:t>
            </w:r>
            <w:r>
              <w:rPr>
                <w:rFonts w:hint="default" w:ascii="Times New Roman" w:hAnsi="Times New Roman" w:cs="Times New Roman"/>
                <w:b w:val="0"/>
                <w:bCs w:val="0"/>
                <w:color w:val="auto"/>
                <w:sz w:val="24"/>
                <w:szCs w:val="24"/>
                <w:highlight w:val="none"/>
                <w:lang w:val="en-US" w:eastAsia="zh-CN"/>
              </w:rPr>
              <w:t>4000</w:t>
            </w:r>
            <w:r>
              <w:rPr>
                <w:rFonts w:hint="default" w:ascii="Times New Roman" w:hAnsi="Times New Roman" w:eastAsia="宋体" w:cs="Times New Roman"/>
                <w:b w:val="0"/>
                <w:bCs w:val="0"/>
                <w:color w:val="auto"/>
                <w:sz w:val="24"/>
                <w:szCs w:val="24"/>
                <w:highlight w:val="none"/>
                <w:lang w:val="en-US" w:eastAsia="zh-CN"/>
              </w:rPr>
              <w:t>1，详见图</w:t>
            </w:r>
            <w:r>
              <w:rPr>
                <w:rFonts w:hint="default" w:ascii="Times New Roman" w:hAnsi="Times New Roman"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en-US" w:eastAsia="zh-CN"/>
              </w:rPr>
              <w:t>。项目与“昌吉回族自治州“三线一单”生态环境分区管控方案要求符合性分析见下表。</w:t>
            </w:r>
          </w:p>
          <w:p w14:paraId="515B7966">
            <w:pPr>
              <w:pStyle w:val="36"/>
              <w:keepNext w:val="0"/>
              <w:keepLines w:val="0"/>
              <w:pageBreakBefore w:val="0"/>
              <w:widowControl w:val="0"/>
              <w:kinsoku/>
              <w:wordWrap/>
              <w:overflowPunct/>
              <w:topLinePunct w:val="0"/>
              <w:autoSpaceDE/>
              <w:autoSpaceDN/>
              <w:bidi w:val="0"/>
              <w:adjustRightInd/>
              <w:snapToGrid/>
              <w:spacing w:before="0" w:beforeLines="0" w:line="240" w:lineRule="auto"/>
              <w:ind w:left="0" w:leftChars="0"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b/>
                <w:bCs/>
                <w:color w:val="auto"/>
                <w:sz w:val="21"/>
                <w:szCs w:val="21"/>
                <w:highlight w:val="none"/>
                <w:lang w:val="en-US" w:eastAsia="zh-CN"/>
              </w:rPr>
              <w:t>表1-</w:t>
            </w:r>
            <w:r>
              <w:rPr>
                <w:rFonts w:hint="default" w:ascii="Times New Roman" w:hAnsi="Times New Roman" w:cs="Times New Roman"/>
                <w:b/>
                <w:bCs/>
                <w:color w:val="auto"/>
                <w:sz w:val="21"/>
                <w:szCs w:val="21"/>
                <w:highlight w:val="none"/>
                <w:lang w:val="en-US" w:eastAsia="zh-CN"/>
              </w:rPr>
              <w:t xml:space="preserve">3   </w:t>
            </w:r>
            <w:r>
              <w:rPr>
                <w:rFonts w:hint="default" w:ascii="Times New Roman" w:hAnsi="Times New Roman" w:eastAsia="宋体" w:cs="Times New Roman"/>
                <w:b/>
                <w:bCs/>
                <w:color w:val="auto"/>
                <w:sz w:val="21"/>
                <w:szCs w:val="21"/>
                <w:highlight w:val="none"/>
              </w:rPr>
              <w:t>项目与“昌吉回族自治州“三线一单”生态环境分区管控方案及生态环境准入清单”符合性分析一览表</w:t>
            </w:r>
          </w:p>
          <w:tbl>
            <w:tblPr>
              <w:tblStyle w:val="24"/>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69"/>
              <w:gridCol w:w="695"/>
              <w:gridCol w:w="706"/>
              <w:gridCol w:w="2354"/>
              <w:gridCol w:w="1458"/>
              <w:gridCol w:w="666"/>
            </w:tblGrid>
            <w:tr w14:paraId="7361EA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669" w:type="dxa"/>
                  <w:tcBorders>
                    <w:bottom w:val="single" w:color="000000" w:sz="12" w:space="0"/>
                  </w:tcBorders>
                  <w:shd w:val="clear" w:color="auto" w:fill="auto"/>
                  <w:vAlign w:val="top"/>
                </w:tcPr>
                <w:p w14:paraId="0C1A27AA">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环境管控单元编码</w:t>
                  </w:r>
                </w:p>
              </w:tc>
              <w:tc>
                <w:tcPr>
                  <w:tcW w:w="695" w:type="dxa"/>
                  <w:tcBorders>
                    <w:bottom w:val="single" w:color="000000" w:sz="12" w:space="0"/>
                  </w:tcBorders>
                  <w:shd w:val="clear" w:color="auto" w:fill="auto"/>
                  <w:vAlign w:val="top"/>
                </w:tcPr>
                <w:p w14:paraId="79A48550">
                  <w:pPr>
                    <w:keepNext w:val="0"/>
                    <w:keepLines w:val="0"/>
                    <w:pageBreakBefore w:val="0"/>
                    <w:widowControl/>
                    <w:suppressLineNumbers w:val="0"/>
                    <w:kinsoku/>
                    <w:wordWrap/>
                    <w:overflowPunct/>
                    <w:topLinePunct w:val="0"/>
                    <w:autoSpaceDE/>
                    <w:autoSpaceDN/>
                    <w:bidi w:val="0"/>
                    <w:adjustRightInd/>
                    <w:snapToGrid/>
                    <w:jc w:val="center"/>
                    <w:textAlignment w:val="top"/>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环境管控单元名称</w:t>
                  </w:r>
                </w:p>
              </w:tc>
              <w:tc>
                <w:tcPr>
                  <w:tcW w:w="706" w:type="dxa"/>
                  <w:tcBorders>
                    <w:bottom w:val="single" w:color="000000" w:sz="12" w:space="0"/>
                  </w:tcBorders>
                  <w:shd w:val="clear" w:color="auto" w:fill="auto"/>
                  <w:noWrap/>
                  <w:vAlign w:val="center"/>
                </w:tcPr>
                <w:p w14:paraId="1730513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单元管控要求</w:t>
                  </w:r>
                </w:p>
              </w:tc>
              <w:tc>
                <w:tcPr>
                  <w:tcW w:w="2354" w:type="dxa"/>
                  <w:tcBorders>
                    <w:bottom w:val="single" w:color="000000" w:sz="12" w:space="0"/>
                  </w:tcBorders>
                  <w:shd w:val="clear" w:color="auto" w:fill="auto"/>
                  <w:vAlign w:val="center"/>
                </w:tcPr>
                <w:p w14:paraId="117CAFE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管控要求</w:t>
                  </w:r>
                </w:p>
              </w:tc>
              <w:tc>
                <w:tcPr>
                  <w:tcW w:w="1458" w:type="dxa"/>
                  <w:tcBorders>
                    <w:bottom w:val="single" w:color="000000" w:sz="12" w:space="0"/>
                  </w:tcBorders>
                  <w:shd w:val="clear" w:color="auto" w:fill="auto"/>
                  <w:vAlign w:val="center"/>
                </w:tcPr>
                <w:p w14:paraId="57F1805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项目情况</w:t>
                  </w:r>
                </w:p>
              </w:tc>
              <w:tc>
                <w:tcPr>
                  <w:tcW w:w="666" w:type="dxa"/>
                  <w:tcBorders>
                    <w:bottom w:val="single" w:color="000000" w:sz="12" w:space="0"/>
                  </w:tcBorders>
                  <w:shd w:val="clear" w:color="auto" w:fill="auto"/>
                  <w:noWrap/>
                  <w:vAlign w:val="center"/>
                </w:tcPr>
                <w:p w14:paraId="2113CA1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符合性</w:t>
                  </w:r>
                </w:p>
              </w:tc>
            </w:tr>
            <w:tr w14:paraId="1A0B94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669" w:type="dxa"/>
                  <w:vMerge w:val="restart"/>
                  <w:tcBorders>
                    <w:top w:val="single" w:color="000000" w:sz="12" w:space="0"/>
                    <w:tl2br w:val="nil"/>
                    <w:tr2bl w:val="nil"/>
                  </w:tcBorders>
                  <w:shd w:val="clear" w:color="auto" w:fill="auto"/>
                  <w:vAlign w:val="center"/>
                </w:tcPr>
                <w:p w14:paraId="15D89CBB">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ZH65230140001</w:t>
                  </w:r>
                </w:p>
              </w:tc>
              <w:tc>
                <w:tcPr>
                  <w:tcW w:w="695" w:type="dxa"/>
                  <w:vMerge w:val="restart"/>
                  <w:tcBorders>
                    <w:top w:val="single" w:color="000000" w:sz="12" w:space="0"/>
                    <w:tl2br w:val="nil"/>
                    <w:tr2bl w:val="nil"/>
                  </w:tcBorders>
                  <w:shd w:val="clear" w:color="auto" w:fill="auto"/>
                  <w:vAlign w:val="center"/>
                </w:tcPr>
                <w:p w14:paraId="373BA1E8">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昌吉市城镇集中建设区重点管控单元</w:t>
                  </w:r>
                </w:p>
              </w:tc>
              <w:tc>
                <w:tcPr>
                  <w:tcW w:w="706" w:type="dxa"/>
                  <w:tcBorders>
                    <w:top w:val="single" w:color="000000" w:sz="12" w:space="0"/>
                    <w:tl2br w:val="nil"/>
                    <w:tr2bl w:val="nil"/>
                  </w:tcBorders>
                  <w:shd w:val="clear" w:color="auto" w:fill="auto"/>
                  <w:vAlign w:val="center"/>
                </w:tcPr>
                <w:p w14:paraId="0A2D1AA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空间布局约束</w:t>
                  </w:r>
                </w:p>
              </w:tc>
              <w:tc>
                <w:tcPr>
                  <w:tcW w:w="2354" w:type="dxa"/>
                  <w:tcBorders>
                    <w:top w:val="single" w:color="000000" w:sz="12" w:space="0"/>
                    <w:tl2br w:val="nil"/>
                    <w:tr2bl w:val="nil"/>
                  </w:tcBorders>
                  <w:shd w:val="clear" w:color="auto" w:fill="auto"/>
                  <w:vAlign w:val="center"/>
                </w:tcPr>
                <w:p w14:paraId="66F82FA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1、城市建成区内不得建设高污染的火电、化工、冶金、造纸、钢铁、建材等工业项目；已经建成的，应当逐步搬迁。</w:t>
                  </w:r>
                </w:p>
                <w:p w14:paraId="4DD9B7E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在居民住宅区等人口密集区域和机关、医院、学校、幼儿园、养老院等其他需要特殊保护的区域及其周边，不得新建、改建和扩建易产生恶臭气体的生产项目，或者从事其他产生恶臭气体的生产经营活动。已建成的，应当逐步搬迁或者升级改造。</w:t>
                  </w:r>
                </w:p>
                <w:p w14:paraId="3DA0573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3、昌吉州“乌-昌-石”区域内不再新增自备燃煤机组。有序推进昌吉州“乌-昌-石”区域内自备电厂替代或退出。</w:t>
                  </w:r>
                </w:p>
                <w:p w14:paraId="263413E2">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4、不再新建每小时65蒸吨以下的燃煤锅炉。</w:t>
                  </w:r>
                </w:p>
                <w:p w14:paraId="34092F7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5、“乌-昌-石”区域30万千瓦及以上热电联产电厂供热半径15公里范围内的燃煤锅炉和落后燃煤小热电实行关停整合。</w:t>
                  </w:r>
                </w:p>
              </w:tc>
              <w:tc>
                <w:tcPr>
                  <w:tcW w:w="1458" w:type="dxa"/>
                  <w:tcBorders>
                    <w:top w:val="single" w:color="000000" w:sz="12" w:space="0"/>
                    <w:tl2br w:val="nil"/>
                    <w:tr2bl w:val="nil"/>
                  </w:tcBorders>
                  <w:shd w:val="clear" w:color="auto" w:fill="auto"/>
                  <w:vAlign w:val="center"/>
                </w:tcPr>
                <w:p w14:paraId="4AA86040">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1.本项目为塑料制品项目，且在原厂区内建设，不属于火电、化工、冶金、造纸、钢铁、建材等工业项目。</w:t>
                  </w:r>
                </w:p>
                <w:p w14:paraId="37094828">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2.本项目位于昌吉市六工镇，项目运营期仅产生少量的挥发性有机物，经</w:t>
                  </w:r>
                  <w:r>
                    <w:rPr>
                      <w:rFonts w:hint="default" w:ascii="Times New Roman" w:hAnsi="Times New Roman" w:cs="Times New Roman"/>
                      <w:i w:val="0"/>
                      <w:iCs w:val="0"/>
                      <w:color w:val="auto"/>
                      <w:kern w:val="0"/>
                      <w:sz w:val="21"/>
                      <w:szCs w:val="21"/>
                      <w:highlight w:val="none"/>
                      <w:u w:val="none"/>
                      <w:lang w:val="en-US" w:eastAsia="zh-CN" w:bidi="ar"/>
                    </w:rPr>
                    <w:t>活性炭吸附脱附+催化燃烧装置</w:t>
                  </w:r>
                  <w:r>
                    <w:rPr>
                      <w:rFonts w:hint="default" w:ascii="Times New Roman" w:hAnsi="Times New Roman" w:eastAsia="宋体" w:cs="Times New Roman"/>
                      <w:i w:val="0"/>
                      <w:iCs w:val="0"/>
                      <w:color w:val="auto"/>
                      <w:kern w:val="0"/>
                      <w:sz w:val="21"/>
                      <w:szCs w:val="21"/>
                      <w:highlight w:val="none"/>
                      <w:u w:val="none"/>
                      <w:lang w:val="en-US" w:eastAsia="zh-CN" w:bidi="ar"/>
                    </w:rPr>
                    <w:t>处理后能够达标排放，项目运营期无恶臭气体产生。</w:t>
                  </w:r>
                </w:p>
                <w:p w14:paraId="05B55721">
                  <w:pPr>
                    <w:pStyle w:val="31"/>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3.本项目不新建燃煤锅炉。</w:t>
                  </w:r>
                </w:p>
                <w:p w14:paraId="1A9D620A">
                  <w:pP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color w:val="auto"/>
                      <w:sz w:val="21"/>
                      <w:szCs w:val="21"/>
                      <w:highlight w:val="none"/>
                      <w:lang w:val="en-US" w:eastAsia="zh-CN"/>
                    </w:rPr>
                    <w:t>项目区采用电锅炉采暖、供热，不建设</w:t>
                  </w:r>
                  <w:r>
                    <w:rPr>
                      <w:rFonts w:hint="default" w:ascii="Times New Roman" w:hAnsi="Times New Roman" w:eastAsia="宋体" w:cs="Times New Roman"/>
                      <w:i w:val="0"/>
                      <w:iCs w:val="0"/>
                      <w:color w:val="auto"/>
                      <w:kern w:val="0"/>
                      <w:sz w:val="21"/>
                      <w:szCs w:val="21"/>
                      <w:highlight w:val="none"/>
                      <w:u w:val="none"/>
                      <w:lang w:val="en-US" w:eastAsia="zh-CN" w:bidi="ar"/>
                    </w:rPr>
                    <w:t>燃煤锅炉。</w:t>
                  </w:r>
                </w:p>
                <w:p w14:paraId="17D8EC7E">
                  <w:pPr>
                    <w:pStyle w:val="31"/>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color w:val="auto"/>
                      <w:sz w:val="21"/>
                      <w:szCs w:val="21"/>
                      <w:highlight w:val="none"/>
                      <w:lang w:val="en-US" w:eastAsia="zh-CN"/>
                    </w:rPr>
                    <w:t>项目区采用电锅炉采暖、供热，不建设</w:t>
                  </w:r>
                  <w:r>
                    <w:rPr>
                      <w:rFonts w:hint="default" w:ascii="Times New Roman" w:hAnsi="Times New Roman" w:eastAsia="宋体" w:cs="Times New Roman"/>
                      <w:i w:val="0"/>
                      <w:iCs w:val="0"/>
                      <w:color w:val="auto"/>
                      <w:kern w:val="0"/>
                      <w:sz w:val="21"/>
                      <w:szCs w:val="21"/>
                      <w:highlight w:val="none"/>
                      <w:u w:val="none"/>
                      <w:lang w:val="en-US" w:eastAsia="zh-CN" w:bidi="ar"/>
                    </w:rPr>
                    <w:t>燃煤锅炉。</w:t>
                  </w:r>
                </w:p>
              </w:tc>
              <w:tc>
                <w:tcPr>
                  <w:tcW w:w="666" w:type="dxa"/>
                  <w:tcBorders>
                    <w:top w:val="single" w:color="000000" w:sz="12" w:space="0"/>
                    <w:tl2br w:val="nil"/>
                    <w:tr2bl w:val="nil"/>
                  </w:tcBorders>
                  <w:shd w:val="clear" w:color="auto" w:fill="auto"/>
                  <w:noWrap/>
                  <w:vAlign w:val="center"/>
                </w:tcPr>
                <w:p w14:paraId="4FE060B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符合</w:t>
                  </w:r>
                </w:p>
              </w:tc>
            </w:tr>
            <w:tr w14:paraId="7F44BF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669" w:type="dxa"/>
                  <w:vMerge w:val="continue"/>
                  <w:tcBorders>
                    <w:tl2br w:val="nil"/>
                    <w:tr2bl w:val="nil"/>
                  </w:tcBorders>
                  <w:shd w:val="clear" w:color="auto" w:fill="auto"/>
                  <w:vAlign w:val="center"/>
                </w:tcPr>
                <w:p w14:paraId="41133323">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695" w:type="dxa"/>
                  <w:vMerge w:val="continue"/>
                  <w:tcBorders>
                    <w:tl2br w:val="nil"/>
                    <w:tr2bl w:val="nil"/>
                  </w:tcBorders>
                  <w:shd w:val="clear" w:color="auto" w:fill="auto"/>
                  <w:vAlign w:val="center"/>
                </w:tcPr>
                <w:p w14:paraId="54E36A1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706" w:type="dxa"/>
                  <w:tcBorders>
                    <w:tl2br w:val="nil"/>
                    <w:tr2bl w:val="nil"/>
                  </w:tcBorders>
                  <w:shd w:val="clear" w:color="auto" w:fill="auto"/>
                  <w:vAlign w:val="center"/>
                </w:tcPr>
                <w:p w14:paraId="161694A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污染物排放管控</w:t>
                  </w:r>
                </w:p>
              </w:tc>
              <w:tc>
                <w:tcPr>
                  <w:tcW w:w="2354" w:type="dxa"/>
                  <w:tcBorders>
                    <w:tl2br w:val="nil"/>
                    <w:tr2bl w:val="nil"/>
                  </w:tcBorders>
                  <w:shd w:val="clear" w:color="auto" w:fill="auto"/>
                  <w:vAlign w:val="center"/>
                </w:tcPr>
                <w:p w14:paraId="56A23E13">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1、到2024年县级及以上城市建成区基本淘汰35蒸吨/小时及以下的燃煤锅炉，“乌-昌-石”区域基本淘汰65蒸吨/小时以下燃煤锅炉。</w:t>
                  </w:r>
                </w:p>
                <w:p w14:paraId="1AFF88E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2、新（改、扩）建项目应执行最严格的大气污染物排放标准。</w:t>
                  </w:r>
                </w:p>
                <w:p w14:paraId="7CE070D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3、向城镇污水集中处理设施排放水污染物，应当达到《污水综合排放标准》（GB 8978-1996）要求。排污许可中另有要求的执行许可的标准限值。</w:t>
                  </w:r>
                </w:p>
                <w:p w14:paraId="3F3558CB">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4、施工工地全面落实“六个百分之百”（施工工地周边围挡、物料堆放覆盖、出入车辆冲洗、施工现场地面硬化、拆迁工地湿法作业、渣土车辆密闭运输）。</w:t>
                  </w:r>
                </w:p>
                <w:p w14:paraId="10869E5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5、开展县级城市建成区内黑臭水体排查整治，加强城镇污水处理设施运行监管，推进城镇污水处理设施及配套管网建设和改造。</w:t>
                  </w:r>
                </w:p>
                <w:p w14:paraId="3456E31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6、“乌-昌-石”区域内，已实施超低排放的涉气排污单位，其实施超低排放改造的污染因子执行超低排放限值，其他污染因子执行特别排放限值和特别控制要求。</w:t>
                  </w:r>
                </w:p>
              </w:tc>
              <w:tc>
                <w:tcPr>
                  <w:tcW w:w="1458" w:type="dxa"/>
                  <w:tcBorders>
                    <w:tl2br w:val="nil"/>
                    <w:tr2bl w:val="nil"/>
                  </w:tcBorders>
                  <w:shd w:val="clear" w:color="auto" w:fill="auto"/>
                  <w:vAlign w:val="center"/>
                </w:tcPr>
                <w:p w14:paraId="11E35025">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u w:val="none"/>
                      <w:lang w:val="en-US" w:eastAsia="zh-CN"/>
                    </w:rPr>
                    <w:t>1.</w:t>
                  </w:r>
                  <w:r>
                    <w:rPr>
                      <w:rFonts w:hint="default" w:ascii="Times New Roman" w:hAnsi="Times New Roman" w:eastAsia="宋体" w:cs="Times New Roman"/>
                      <w:color w:val="auto"/>
                      <w:sz w:val="21"/>
                      <w:szCs w:val="21"/>
                      <w:highlight w:val="none"/>
                      <w:lang w:val="en-US" w:eastAsia="zh-CN"/>
                    </w:rPr>
                    <w:t>项目区采用电锅炉采暖、供热，不建设</w:t>
                  </w:r>
                  <w:r>
                    <w:rPr>
                      <w:rFonts w:hint="default" w:ascii="Times New Roman" w:hAnsi="Times New Roman" w:eastAsia="宋体" w:cs="Times New Roman"/>
                      <w:i w:val="0"/>
                      <w:iCs w:val="0"/>
                      <w:color w:val="auto"/>
                      <w:kern w:val="0"/>
                      <w:sz w:val="21"/>
                      <w:szCs w:val="21"/>
                      <w:highlight w:val="none"/>
                      <w:u w:val="none"/>
                      <w:lang w:val="en-US" w:eastAsia="zh-CN" w:bidi="ar"/>
                    </w:rPr>
                    <w:t>燃煤锅炉。</w:t>
                  </w:r>
                </w:p>
                <w:p w14:paraId="72171251">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color w:val="auto"/>
                      <w:sz w:val="21"/>
                      <w:szCs w:val="21"/>
                      <w:highlight w:val="none"/>
                      <w:lang w:val="en-US" w:eastAsia="zh-CN"/>
                    </w:rPr>
                    <w:t>本项目运营期产生的污染物为挥发性有机物，已执行</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eastAsia="zh-CN"/>
                    </w:rPr>
                    <w:t>（GB31572-201</w:t>
                  </w:r>
                  <w:r>
                    <w:rPr>
                      <w:rFonts w:hint="default" w:ascii="Times New Roman" w:hAnsi="Times New Roman" w:eastAsia="宋体" w:cs="Times New Roman"/>
                      <w:color w:val="auto"/>
                      <w:sz w:val="21"/>
                      <w:szCs w:val="21"/>
                      <w:highlight w:val="none"/>
                      <w:lang w:val="zh-CN" w:eastAsia="zh-CN"/>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CN" w:eastAsia="zh-CN"/>
                    </w:rPr>
                    <w:t>中</w:t>
                  </w:r>
                  <w:r>
                    <w:rPr>
                      <w:rFonts w:hint="default" w:ascii="Times New Roman" w:hAnsi="Times New Roman" w:eastAsia="宋体" w:cs="Times New Roman"/>
                      <w:color w:val="auto"/>
                      <w:sz w:val="21"/>
                      <w:szCs w:val="21"/>
                      <w:highlight w:val="none"/>
                      <w:lang w:eastAsia="zh-CN"/>
                    </w:rPr>
                    <w:t>表5大气污染物特别排放限值，</w:t>
                  </w:r>
                  <w:r>
                    <w:rPr>
                      <w:rFonts w:hint="default" w:ascii="Times New Roman" w:hAnsi="Times New Roman" w:eastAsia="宋体" w:cs="Times New Roman"/>
                      <w:color w:val="auto"/>
                      <w:sz w:val="21"/>
                      <w:szCs w:val="21"/>
                      <w:highlight w:val="none"/>
                      <w:lang w:val="en-US" w:eastAsia="zh-CN"/>
                    </w:rPr>
                    <w:t>已是最严格标准。</w:t>
                  </w:r>
                </w:p>
                <w:p w14:paraId="2F61FECF">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3.项目运营期产生的废水主要是生活污水，能够</w:t>
                  </w:r>
                  <w:r>
                    <w:rPr>
                      <w:rFonts w:hint="default" w:ascii="Times New Roman" w:hAnsi="Times New Roman" w:eastAsia="宋体" w:cs="Times New Roman"/>
                      <w:i w:val="0"/>
                      <w:iCs w:val="0"/>
                      <w:color w:val="auto"/>
                      <w:kern w:val="0"/>
                      <w:sz w:val="21"/>
                      <w:szCs w:val="21"/>
                      <w:highlight w:val="none"/>
                      <w:u w:val="none"/>
                      <w:lang w:val="en-US" w:eastAsia="zh-CN" w:bidi="ar"/>
                    </w:rPr>
                    <w:t>达到《污水综合排放标准》（GB 8978-1996）要求。</w:t>
                  </w:r>
                </w:p>
                <w:p w14:paraId="7A7C251B">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5.本项目不涉及污水处理设施及配套管网建设和改造。</w:t>
                  </w:r>
                </w:p>
                <w:p w14:paraId="39AE7CFB">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6.本项目建设地点位于“乌-昌-石”区域内，</w:t>
                  </w:r>
                  <w:r>
                    <w:rPr>
                      <w:rFonts w:hint="default" w:ascii="Times New Roman" w:hAnsi="Times New Roman" w:eastAsia="宋体" w:cs="Times New Roman"/>
                      <w:color w:val="auto"/>
                      <w:sz w:val="21"/>
                      <w:szCs w:val="21"/>
                      <w:highlight w:val="none"/>
                      <w:lang w:val="en-US" w:eastAsia="zh-CN"/>
                    </w:rPr>
                    <w:t>已执行</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lang w:val="zh-CN" w:eastAsia="zh-CN"/>
                    </w:rPr>
                    <w:t>》</w:t>
                  </w:r>
                  <w:r>
                    <w:rPr>
                      <w:rFonts w:hint="default" w:ascii="Times New Roman" w:hAnsi="Times New Roman" w:eastAsia="宋体" w:cs="Times New Roman"/>
                      <w:color w:val="auto"/>
                      <w:sz w:val="21"/>
                      <w:szCs w:val="21"/>
                      <w:highlight w:val="none"/>
                      <w:lang w:eastAsia="zh-CN"/>
                    </w:rPr>
                    <w:t>（GB31572-201</w:t>
                  </w:r>
                  <w:r>
                    <w:rPr>
                      <w:rFonts w:hint="default" w:ascii="Times New Roman" w:hAnsi="Times New Roman" w:eastAsia="宋体" w:cs="Times New Roman"/>
                      <w:color w:val="auto"/>
                      <w:sz w:val="21"/>
                      <w:szCs w:val="21"/>
                      <w:highlight w:val="none"/>
                      <w:lang w:val="zh-CN" w:eastAsia="zh-CN"/>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CN" w:eastAsia="zh-CN"/>
                    </w:rPr>
                    <w:t>中</w:t>
                  </w:r>
                  <w:r>
                    <w:rPr>
                      <w:rFonts w:hint="default" w:ascii="Times New Roman" w:hAnsi="Times New Roman" w:eastAsia="宋体" w:cs="Times New Roman"/>
                      <w:color w:val="auto"/>
                      <w:sz w:val="21"/>
                      <w:szCs w:val="21"/>
                      <w:highlight w:val="none"/>
                      <w:lang w:eastAsia="zh-CN"/>
                    </w:rPr>
                    <w:t>表5大气污染物特别排放限值，</w:t>
                  </w:r>
                  <w:r>
                    <w:rPr>
                      <w:rFonts w:hint="default" w:ascii="Times New Roman" w:hAnsi="Times New Roman" w:eastAsia="宋体" w:cs="Times New Roman"/>
                      <w:color w:val="auto"/>
                      <w:sz w:val="21"/>
                      <w:szCs w:val="21"/>
                      <w:highlight w:val="none"/>
                      <w:lang w:val="en-US" w:eastAsia="zh-CN"/>
                    </w:rPr>
                    <w:t>已是最严格标准。</w:t>
                  </w:r>
                </w:p>
              </w:tc>
              <w:tc>
                <w:tcPr>
                  <w:tcW w:w="666" w:type="dxa"/>
                  <w:tcBorders>
                    <w:tl2br w:val="nil"/>
                    <w:tr2bl w:val="nil"/>
                  </w:tcBorders>
                  <w:shd w:val="clear" w:color="auto" w:fill="auto"/>
                  <w:noWrap/>
                  <w:vAlign w:val="center"/>
                </w:tcPr>
                <w:p w14:paraId="58A20DF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符合</w:t>
                  </w:r>
                </w:p>
              </w:tc>
            </w:tr>
            <w:tr w14:paraId="02C936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669" w:type="dxa"/>
                  <w:vMerge w:val="continue"/>
                  <w:tcBorders>
                    <w:tl2br w:val="nil"/>
                    <w:tr2bl w:val="nil"/>
                  </w:tcBorders>
                  <w:shd w:val="clear" w:color="auto" w:fill="auto"/>
                  <w:vAlign w:val="center"/>
                </w:tcPr>
                <w:p w14:paraId="6DEBECC5">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695" w:type="dxa"/>
                  <w:vMerge w:val="continue"/>
                  <w:tcBorders>
                    <w:tl2br w:val="nil"/>
                    <w:tr2bl w:val="nil"/>
                  </w:tcBorders>
                  <w:shd w:val="clear" w:color="auto" w:fill="auto"/>
                  <w:vAlign w:val="center"/>
                </w:tcPr>
                <w:p w14:paraId="1B8E56CB">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706" w:type="dxa"/>
                  <w:tcBorders>
                    <w:tl2br w:val="nil"/>
                    <w:tr2bl w:val="nil"/>
                  </w:tcBorders>
                  <w:shd w:val="clear" w:color="auto" w:fill="auto"/>
                  <w:vAlign w:val="center"/>
                </w:tcPr>
                <w:p w14:paraId="787A56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环境风险防控</w:t>
                  </w:r>
                </w:p>
              </w:tc>
              <w:tc>
                <w:tcPr>
                  <w:tcW w:w="2354" w:type="dxa"/>
                  <w:tcBorders>
                    <w:tl2br w:val="nil"/>
                    <w:tr2bl w:val="nil"/>
                  </w:tcBorders>
                  <w:shd w:val="clear" w:color="auto" w:fill="auto"/>
                  <w:vAlign w:val="center"/>
                </w:tcPr>
                <w:p w14:paraId="135A9D6F">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1、严格危险化学品废弃处置。对城镇人口密集区现有不符合安全和卫生防护距离要求的危险化学品生产企业，进行定量风险评估，就地改造达标、搬迁进入规范化工园区或关闭退出。</w:t>
                  </w:r>
                </w:p>
                <w:p w14:paraId="1B244A6D">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提升饮用水安全保障水平。以县级及以上集中式饮用水水源地为重点，推进饮用水水源保护区规范化建设，统筹推进备用水源或应急水源建设。强化饮用水水源保护区环境应急管理，完善重大突发环境事件的物资和技术储备。针对汇水区、补给区存在兵地跨界的，建立统一的饮用水水源应急和执法机制，共享应急物资。</w:t>
                  </w:r>
                </w:p>
              </w:tc>
              <w:tc>
                <w:tcPr>
                  <w:tcW w:w="1458" w:type="dxa"/>
                  <w:tcBorders>
                    <w:tl2br w:val="nil"/>
                    <w:tr2bl w:val="nil"/>
                  </w:tcBorders>
                  <w:shd w:val="clear" w:color="auto" w:fill="auto"/>
                  <w:vAlign w:val="center"/>
                </w:tcPr>
                <w:p w14:paraId="79F7AF5E">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u w:val="none"/>
                      <w:lang w:val="en-US" w:eastAsia="zh-CN"/>
                    </w:rPr>
                    <w:t>1.本项目运营期无</w:t>
                  </w:r>
                  <w:r>
                    <w:rPr>
                      <w:rFonts w:hint="default" w:ascii="Times New Roman" w:hAnsi="Times New Roman" w:eastAsia="宋体" w:cs="Times New Roman"/>
                      <w:i w:val="0"/>
                      <w:iCs w:val="0"/>
                      <w:color w:val="auto"/>
                      <w:kern w:val="0"/>
                      <w:sz w:val="21"/>
                      <w:szCs w:val="21"/>
                      <w:highlight w:val="none"/>
                      <w:u w:val="none"/>
                      <w:lang w:val="en-US" w:eastAsia="zh-CN" w:bidi="ar"/>
                    </w:rPr>
                    <w:t>危险化学品产生及使用，</w:t>
                  </w:r>
                  <w:r>
                    <w:rPr>
                      <w:rFonts w:hint="default" w:ascii="Times New Roman" w:hAnsi="Times New Roman" w:cs="Times New Roman"/>
                      <w:i w:val="0"/>
                      <w:iCs w:val="0"/>
                      <w:color w:val="auto"/>
                      <w:kern w:val="0"/>
                      <w:sz w:val="21"/>
                      <w:szCs w:val="21"/>
                      <w:highlight w:val="none"/>
                      <w:u w:val="none"/>
                      <w:lang w:val="en-US" w:eastAsia="zh-CN" w:bidi="ar"/>
                    </w:rPr>
                    <w:t>仅</w:t>
                  </w:r>
                  <w:r>
                    <w:rPr>
                      <w:rFonts w:hint="default" w:ascii="Times New Roman" w:hAnsi="Times New Roman" w:eastAsia="宋体" w:cs="Times New Roman"/>
                      <w:i w:val="0"/>
                      <w:iCs w:val="0"/>
                      <w:color w:val="auto"/>
                      <w:kern w:val="0"/>
                      <w:sz w:val="21"/>
                      <w:szCs w:val="21"/>
                      <w:highlight w:val="none"/>
                      <w:u w:val="none"/>
                      <w:lang w:val="en-US" w:eastAsia="zh-CN" w:bidi="ar"/>
                    </w:rPr>
                    <w:t>产生废活性炭、废催化剂、废润滑油</w:t>
                  </w:r>
                  <w:r>
                    <w:rPr>
                      <w:rFonts w:hint="eastAsia" w:ascii="Times New Roman" w:hAnsi="Times New Roman" w:cs="Times New Roman"/>
                      <w:i w:val="0"/>
                      <w:iCs w:val="0"/>
                      <w:color w:val="auto"/>
                      <w:kern w:val="0"/>
                      <w:sz w:val="21"/>
                      <w:szCs w:val="21"/>
                      <w:highlight w:val="none"/>
                      <w:u w:val="none"/>
                      <w:lang w:val="en-US" w:eastAsia="zh-CN" w:bidi="ar"/>
                    </w:rPr>
                    <w:t>、废润滑油同</w:t>
                  </w:r>
                  <w:r>
                    <w:rPr>
                      <w:rFonts w:hint="default" w:ascii="Times New Roman" w:hAnsi="Times New Roman" w:eastAsia="宋体" w:cs="Times New Roman"/>
                      <w:i w:val="0"/>
                      <w:iCs w:val="0"/>
                      <w:color w:val="auto"/>
                      <w:kern w:val="0"/>
                      <w:sz w:val="21"/>
                      <w:szCs w:val="21"/>
                      <w:highlight w:val="none"/>
                      <w:u w:val="none"/>
                      <w:lang w:val="en-US" w:eastAsia="zh-CN" w:bidi="ar"/>
                    </w:rPr>
                    <w:t>等危险废物，建设单位依托现有的</w:t>
                  </w:r>
                  <w:r>
                    <w:rPr>
                      <w:rFonts w:hint="default" w:ascii="Times New Roman" w:hAnsi="Times New Roman" w:cs="Times New Roman"/>
                      <w:i w:val="0"/>
                      <w:iCs w:val="0"/>
                      <w:color w:val="auto"/>
                      <w:kern w:val="0"/>
                      <w:sz w:val="21"/>
                      <w:szCs w:val="21"/>
                      <w:highlight w:val="none"/>
                      <w:u w:val="none"/>
                      <w:lang w:val="en-US" w:eastAsia="zh-CN" w:bidi="ar"/>
                    </w:rPr>
                    <w:t>危废暂存点</w:t>
                  </w:r>
                  <w:r>
                    <w:rPr>
                      <w:rFonts w:hint="default" w:ascii="Times New Roman" w:hAnsi="Times New Roman" w:eastAsia="宋体" w:cs="Times New Roman"/>
                      <w:i w:val="0"/>
                      <w:iCs w:val="0"/>
                      <w:color w:val="auto"/>
                      <w:kern w:val="0"/>
                      <w:sz w:val="21"/>
                      <w:szCs w:val="21"/>
                      <w:highlight w:val="none"/>
                      <w:u w:val="none"/>
                      <w:lang w:val="en-US" w:eastAsia="zh-CN" w:bidi="ar"/>
                    </w:rPr>
                    <w:t>进行贮存，定期委托第</w:t>
                  </w:r>
                  <w:r>
                    <w:rPr>
                      <w:rFonts w:hint="eastAsia" w:ascii="Times New Roman" w:hAnsi="Times New Roman" w:cs="Times New Roman"/>
                      <w:i w:val="0"/>
                      <w:iCs w:val="0"/>
                      <w:color w:val="auto"/>
                      <w:kern w:val="0"/>
                      <w:sz w:val="21"/>
                      <w:szCs w:val="21"/>
                      <w:highlight w:val="none"/>
                      <w:u w:val="none"/>
                      <w:lang w:val="en-US" w:eastAsia="zh-CN" w:bidi="ar"/>
                    </w:rPr>
                    <w:t>资质单位</w:t>
                  </w:r>
                  <w:r>
                    <w:rPr>
                      <w:rFonts w:hint="default" w:ascii="Times New Roman" w:hAnsi="Times New Roman" w:eastAsia="宋体" w:cs="Times New Roman"/>
                      <w:i w:val="0"/>
                      <w:iCs w:val="0"/>
                      <w:color w:val="auto"/>
                      <w:kern w:val="0"/>
                      <w:sz w:val="21"/>
                      <w:szCs w:val="21"/>
                      <w:highlight w:val="none"/>
                      <w:u w:val="none"/>
                      <w:lang w:val="en-US" w:eastAsia="zh-CN" w:bidi="ar"/>
                    </w:rPr>
                    <w:t>进行处置。</w:t>
                  </w:r>
                </w:p>
                <w:p w14:paraId="7CD89689">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2.本项目不在饮用水水源保护区</w:t>
                  </w:r>
                </w:p>
              </w:tc>
              <w:tc>
                <w:tcPr>
                  <w:tcW w:w="666" w:type="dxa"/>
                  <w:tcBorders>
                    <w:tl2br w:val="nil"/>
                    <w:tr2bl w:val="nil"/>
                  </w:tcBorders>
                  <w:shd w:val="clear" w:color="auto" w:fill="auto"/>
                  <w:noWrap/>
                  <w:vAlign w:val="center"/>
                </w:tcPr>
                <w:p w14:paraId="2623C796">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符合</w:t>
                  </w:r>
                </w:p>
              </w:tc>
            </w:tr>
            <w:tr w14:paraId="0228E8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3" w:hRule="atLeast"/>
                <w:jc w:val="center"/>
              </w:trPr>
              <w:tc>
                <w:tcPr>
                  <w:tcW w:w="669" w:type="dxa"/>
                  <w:vMerge w:val="continue"/>
                  <w:tcBorders>
                    <w:tl2br w:val="nil"/>
                    <w:tr2bl w:val="nil"/>
                  </w:tcBorders>
                  <w:shd w:val="clear" w:color="auto" w:fill="auto"/>
                  <w:vAlign w:val="center"/>
                </w:tcPr>
                <w:p w14:paraId="29153EBE">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695" w:type="dxa"/>
                  <w:vMerge w:val="continue"/>
                  <w:tcBorders>
                    <w:tl2br w:val="nil"/>
                    <w:tr2bl w:val="nil"/>
                  </w:tcBorders>
                  <w:shd w:val="clear" w:color="auto" w:fill="auto"/>
                  <w:vAlign w:val="center"/>
                </w:tcPr>
                <w:p w14:paraId="48F19D4D">
                  <w:pPr>
                    <w:keepNext w:val="0"/>
                    <w:keepLines w:val="0"/>
                    <w:pageBreakBefore w:val="0"/>
                    <w:widowControl/>
                    <w:kinsoku/>
                    <w:wordWrap/>
                    <w:overflowPunct/>
                    <w:topLinePunct w:val="0"/>
                    <w:autoSpaceDE/>
                    <w:autoSpaceDN/>
                    <w:bidi w:val="0"/>
                    <w:adjustRightInd/>
                    <w:snapToGrid/>
                    <w:jc w:val="center"/>
                    <w:rPr>
                      <w:rFonts w:hint="default" w:ascii="Times New Roman" w:hAnsi="Times New Roman" w:eastAsia="宋体" w:cs="Times New Roman"/>
                      <w:i w:val="0"/>
                      <w:iCs w:val="0"/>
                      <w:color w:val="auto"/>
                      <w:sz w:val="21"/>
                      <w:szCs w:val="21"/>
                      <w:highlight w:val="none"/>
                      <w:u w:val="none"/>
                    </w:rPr>
                  </w:pPr>
                </w:p>
              </w:tc>
              <w:tc>
                <w:tcPr>
                  <w:tcW w:w="706" w:type="dxa"/>
                  <w:tcBorders>
                    <w:tl2br w:val="nil"/>
                    <w:tr2bl w:val="nil"/>
                  </w:tcBorders>
                  <w:shd w:val="clear" w:color="auto" w:fill="auto"/>
                  <w:vAlign w:val="center"/>
                </w:tcPr>
                <w:p w14:paraId="22651E6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资源开发效率要求</w:t>
                  </w:r>
                </w:p>
              </w:tc>
              <w:tc>
                <w:tcPr>
                  <w:tcW w:w="2354" w:type="dxa"/>
                  <w:tcBorders>
                    <w:tl2br w:val="nil"/>
                    <w:tr2bl w:val="nil"/>
                  </w:tcBorders>
                  <w:shd w:val="clear" w:color="auto" w:fill="auto"/>
                  <w:vAlign w:val="center"/>
                </w:tcPr>
                <w:p w14:paraId="167BF7E5">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禁燃区内禁止销售、燃用原煤、粉煤、各种可燃废物等高污染燃料；禁止新建、扩建燃用高污染燃料的设施，已建设成的，应当在规定的期限内改用清洁能源；严格控制引进高载能项目，禁止建设不符合国家和自治区环境保护标准的项目。</w:t>
                  </w:r>
                </w:p>
                <w:p w14:paraId="1439A50E">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2、加大城镇污水再生利用工程建设力度，推进区域再生水循环利用，到2025年，城市生活污水再生利用率力争达到60%。</w:t>
                  </w:r>
                </w:p>
              </w:tc>
              <w:tc>
                <w:tcPr>
                  <w:tcW w:w="1458" w:type="dxa"/>
                  <w:tcBorders>
                    <w:tl2br w:val="nil"/>
                    <w:tr2bl w:val="nil"/>
                  </w:tcBorders>
                  <w:shd w:val="clear" w:color="auto" w:fill="auto"/>
                  <w:vAlign w:val="center"/>
                </w:tcPr>
                <w:p w14:paraId="2B07CB14">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sz w:val="21"/>
                      <w:szCs w:val="21"/>
                      <w:highlight w:val="none"/>
                      <w:u w:val="none"/>
                      <w:lang w:val="en-US" w:eastAsia="zh-CN"/>
                    </w:rPr>
                    <w:t>1.</w:t>
                  </w:r>
                  <w:r>
                    <w:rPr>
                      <w:rFonts w:hint="default" w:ascii="Times New Roman" w:hAnsi="Times New Roman" w:eastAsia="宋体" w:cs="Times New Roman"/>
                      <w:color w:val="auto"/>
                      <w:sz w:val="21"/>
                      <w:szCs w:val="21"/>
                      <w:highlight w:val="none"/>
                      <w:lang w:val="en-US" w:eastAsia="zh-CN"/>
                    </w:rPr>
                    <w:t>项目区采用电锅炉采暖、供热，不建设</w:t>
                  </w:r>
                  <w:r>
                    <w:rPr>
                      <w:rFonts w:hint="default" w:ascii="Times New Roman" w:hAnsi="Times New Roman" w:eastAsia="宋体" w:cs="Times New Roman"/>
                      <w:i w:val="0"/>
                      <w:iCs w:val="0"/>
                      <w:color w:val="auto"/>
                      <w:kern w:val="0"/>
                      <w:sz w:val="21"/>
                      <w:szCs w:val="21"/>
                      <w:highlight w:val="none"/>
                      <w:u w:val="none"/>
                      <w:lang w:val="en-US" w:eastAsia="zh-CN" w:bidi="ar"/>
                    </w:rPr>
                    <w:t>燃煤锅炉。</w:t>
                  </w:r>
                </w:p>
                <w:p w14:paraId="7EA395E7">
                  <w:pPr>
                    <w:keepNext w:val="0"/>
                    <w:keepLines w:val="0"/>
                    <w:pageBreakBefore w:val="0"/>
                    <w:widowControl/>
                    <w:kinsoku/>
                    <w:wordWrap/>
                    <w:overflowPunct/>
                    <w:topLinePunct w:val="0"/>
                    <w:autoSpaceDE/>
                    <w:autoSpaceDN/>
                    <w:bidi w:val="0"/>
                    <w:adjustRightInd/>
                    <w:snapToGrid/>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2.本项目不涉及</w:t>
                  </w:r>
                  <w:r>
                    <w:rPr>
                      <w:rFonts w:hint="default" w:ascii="Times New Roman" w:hAnsi="Times New Roman" w:eastAsia="宋体" w:cs="Times New Roman"/>
                      <w:i w:val="0"/>
                      <w:iCs w:val="0"/>
                      <w:color w:val="auto"/>
                      <w:kern w:val="0"/>
                      <w:sz w:val="21"/>
                      <w:szCs w:val="21"/>
                      <w:highlight w:val="none"/>
                      <w:u w:val="none"/>
                      <w:lang w:val="en-US" w:eastAsia="zh-CN" w:bidi="ar"/>
                    </w:rPr>
                    <w:t>污水再生利用</w:t>
                  </w:r>
                  <w:r>
                    <w:rPr>
                      <w:rFonts w:hint="default" w:ascii="Times New Roman" w:hAnsi="Times New Roman" w:eastAsia="宋体" w:cs="Times New Roman"/>
                      <w:i w:val="0"/>
                      <w:iCs w:val="0"/>
                      <w:color w:val="auto"/>
                      <w:sz w:val="21"/>
                      <w:szCs w:val="21"/>
                      <w:highlight w:val="none"/>
                      <w:u w:val="none"/>
                      <w:lang w:val="en-US" w:eastAsia="zh-CN"/>
                    </w:rPr>
                    <w:t>。</w:t>
                  </w:r>
                </w:p>
              </w:tc>
              <w:tc>
                <w:tcPr>
                  <w:tcW w:w="666" w:type="dxa"/>
                  <w:tcBorders>
                    <w:tl2br w:val="nil"/>
                    <w:tr2bl w:val="nil"/>
                  </w:tcBorders>
                  <w:shd w:val="clear" w:color="auto" w:fill="auto"/>
                  <w:noWrap/>
                  <w:vAlign w:val="center"/>
                </w:tcPr>
                <w:p w14:paraId="7BC18337">
                  <w:pPr>
                    <w:keepNext w:val="0"/>
                    <w:keepLines w:val="0"/>
                    <w:pageBreakBefore w:val="0"/>
                    <w:widowControl/>
                    <w:suppressLineNumbers w:val="0"/>
                    <w:kinsoku/>
                    <w:wordWrap/>
                    <w:overflowPunct/>
                    <w:topLinePunct w:val="0"/>
                    <w:autoSpaceDE/>
                    <w:autoSpaceDN/>
                    <w:bidi w:val="0"/>
                    <w:adjustRightInd/>
                    <w:snapToGrid/>
                    <w:jc w:val="left"/>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符合</w:t>
                  </w:r>
                </w:p>
              </w:tc>
            </w:tr>
          </w:tbl>
          <w:p w14:paraId="7BB1E3DA">
            <w:pPr>
              <w:spacing w:line="360" w:lineRule="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5.与《关于进一步加强塑料污染治理的意见》（发改环资〔2020〕80号）符合性分析</w:t>
            </w:r>
          </w:p>
          <w:p w14:paraId="1D9893AF">
            <w:pPr>
              <w:spacing w:line="360" w:lineRule="auto"/>
              <w:ind w:firstLine="480" w:firstLineChars="200"/>
              <w:rPr>
                <w:rFonts w:hint="default" w:ascii="Times New Roman" w:hAnsi="Times New Roman" w:cs="Times New Roman"/>
                <w:b w:val="0"/>
                <w:bCs w:val="0"/>
                <w:color w:val="auto"/>
                <w:sz w:val="24"/>
                <w:highlight w:val="none"/>
                <w:lang w:val="en-US" w:eastAsia="zh-CN"/>
              </w:rPr>
            </w:pPr>
            <w:r>
              <w:rPr>
                <w:rFonts w:hint="default" w:ascii="Times New Roman" w:hAnsi="Times New Roman" w:cs="Times New Roman"/>
                <w:b w:val="0"/>
                <w:bCs w:val="0"/>
                <w:color w:val="auto"/>
                <w:sz w:val="24"/>
                <w:highlight w:val="none"/>
                <w:lang w:val="en-US" w:eastAsia="zh-CN"/>
              </w:rPr>
              <w:t>根据《关于进一步加强塑料污染治理的意见》要求：二、禁止、限制部分塑料制品的生产、销售和使用：（四）禁止生产、销售的塑料制品。禁止生产和销售厚度小于0.025毫米的超薄塑料购物袋、厚度小于0.01毫米的聚乙烯农用地膜。禁止以医疗废物为原料制造塑料制品。全面禁止废塑料进口。三、推广应用替代产品和模式：（八）增加绿色产品供给。塑料制品生产企业要严格执行有关法律法规，生产符合相关标准的塑料制品，不得违规添加对人体、环境的化学添加剂。推行绿色设计，提升塑料制品的安全性和回收利用性能。积极采用新型绿色环保功能材料，增加使用符合质量控制标准和用途管制要求的再生塑料，加强可循环、易回收、可降解替代材料和产品研发，降低应用成本，有效增加绿色产品供给。</w:t>
            </w:r>
          </w:p>
          <w:p w14:paraId="787DD7F8">
            <w:pPr>
              <w:spacing w:line="360" w:lineRule="auto"/>
              <w:ind w:firstLine="480"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val="0"/>
                <w:bCs w:val="0"/>
                <w:color w:val="auto"/>
                <w:sz w:val="24"/>
                <w:highlight w:val="none"/>
                <w:lang w:val="en-US" w:eastAsia="zh-CN"/>
              </w:rPr>
              <w:t>本项目购买聚乙烯颗粒新料生产地膜（厚度为0.05~0.08mm）。项目采用原料均为新料，不含医疗废物及进口废塑料。本项目生产的产品均符合相关产品质量标准要求，生产过程中不添加对人体、环境有害的添加剂。因此本项目的建设符合《关于进一步加强塑料污染治理的意见》（发改环资〔2020〕80号）要求。</w:t>
            </w:r>
          </w:p>
          <w:p w14:paraId="313E014E">
            <w:pPr>
              <w:spacing w:line="360" w:lineRule="auto"/>
              <w:ind w:firstLine="0" w:firstLineChars="0"/>
              <w:outlineLvl w:val="3"/>
              <w:rPr>
                <w:rFonts w:hint="default" w:ascii="Times New Roman" w:hAnsi="Times New Roman" w:eastAsia="宋体" w:cs="Times New Roman"/>
                <w:b/>
                <w:bCs/>
                <w:snapToGrid w:val="0"/>
                <w:color w:val="auto"/>
                <w:kern w:val="0"/>
                <w:sz w:val="24"/>
                <w:highlight w:val="none"/>
              </w:rPr>
            </w:pPr>
            <w:r>
              <w:rPr>
                <w:rFonts w:hint="default" w:ascii="Times New Roman" w:hAnsi="Times New Roman" w:cs="Times New Roman"/>
                <w:b/>
                <w:bCs/>
                <w:snapToGrid w:val="0"/>
                <w:color w:val="auto"/>
                <w:kern w:val="0"/>
                <w:sz w:val="24"/>
                <w:highlight w:val="none"/>
                <w:lang w:val="en-US" w:eastAsia="zh-CN"/>
              </w:rPr>
              <w:t>6.</w:t>
            </w:r>
            <w:r>
              <w:rPr>
                <w:rFonts w:hint="default" w:ascii="Times New Roman" w:hAnsi="Times New Roman" w:eastAsia="宋体" w:cs="Times New Roman"/>
                <w:b/>
                <w:bCs/>
                <w:snapToGrid w:val="0"/>
                <w:color w:val="auto"/>
                <w:kern w:val="0"/>
                <w:sz w:val="24"/>
                <w:highlight w:val="none"/>
              </w:rPr>
              <w:t>与《关于印发“十四五”塑料污染治理行动方案的通知》（发改环资〔2021〕1298号）符合性分析</w:t>
            </w:r>
          </w:p>
          <w:p w14:paraId="306F369A">
            <w:pPr>
              <w:widowControl w:val="0"/>
              <w:spacing w:after="0" w:afterLines="0" w:line="360" w:lineRule="auto"/>
              <w:ind w:firstLine="480" w:firstLineChars="200"/>
              <w:jc w:val="both"/>
              <w:rPr>
                <w:rFonts w:hint="default" w:ascii="Times New Roman" w:hAnsi="Times New Roman" w:eastAsia="宋体" w:cs="Times New Roman"/>
                <w:bCs/>
                <w:snapToGrid w:val="0"/>
                <w:color w:val="auto"/>
                <w:sz w:val="24"/>
                <w:szCs w:val="24"/>
                <w:highlight w:val="none"/>
                <w:lang w:val="en-US" w:eastAsia="zh-CN" w:bidi="ar-SA"/>
              </w:rPr>
            </w:pPr>
            <w:r>
              <w:rPr>
                <w:rFonts w:hint="default" w:ascii="Times New Roman" w:hAnsi="Times New Roman" w:eastAsia="宋体" w:cs="Times New Roman"/>
                <w:bCs/>
                <w:snapToGrid w:val="0"/>
                <w:color w:val="auto"/>
                <w:sz w:val="24"/>
                <w:szCs w:val="24"/>
                <w:highlight w:val="none"/>
                <w:lang w:val="en-US" w:eastAsia="zh-CN" w:bidi="ar-SA"/>
              </w:rPr>
              <w:t>本项目与《关于印发“十四五”塑料污染治理行动方案的通知》（发改环资〔2021〕1298号）符合情况见下表。</w:t>
            </w:r>
          </w:p>
          <w:p w14:paraId="7C917645">
            <w:pPr>
              <w:widowControl w:val="0"/>
              <w:spacing w:after="0" w:afterLines="0" w:line="240" w:lineRule="auto"/>
              <w:ind w:left="0" w:leftChars="0" w:firstLine="0" w:firstLineChars="0"/>
              <w:jc w:val="center"/>
              <w:rPr>
                <w:rFonts w:hint="default" w:ascii="Times New Roman" w:hAnsi="Times New Roman" w:eastAsia="宋体" w:cs="Times New Roman"/>
                <w:b/>
                <w:bCs w:val="0"/>
                <w:snapToGrid w:val="0"/>
                <w:color w:val="auto"/>
                <w:sz w:val="21"/>
                <w:szCs w:val="21"/>
                <w:highlight w:val="none"/>
                <w:lang w:val="en-US" w:eastAsia="zh-CN" w:bidi="ar-SA"/>
              </w:rPr>
            </w:pPr>
            <w:r>
              <w:rPr>
                <w:rFonts w:hint="default" w:ascii="Times New Roman" w:hAnsi="Times New Roman" w:eastAsia="宋体" w:cs="Times New Roman"/>
                <w:b/>
                <w:bCs w:val="0"/>
                <w:snapToGrid w:val="0"/>
                <w:color w:val="auto"/>
                <w:sz w:val="21"/>
                <w:szCs w:val="21"/>
                <w:highlight w:val="none"/>
                <w:lang w:val="en-US" w:eastAsia="zh-CN" w:bidi="ar-SA"/>
              </w:rPr>
              <w:t>表1</w:t>
            </w:r>
            <w:r>
              <w:rPr>
                <w:rFonts w:hint="eastAsia" w:ascii="Times New Roman" w:hAnsi="Times New Roman" w:cs="Times New Roman"/>
                <w:b/>
                <w:bCs w:val="0"/>
                <w:snapToGrid w:val="0"/>
                <w:color w:val="auto"/>
                <w:sz w:val="21"/>
                <w:szCs w:val="21"/>
                <w:highlight w:val="none"/>
                <w:lang w:val="en-US" w:eastAsia="zh-CN" w:bidi="ar-SA"/>
              </w:rPr>
              <w:t xml:space="preserve">-4   </w:t>
            </w:r>
            <w:r>
              <w:rPr>
                <w:rFonts w:hint="default" w:ascii="Times New Roman" w:hAnsi="Times New Roman" w:eastAsia="宋体" w:cs="Times New Roman"/>
                <w:b/>
                <w:bCs w:val="0"/>
                <w:snapToGrid w:val="0"/>
                <w:color w:val="auto"/>
                <w:sz w:val="21"/>
                <w:szCs w:val="21"/>
                <w:highlight w:val="none"/>
                <w:lang w:val="en-US" w:eastAsia="zh-CN" w:bidi="ar-SA"/>
              </w:rPr>
              <w:t>项目与《关于印发“十四五”塑料污染治理行动方案的通知》（发改环资〔2021〕1298号）符合情况</w:t>
            </w:r>
          </w:p>
          <w:tbl>
            <w:tblPr>
              <w:tblStyle w:val="24"/>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950"/>
              <w:gridCol w:w="1756"/>
              <w:gridCol w:w="713"/>
            </w:tblGrid>
            <w:tr w14:paraId="09B3B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Borders>
                    <w:tl2br w:val="nil"/>
                    <w:tr2bl w:val="nil"/>
                  </w:tcBorders>
                  <w:noWrap w:val="0"/>
                  <w:vAlign w:val="center"/>
                </w:tcPr>
                <w:p w14:paraId="2A65A98D">
                  <w:pPr>
                    <w:spacing w:line="240" w:lineRule="auto"/>
                    <w:ind w:firstLine="0" w:firstLineChars="0"/>
                    <w:jc w:val="center"/>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项目</w:t>
                  </w:r>
                </w:p>
              </w:tc>
              <w:tc>
                <w:tcPr>
                  <w:tcW w:w="2274" w:type="pct"/>
                  <w:tcBorders>
                    <w:tl2br w:val="nil"/>
                    <w:tr2bl w:val="nil"/>
                  </w:tcBorders>
                  <w:noWrap w:val="0"/>
                  <w:vAlign w:val="center"/>
                </w:tcPr>
                <w:p w14:paraId="11F70AED">
                  <w:pPr>
                    <w:spacing w:line="240" w:lineRule="auto"/>
                    <w:ind w:firstLine="0" w:firstLineChars="0"/>
                    <w:jc w:val="center"/>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《关于印发“十四五”塑料污染治理行动方案的通知》中要求</w:t>
                  </w:r>
                </w:p>
              </w:tc>
              <w:tc>
                <w:tcPr>
                  <w:tcW w:w="1353" w:type="pct"/>
                  <w:tcBorders>
                    <w:tl2br w:val="nil"/>
                    <w:tr2bl w:val="nil"/>
                  </w:tcBorders>
                  <w:noWrap w:val="0"/>
                  <w:vAlign w:val="center"/>
                </w:tcPr>
                <w:p w14:paraId="56D44FA2">
                  <w:pPr>
                    <w:spacing w:line="240" w:lineRule="auto"/>
                    <w:ind w:firstLine="0" w:firstLineChars="0"/>
                    <w:jc w:val="center"/>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本项目情况</w:t>
                  </w:r>
                </w:p>
              </w:tc>
              <w:tc>
                <w:tcPr>
                  <w:tcW w:w="549" w:type="pct"/>
                  <w:tcBorders>
                    <w:tl2br w:val="nil"/>
                    <w:tr2bl w:val="nil"/>
                  </w:tcBorders>
                  <w:noWrap w:val="0"/>
                  <w:vAlign w:val="center"/>
                </w:tcPr>
                <w:p w14:paraId="27B1F579">
                  <w:pPr>
                    <w:spacing w:line="240" w:lineRule="auto"/>
                    <w:ind w:firstLine="0" w:firstLineChars="0"/>
                    <w:jc w:val="center"/>
                    <w:rPr>
                      <w:rFonts w:hint="default" w:ascii="Times New Roman" w:hAnsi="Times New Roman" w:eastAsia="宋体" w:cs="Times New Roman"/>
                      <w:b/>
                      <w:bCs w:val="0"/>
                      <w:snapToGrid w:val="0"/>
                      <w:color w:val="auto"/>
                      <w:kern w:val="0"/>
                      <w:sz w:val="21"/>
                      <w:szCs w:val="21"/>
                      <w:highlight w:val="none"/>
                    </w:rPr>
                  </w:pPr>
                  <w:r>
                    <w:rPr>
                      <w:rFonts w:hint="default" w:ascii="Times New Roman" w:hAnsi="Times New Roman" w:eastAsia="宋体" w:cs="Times New Roman"/>
                      <w:b/>
                      <w:bCs w:val="0"/>
                      <w:snapToGrid w:val="0"/>
                      <w:color w:val="auto"/>
                      <w:kern w:val="0"/>
                      <w:sz w:val="21"/>
                      <w:szCs w:val="21"/>
                      <w:highlight w:val="none"/>
                    </w:rPr>
                    <w:t>符合性</w:t>
                  </w:r>
                </w:p>
              </w:tc>
            </w:tr>
            <w:tr w14:paraId="6342D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Borders>
                    <w:tl2br w:val="nil"/>
                    <w:tr2bl w:val="nil"/>
                  </w:tcBorders>
                  <w:noWrap w:val="0"/>
                  <w:vAlign w:val="center"/>
                </w:tcPr>
                <w:p w14:paraId="6EACDBB3">
                  <w:pPr>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积极推动塑料生产和使用源头减量</w:t>
                  </w:r>
                </w:p>
              </w:tc>
              <w:tc>
                <w:tcPr>
                  <w:tcW w:w="2274" w:type="pct"/>
                  <w:tcBorders>
                    <w:tl2br w:val="nil"/>
                    <w:tr2bl w:val="nil"/>
                  </w:tcBorders>
                  <w:noWrap w:val="0"/>
                  <w:vAlign w:val="center"/>
                </w:tcPr>
                <w:p w14:paraId="38F8F126">
                  <w:pPr>
                    <w:spacing w:line="240" w:lineRule="auto"/>
                    <w:ind w:firstLine="0" w:firstLineChars="0"/>
                    <w:rPr>
                      <w:rFonts w:hint="default" w:ascii="Times New Roman" w:hAnsi="Times New Roman" w:eastAsia="宋体" w:cs="Times New Roman"/>
                      <w:bCs/>
                      <w:snapToGrid w:val="0"/>
                      <w:color w:val="auto"/>
                      <w:kern w:val="0"/>
                      <w:sz w:val="21"/>
                      <w:szCs w:val="21"/>
                      <w:highlight w:val="none"/>
                      <w:lang w:eastAsia="zh-CN"/>
                    </w:rPr>
                  </w:pPr>
                  <w:r>
                    <w:rPr>
                      <w:rFonts w:hint="default" w:ascii="Times New Roman" w:hAnsi="Times New Roman" w:eastAsia="宋体" w:cs="Times New Roman"/>
                      <w:bCs/>
                      <w:snapToGrid w:val="0"/>
                      <w:color w:val="auto"/>
                      <w:kern w:val="0"/>
                      <w:sz w:val="21"/>
                      <w:szCs w:val="21"/>
                      <w:highlight w:val="none"/>
                    </w:rPr>
                    <w:t>禁止生产厚度小于0.025毫米的超薄塑料购物袋、厚度小于0.01毫米的聚乙烯农用地膜</w:t>
                  </w:r>
                  <w:r>
                    <w:rPr>
                      <w:rFonts w:hint="default" w:ascii="Times New Roman" w:hAnsi="Times New Roman" w:eastAsia="宋体" w:cs="Times New Roman"/>
                      <w:bCs/>
                      <w:snapToGrid w:val="0"/>
                      <w:color w:val="auto"/>
                      <w:kern w:val="0"/>
                      <w:sz w:val="21"/>
                      <w:szCs w:val="21"/>
                      <w:highlight w:val="none"/>
                      <w:lang w:eastAsia="zh-CN"/>
                    </w:rPr>
                    <w:t>、含塑料微珠日化产品等部分危害环境和人体健康的产品。</w:t>
                  </w:r>
                </w:p>
              </w:tc>
              <w:tc>
                <w:tcPr>
                  <w:tcW w:w="1353" w:type="pct"/>
                  <w:tcBorders>
                    <w:tl2br w:val="nil"/>
                    <w:tr2bl w:val="nil"/>
                  </w:tcBorders>
                  <w:noWrap w:val="0"/>
                  <w:vAlign w:val="center"/>
                </w:tcPr>
                <w:p w14:paraId="78126419">
                  <w:pPr>
                    <w:spacing w:line="240" w:lineRule="auto"/>
                    <w:ind w:firstLine="0" w:firstLineChars="0"/>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项目地膜厚度产品厚度规格在0.05~0.08mm，生产的滴灌带厚度大于0.2mm，不涉及</w:t>
                  </w:r>
                  <w:r>
                    <w:rPr>
                      <w:rFonts w:hint="default" w:ascii="Times New Roman" w:hAnsi="Times New Roman" w:eastAsia="宋体" w:cs="Times New Roman"/>
                      <w:bCs/>
                      <w:snapToGrid w:val="0"/>
                      <w:color w:val="auto"/>
                      <w:kern w:val="0"/>
                      <w:sz w:val="21"/>
                      <w:szCs w:val="21"/>
                      <w:highlight w:val="none"/>
                      <w:lang w:eastAsia="zh-CN"/>
                    </w:rPr>
                    <w:t>含塑料微珠日化产品等部分危害环境和人体健康的产品</w:t>
                  </w:r>
                </w:p>
              </w:tc>
              <w:tc>
                <w:tcPr>
                  <w:tcW w:w="549" w:type="pct"/>
                  <w:tcBorders>
                    <w:tl2br w:val="nil"/>
                    <w:tr2bl w:val="nil"/>
                  </w:tcBorders>
                  <w:noWrap w:val="0"/>
                  <w:vAlign w:val="center"/>
                </w:tcPr>
                <w:p w14:paraId="4F45FFFB">
                  <w:pPr>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符合</w:t>
                  </w:r>
                </w:p>
              </w:tc>
            </w:tr>
            <w:tr w14:paraId="56CD1C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Borders>
                    <w:tl2br w:val="nil"/>
                    <w:tr2bl w:val="nil"/>
                  </w:tcBorders>
                  <w:noWrap w:val="0"/>
                  <w:vAlign w:val="center"/>
                </w:tcPr>
                <w:p w14:paraId="4A8DF0A7">
                  <w:pPr>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持续推进一次性塑料制品使用减量</w:t>
                  </w:r>
                </w:p>
              </w:tc>
              <w:tc>
                <w:tcPr>
                  <w:tcW w:w="2274" w:type="pct"/>
                  <w:tcBorders>
                    <w:tl2br w:val="nil"/>
                    <w:tr2bl w:val="nil"/>
                  </w:tcBorders>
                  <w:noWrap w:val="0"/>
                  <w:vAlign w:val="center"/>
                </w:tcPr>
                <w:p w14:paraId="0CBC6D15">
                  <w:pPr>
                    <w:spacing w:line="240" w:lineRule="auto"/>
                    <w:ind w:firstLine="0" w:firstLineChars="0"/>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落实国家有关禁止、限制销售和使用部分塑料制品的规定。</w:t>
                  </w:r>
                </w:p>
              </w:tc>
              <w:tc>
                <w:tcPr>
                  <w:tcW w:w="1353" w:type="pct"/>
                  <w:tcBorders>
                    <w:tl2br w:val="nil"/>
                    <w:tr2bl w:val="nil"/>
                  </w:tcBorders>
                  <w:noWrap w:val="0"/>
                  <w:vAlign w:val="center"/>
                </w:tcPr>
                <w:p w14:paraId="4EEDE47D">
                  <w:pPr>
                    <w:spacing w:line="240" w:lineRule="auto"/>
                    <w:ind w:firstLine="0" w:firstLineChars="0"/>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本项目</w:t>
                  </w:r>
                  <w:r>
                    <w:rPr>
                      <w:rFonts w:hint="default" w:ascii="Times New Roman" w:hAnsi="Times New Roman" w:cs="Times New Roman"/>
                      <w:bCs/>
                      <w:snapToGrid w:val="0"/>
                      <w:color w:val="auto"/>
                      <w:kern w:val="0"/>
                      <w:sz w:val="21"/>
                      <w:szCs w:val="21"/>
                      <w:highlight w:val="none"/>
                      <w:lang w:val="en-US" w:eastAsia="zh-CN"/>
                    </w:rPr>
                    <w:t>不</w:t>
                  </w:r>
                  <w:r>
                    <w:rPr>
                      <w:rFonts w:hint="default" w:ascii="Times New Roman" w:hAnsi="Times New Roman" w:eastAsia="宋体" w:cs="Times New Roman"/>
                      <w:bCs/>
                      <w:snapToGrid w:val="0"/>
                      <w:color w:val="auto"/>
                      <w:kern w:val="0"/>
                      <w:sz w:val="21"/>
                      <w:szCs w:val="21"/>
                      <w:highlight w:val="none"/>
                      <w:lang w:val="en-US" w:eastAsia="zh-CN"/>
                    </w:rPr>
                    <w:t>回收废旧塑料，不涉及</w:t>
                  </w:r>
                  <w:r>
                    <w:rPr>
                      <w:rFonts w:hint="default" w:ascii="Times New Roman" w:hAnsi="Times New Roman" w:eastAsia="宋体" w:cs="Times New Roman"/>
                      <w:bCs/>
                      <w:snapToGrid w:val="0"/>
                      <w:color w:val="auto"/>
                      <w:kern w:val="0"/>
                      <w:sz w:val="21"/>
                      <w:szCs w:val="21"/>
                      <w:highlight w:val="none"/>
                    </w:rPr>
                    <w:t>国家有关禁止、限制销售和使用部分塑料制品</w:t>
                  </w:r>
                </w:p>
              </w:tc>
              <w:tc>
                <w:tcPr>
                  <w:tcW w:w="549" w:type="pct"/>
                  <w:tcBorders>
                    <w:tl2br w:val="nil"/>
                    <w:tr2bl w:val="nil"/>
                  </w:tcBorders>
                  <w:noWrap w:val="0"/>
                  <w:vAlign w:val="center"/>
                </w:tcPr>
                <w:p w14:paraId="303A4C35">
                  <w:pPr>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符合</w:t>
                  </w:r>
                </w:p>
              </w:tc>
            </w:tr>
            <w:tr w14:paraId="220BD0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Borders>
                    <w:tl2br w:val="nil"/>
                    <w:tr2bl w:val="nil"/>
                  </w:tcBorders>
                  <w:noWrap w:val="0"/>
                  <w:vAlign w:val="center"/>
                </w:tcPr>
                <w:p w14:paraId="4D79A793">
                  <w:pPr>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加强塑料废弃物规范回收和清运</w:t>
                  </w:r>
                </w:p>
              </w:tc>
              <w:tc>
                <w:tcPr>
                  <w:tcW w:w="2274" w:type="pct"/>
                  <w:tcBorders>
                    <w:tl2br w:val="nil"/>
                    <w:tr2bl w:val="nil"/>
                  </w:tcBorders>
                  <w:noWrap w:val="0"/>
                  <w:vAlign w:val="center"/>
                </w:tcPr>
                <w:p w14:paraId="06331F92">
                  <w:pPr>
                    <w:spacing w:line="240" w:lineRule="auto"/>
                    <w:ind w:firstLine="0" w:firstLineChars="0"/>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结合生活垃圾分类，推进城市再生资源回收网点与生活垃圾分类网点融合，在大型社区、写字楼、商场、医院、学校、场馆等地，合理布局生活垃圾分类收集设施设备，提高塑料废弃物收集转运效率，提升塑料废弃物回收规范化水平。</w:t>
                  </w:r>
                </w:p>
              </w:tc>
              <w:tc>
                <w:tcPr>
                  <w:tcW w:w="1353" w:type="pct"/>
                  <w:tcBorders>
                    <w:tl2br w:val="nil"/>
                    <w:tr2bl w:val="nil"/>
                  </w:tcBorders>
                  <w:noWrap w:val="0"/>
                  <w:vAlign w:val="center"/>
                </w:tcPr>
                <w:p w14:paraId="7E912931">
                  <w:pPr>
                    <w:spacing w:line="240" w:lineRule="auto"/>
                    <w:ind w:firstLine="0" w:firstLineChars="0"/>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本项目</w:t>
                  </w:r>
                  <w:r>
                    <w:rPr>
                      <w:rFonts w:hint="default" w:ascii="Times New Roman" w:hAnsi="Times New Roman" w:cs="Times New Roman"/>
                      <w:bCs/>
                      <w:snapToGrid w:val="0"/>
                      <w:color w:val="auto"/>
                      <w:kern w:val="0"/>
                      <w:sz w:val="21"/>
                      <w:szCs w:val="21"/>
                      <w:highlight w:val="none"/>
                      <w:lang w:val="en-US" w:eastAsia="zh-CN"/>
                    </w:rPr>
                    <w:t>不涉及</w:t>
                  </w:r>
                  <w:r>
                    <w:rPr>
                      <w:rFonts w:hint="default" w:ascii="Times New Roman" w:hAnsi="Times New Roman" w:eastAsia="宋体" w:cs="Times New Roman"/>
                      <w:bCs/>
                      <w:snapToGrid w:val="0"/>
                      <w:color w:val="auto"/>
                      <w:kern w:val="0"/>
                      <w:sz w:val="21"/>
                      <w:szCs w:val="21"/>
                      <w:highlight w:val="none"/>
                      <w:lang w:val="en-US" w:eastAsia="zh-CN"/>
                    </w:rPr>
                    <w:t>对废旧塑料进行回收利用</w:t>
                  </w:r>
                </w:p>
              </w:tc>
              <w:tc>
                <w:tcPr>
                  <w:tcW w:w="549" w:type="pct"/>
                  <w:tcBorders>
                    <w:tl2br w:val="nil"/>
                    <w:tr2bl w:val="nil"/>
                  </w:tcBorders>
                  <w:noWrap w:val="0"/>
                  <w:vAlign w:val="center"/>
                </w:tcPr>
                <w:p w14:paraId="0E5BDD59">
                  <w:pPr>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符合</w:t>
                  </w:r>
                </w:p>
              </w:tc>
            </w:tr>
            <w:tr w14:paraId="03F95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2" w:type="pct"/>
                  <w:tcBorders>
                    <w:tl2br w:val="nil"/>
                    <w:tr2bl w:val="nil"/>
                  </w:tcBorders>
                  <w:noWrap w:val="0"/>
                  <w:vAlign w:val="center"/>
                </w:tcPr>
                <w:p w14:paraId="2810F154">
                  <w:pPr>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建立完善农村塑料废弃物收运处置体系</w:t>
                  </w:r>
                </w:p>
              </w:tc>
              <w:tc>
                <w:tcPr>
                  <w:tcW w:w="2274" w:type="pct"/>
                  <w:tcBorders>
                    <w:tl2br w:val="nil"/>
                    <w:tr2bl w:val="nil"/>
                  </w:tcBorders>
                  <w:noWrap w:val="0"/>
                  <w:vAlign w:val="center"/>
                </w:tcPr>
                <w:p w14:paraId="58F5A745">
                  <w:pPr>
                    <w:spacing w:line="240" w:lineRule="auto"/>
                    <w:ind w:firstLine="0" w:firstLineChars="0"/>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深入实施农膜回收行动，继续开展农膜回收示范县建设，推广标准地膜应用，推动机械化捡拾、专业化回收和资源化利用。</w:t>
                  </w:r>
                </w:p>
              </w:tc>
              <w:tc>
                <w:tcPr>
                  <w:tcW w:w="1353" w:type="pct"/>
                  <w:tcBorders>
                    <w:tl2br w:val="nil"/>
                    <w:tr2bl w:val="nil"/>
                  </w:tcBorders>
                  <w:noWrap w:val="0"/>
                  <w:vAlign w:val="center"/>
                </w:tcPr>
                <w:p w14:paraId="4E5F7A0E">
                  <w:pPr>
                    <w:spacing w:line="240" w:lineRule="auto"/>
                    <w:ind w:firstLine="0" w:firstLineChars="0"/>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本项目</w:t>
                  </w:r>
                  <w:r>
                    <w:rPr>
                      <w:rFonts w:hint="default" w:ascii="Times New Roman" w:hAnsi="Times New Roman" w:cs="Times New Roman"/>
                      <w:bCs/>
                      <w:snapToGrid w:val="0"/>
                      <w:color w:val="auto"/>
                      <w:kern w:val="0"/>
                      <w:sz w:val="21"/>
                      <w:szCs w:val="21"/>
                      <w:highlight w:val="none"/>
                      <w:lang w:val="en-US" w:eastAsia="zh-CN"/>
                    </w:rPr>
                    <w:t>为扩建项目，项目建设使用新料进行生产，建设单位已建设1条造粒生产线，可以回收废旧地膜，回收的废旧地膜用于造粒</w:t>
                  </w:r>
                  <w:r>
                    <w:rPr>
                      <w:rFonts w:hint="default" w:ascii="Times New Roman" w:hAnsi="Times New Roman" w:eastAsia="宋体" w:cs="Times New Roman"/>
                      <w:bCs/>
                      <w:snapToGrid w:val="0"/>
                      <w:color w:val="auto"/>
                      <w:kern w:val="0"/>
                      <w:sz w:val="21"/>
                      <w:szCs w:val="21"/>
                      <w:highlight w:val="none"/>
                      <w:lang w:val="en-US" w:eastAsia="zh-CN"/>
                    </w:rPr>
                    <w:t>，</w:t>
                  </w:r>
                  <w:r>
                    <w:rPr>
                      <w:rFonts w:hint="default" w:ascii="Times New Roman" w:hAnsi="Times New Roman" w:cs="Times New Roman"/>
                      <w:bCs/>
                      <w:snapToGrid w:val="0"/>
                      <w:color w:val="auto"/>
                      <w:kern w:val="0"/>
                      <w:sz w:val="21"/>
                      <w:szCs w:val="21"/>
                      <w:highlight w:val="none"/>
                      <w:lang w:val="en-US" w:eastAsia="zh-CN"/>
                    </w:rPr>
                    <w:t>生产的颗粒用于滴灌带的生产，不作为地膜生产的原料本项目的原料。</w:t>
                  </w:r>
                </w:p>
              </w:tc>
              <w:tc>
                <w:tcPr>
                  <w:tcW w:w="549" w:type="pct"/>
                  <w:tcBorders>
                    <w:tl2br w:val="nil"/>
                    <w:tr2bl w:val="nil"/>
                  </w:tcBorders>
                  <w:noWrap w:val="0"/>
                  <w:vAlign w:val="center"/>
                </w:tcPr>
                <w:p w14:paraId="4666724F">
                  <w:pPr>
                    <w:spacing w:line="240" w:lineRule="auto"/>
                    <w:ind w:firstLine="0" w:firstLineChars="0"/>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符合</w:t>
                  </w:r>
                </w:p>
              </w:tc>
            </w:tr>
          </w:tbl>
          <w:p w14:paraId="060EB9F7">
            <w:pPr>
              <w:spacing w:line="360" w:lineRule="auto"/>
              <w:rPr>
                <w:rFonts w:hint="default" w:ascii="Times New Roman" w:hAnsi="Times New Roman" w:cs="Times New Roman"/>
                <w:b/>
                <w:bCs/>
                <w:color w:val="auto"/>
                <w:sz w:val="24"/>
                <w:highlight w:val="none"/>
                <w:lang w:val="en-US" w:eastAsia="zh-CN"/>
              </w:rPr>
            </w:pPr>
          </w:p>
          <w:p w14:paraId="7CD5DFFC">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7"/>
                <w:sz w:val="24"/>
                <w:szCs w:val="24"/>
                <w:highlight w:val="none"/>
                <w:lang w:val="en-US" w:eastAsia="zh-CN"/>
              </w:rPr>
              <w:t>7.</w:t>
            </w:r>
            <w:r>
              <w:rPr>
                <w:rFonts w:hint="default" w:ascii="Times New Roman" w:hAnsi="Times New Roman" w:eastAsia="宋体" w:cs="Times New Roman"/>
                <w:b/>
                <w:bCs/>
                <w:color w:val="auto"/>
                <w:spacing w:val="-7"/>
                <w:sz w:val="24"/>
                <w:szCs w:val="24"/>
                <w:highlight w:val="none"/>
              </w:rPr>
              <w:t>与《新疆维吾尔自治区生态环境保护“十四五”规</w:t>
            </w:r>
            <w:r>
              <w:rPr>
                <w:rFonts w:hint="default" w:ascii="Times New Roman" w:hAnsi="Times New Roman" w:eastAsia="宋体" w:cs="Times New Roman"/>
                <w:b/>
                <w:bCs/>
                <w:color w:val="auto"/>
                <w:spacing w:val="-4"/>
                <w:sz w:val="24"/>
                <w:szCs w:val="24"/>
                <w:highlight w:val="none"/>
              </w:rPr>
              <w:t>划》符合性分析</w:t>
            </w:r>
          </w:p>
          <w:p w14:paraId="7A2A67B3">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根据自治区党委、自治区人民政府印发《新疆生态环境</w:t>
            </w:r>
            <w:r>
              <w:rPr>
                <w:rFonts w:hint="default" w:ascii="Times New Roman" w:hAnsi="Times New Roman" w:eastAsia="宋体" w:cs="Times New Roman"/>
                <w:color w:val="auto"/>
                <w:spacing w:val="-2"/>
                <w:sz w:val="24"/>
                <w:szCs w:val="24"/>
                <w:highlight w:val="none"/>
              </w:rPr>
              <w:t>保护“十四五”规划》相关内容：</w:t>
            </w:r>
          </w:p>
          <w:p w14:paraId="41A7AF35">
            <w:pPr>
              <w:keepNext w:val="0"/>
              <w:keepLines w:val="0"/>
              <w:pageBreakBefore w:val="0"/>
              <w:widowControl w:val="0"/>
              <w:kinsoku/>
              <w:wordWrap/>
              <w:overflowPunct/>
              <w:topLinePunct w:val="0"/>
              <w:autoSpaceDE/>
              <w:autoSpaceDN/>
              <w:bidi w:val="0"/>
              <w:adjustRightInd/>
              <w:snapToGrid/>
              <w:spacing w:line="360" w:lineRule="auto"/>
              <w:ind w:left="0" w:right="0" w:firstLine="48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“加强重点行业</w:t>
            </w:r>
            <w:r>
              <w:rPr>
                <w:rFonts w:hint="default" w:ascii="Times New Roman" w:hAnsi="Times New Roman" w:eastAsia="宋体" w:cs="Times New Roman"/>
                <w:color w:val="auto"/>
                <w:sz w:val="24"/>
                <w:szCs w:val="24"/>
                <w:highlight w:val="none"/>
                <w:lang w:eastAsia="zh-CN"/>
              </w:rPr>
              <w:t>VOCs（以非甲烷总烃计）</w:t>
            </w:r>
            <w:r>
              <w:rPr>
                <w:rFonts w:hint="default" w:ascii="Times New Roman" w:hAnsi="Times New Roman" w:eastAsia="宋体" w:cs="Times New Roman"/>
                <w:color w:val="auto"/>
                <w:spacing w:val="2"/>
                <w:sz w:val="24"/>
                <w:szCs w:val="24"/>
                <w:highlight w:val="none"/>
              </w:rPr>
              <w:t>治理。实施</w:t>
            </w:r>
            <w:r>
              <w:rPr>
                <w:rFonts w:hint="default" w:ascii="Times New Roman" w:hAnsi="Times New Roman" w:eastAsia="宋体" w:cs="Times New Roman"/>
                <w:color w:val="auto"/>
                <w:sz w:val="24"/>
                <w:szCs w:val="24"/>
                <w:highlight w:val="none"/>
                <w:lang w:eastAsia="zh-CN"/>
              </w:rPr>
              <w:t>VOCs（以非甲烷总烃计）</w:t>
            </w:r>
            <w:r>
              <w:rPr>
                <w:rFonts w:hint="default" w:ascii="Times New Roman" w:hAnsi="Times New Roman" w:eastAsia="宋体" w:cs="Times New Roman"/>
                <w:color w:val="auto"/>
                <w:spacing w:val="2"/>
                <w:sz w:val="24"/>
                <w:szCs w:val="24"/>
                <w:highlight w:val="none"/>
              </w:rPr>
              <w:t>排放总量控制，</w:t>
            </w:r>
            <w:r>
              <w:rPr>
                <w:rFonts w:hint="default" w:ascii="Times New Roman" w:hAnsi="Times New Roman" w:eastAsia="宋体" w:cs="Times New Roman"/>
                <w:color w:val="auto"/>
                <w:spacing w:val="1"/>
                <w:sz w:val="24"/>
                <w:szCs w:val="24"/>
                <w:highlight w:val="none"/>
              </w:rPr>
              <w:t>重点推进石油天然气开采、石化、化工、包装印刷、工业涂</w:t>
            </w:r>
            <w:r>
              <w:rPr>
                <w:rFonts w:hint="default" w:ascii="Times New Roman" w:hAnsi="Times New Roman" w:eastAsia="宋体" w:cs="Times New Roman"/>
                <w:color w:val="auto"/>
                <w:spacing w:val="-3"/>
                <w:sz w:val="24"/>
                <w:szCs w:val="24"/>
                <w:highlight w:val="none"/>
              </w:rPr>
              <w:t>装、油品储运销等重点行业排放源以及机动车等移动</w:t>
            </w:r>
            <w:r>
              <w:rPr>
                <w:rFonts w:hint="default" w:ascii="Times New Roman" w:hAnsi="Times New Roman" w:eastAsia="宋体" w:cs="Times New Roman"/>
                <w:color w:val="auto"/>
                <w:spacing w:val="-4"/>
                <w:sz w:val="24"/>
                <w:szCs w:val="24"/>
                <w:highlight w:val="none"/>
              </w:rPr>
              <w:t>源</w:t>
            </w:r>
            <w:r>
              <w:rPr>
                <w:rFonts w:hint="default" w:ascii="Times New Roman" w:hAnsi="Times New Roman" w:eastAsia="宋体" w:cs="Times New Roman"/>
                <w:color w:val="auto"/>
                <w:spacing w:val="-4"/>
                <w:sz w:val="24"/>
                <w:szCs w:val="24"/>
                <w:highlight w:val="none"/>
                <w:lang w:eastAsia="zh-CN"/>
              </w:rPr>
              <w:t>VOCs（以非甲烷总烃计）</w:t>
            </w:r>
            <w:r>
              <w:rPr>
                <w:rFonts w:hint="default" w:ascii="Times New Roman" w:hAnsi="Times New Roman" w:eastAsia="宋体" w:cs="Times New Roman"/>
                <w:color w:val="auto"/>
                <w:spacing w:val="1"/>
                <w:sz w:val="24"/>
                <w:szCs w:val="24"/>
                <w:highlight w:val="none"/>
              </w:rPr>
              <w:t>污染防治，加强重点行业、重点企业的精细化管控；全面推</w:t>
            </w:r>
            <w:r>
              <w:rPr>
                <w:rFonts w:hint="default" w:ascii="Times New Roman" w:hAnsi="Times New Roman" w:eastAsia="宋体" w:cs="Times New Roman"/>
                <w:color w:val="auto"/>
                <w:spacing w:val="-3"/>
                <w:sz w:val="24"/>
                <w:szCs w:val="24"/>
                <w:highlight w:val="none"/>
              </w:rPr>
              <w:t>进使用低</w:t>
            </w:r>
            <w:r>
              <w:rPr>
                <w:rFonts w:hint="default" w:ascii="Times New Roman" w:hAnsi="Times New Roman" w:eastAsia="宋体" w:cs="Times New Roman"/>
                <w:color w:val="auto"/>
                <w:spacing w:val="-3"/>
                <w:sz w:val="24"/>
                <w:szCs w:val="24"/>
                <w:highlight w:val="none"/>
                <w:lang w:eastAsia="zh-CN"/>
              </w:rPr>
              <w:t>VOCs（以非甲烷总烃计）</w:t>
            </w:r>
            <w:r>
              <w:rPr>
                <w:rFonts w:hint="default" w:ascii="Times New Roman" w:hAnsi="Times New Roman" w:eastAsia="宋体" w:cs="Times New Roman"/>
                <w:color w:val="auto"/>
                <w:spacing w:val="-3"/>
                <w:sz w:val="24"/>
                <w:szCs w:val="24"/>
                <w:highlight w:val="none"/>
              </w:rPr>
              <w:t>含量涂料、油墨、胶粘剂、清洗剂等；加</w:t>
            </w:r>
            <w:r>
              <w:rPr>
                <w:rFonts w:hint="default" w:ascii="Times New Roman" w:hAnsi="Times New Roman" w:eastAsia="宋体" w:cs="Times New Roman"/>
                <w:color w:val="auto"/>
                <w:spacing w:val="-4"/>
                <w:sz w:val="24"/>
                <w:szCs w:val="24"/>
                <w:highlight w:val="none"/>
              </w:rPr>
              <w:t>强汽</w:t>
            </w:r>
            <w:r>
              <w:rPr>
                <w:rFonts w:hint="default" w:ascii="Times New Roman" w:hAnsi="Times New Roman" w:eastAsia="宋体" w:cs="Times New Roman"/>
                <w:color w:val="auto"/>
                <w:spacing w:val="-3"/>
                <w:sz w:val="24"/>
                <w:szCs w:val="24"/>
                <w:highlight w:val="none"/>
              </w:rPr>
              <w:t>修行业</w:t>
            </w:r>
            <w:r>
              <w:rPr>
                <w:rFonts w:hint="default" w:ascii="Times New Roman" w:hAnsi="Times New Roman" w:eastAsia="宋体" w:cs="Times New Roman"/>
                <w:color w:val="auto"/>
                <w:spacing w:val="-3"/>
                <w:sz w:val="24"/>
                <w:szCs w:val="24"/>
                <w:highlight w:val="none"/>
                <w:lang w:eastAsia="zh-CN"/>
              </w:rPr>
              <w:t>VOCs（以非甲烷总烃计）</w:t>
            </w:r>
            <w:r>
              <w:rPr>
                <w:rFonts w:hint="default" w:ascii="Times New Roman" w:hAnsi="Times New Roman" w:eastAsia="宋体" w:cs="Times New Roman"/>
                <w:color w:val="auto"/>
                <w:spacing w:val="-3"/>
                <w:sz w:val="24"/>
                <w:szCs w:val="24"/>
                <w:highlight w:val="none"/>
              </w:rPr>
              <w:t>综合治理，加大餐饮油烟污染治理力度，持</w:t>
            </w:r>
            <w:r>
              <w:rPr>
                <w:rFonts w:hint="default" w:ascii="Times New Roman" w:hAnsi="Times New Roman" w:eastAsia="宋体" w:cs="Times New Roman"/>
                <w:color w:val="auto"/>
                <w:spacing w:val="-4"/>
                <w:sz w:val="24"/>
                <w:szCs w:val="24"/>
                <w:highlight w:val="none"/>
              </w:rPr>
              <w:t>续削</w:t>
            </w:r>
            <w:r>
              <w:rPr>
                <w:rFonts w:hint="default" w:ascii="Times New Roman" w:hAnsi="Times New Roman" w:eastAsia="宋体" w:cs="Times New Roman"/>
                <w:color w:val="auto"/>
                <w:spacing w:val="10"/>
                <w:sz w:val="24"/>
                <w:szCs w:val="24"/>
                <w:highlight w:val="none"/>
              </w:rPr>
              <w:t>减</w:t>
            </w:r>
            <w:r>
              <w:rPr>
                <w:rFonts w:hint="default" w:ascii="Times New Roman" w:hAnsi="Times New Roman" w:eastAsia="宋体" w:cs="Times New Roman"/>
                <w:color w:val="auto"/>
                <w:sz w:val="24"/>
                <w:szCs w:val="24"/>
                <w:highlight w:val="none"/>
                <w:lang w:eastAsia="zh-CN"/>
              </w:rPr>
              <w:t>VOCs（以非甲烷总烃计）</w:t>
            </w:r>
            <w:r>
              <w:rPr>
                <w:rFonts w:hint="default" w:ascii="Times New Roman" w:hAnsi="Times New Roman" w:eastAsia="宋体" w:cs="Times New Roman"/>
                <w:color w:val="auto"/>
                <w:spacing w:val="10"/>
                <w:sz w:val="24"/>
                <w:szCs w:val="24"/>
                <w:highlight w:val="none"/>
              </w:rPr>
              <w:t>排放量。”</w:t>
            </w:r>
          </w:p>
          <w:p w14:paraId="37B46B8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lang w:val="en-US" w:eastAsia="zh-CN"/>
              </w:rPr>
              <w:t>项目运营期会产生挥发性有机物，产生的挥发性有机物</w:t>
            </w:r>
            <w:r>
              <w:rPr>
                <w:rFonts w:hint="default" w:ascii="Times New Roman" w:hAnsi="Times New Roman" w:cs="Times New Roman"/>
                <w:color w:val="auto"/>
                <w:sz w:val="24"/>
                <w:highlight w:val="none"/>
              </w:rPr>
              <w:t>经集气罩收集后通过</w:t>
            </w:r>
            <w:r>
              <w:rPr>
                <w:rFonts w:hint="default" w:ascii="Times New Roman" w:hAnsi="Times New Roman" w:cs="Times New Roman"/>
                <w:color w:val="auto"/>
                <w:sz w:val="24"/>
                <w:highlight w:val="none"/>
                <w:lang w:val="en-US" w:eastAsia="zh-CN"/>
              </w:rPr>
              <w:t>活性炭吸附脱附+催化燃烧装置</w:t>
            </w:r>
            <w:r>
              <w:rPr>
                <w:rFonts w:hint="default" w:ascii="Times New Roman" w:hAnsi="Times New Roman" w:cs="Times New Roman"/>
                <w:color w:val="auto"/>
                <w:sz w:val="24"/>
                <w:highlight w:val="none"/>
              </w:rPr>
              <w:t>处理后由15m高排气筒达标排放</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pacing w:val="1"/>
                <w:sz w:val="24"/>
                <w:szCs w:val="24"/>
                <w:highlight w:val="none"/>
              </w:rPr>
              <w:t>环保设施治理后均能达标排放，对环境造</w:t>
            </w:r>
            <w:r>
              <w:rPr>
                <w:rFonts w:hint="default" w:ascii="Times New Roman" w:hAnsi="Times New Roman" w:eastAsia="宋体" w:cs="Times New Roman"/>
                <w:color w:val="auto"/>
                <w:spacing w:val="-5"/>
                <w:sz w:val="24"/>
                <w:szCs w:val="24"/>
                <w:highlight w:val="none"/>
              </w:rPr>
              <w:t>成的影响程度很小，本项目符合《新疆维吾尔自治区</w:t>
            </w:r>
            <w:r>
              <w:rPr>
                <w:rFonts w:hint="default" w:ascii="Times New Roman" w:hAnsi="Times New Roman" w:eastAsia="Times New Roman" w:cs="Times New Roman"/>
                <w:color w:val="auto"/>
                <w:spacing w:val="-5"/>
                <w:sz w:val="24"/>
                <w:szCs w:val="24"/>
                <w:highlight w:val="none"/>
              </w:rPr>
              <w:t>“</w:t>
            </w:r>
            <w:r>
              <w:rPr>
                <w:rFonts w:hint="default" w:ascii="Times New Roman" w:hAnsi="Times New Roman" w:eastAsia="宋体" w:cs="Times New Roman"/>
                <w:color w:val="auto"/>
                <w:spacing w:val="-5"/>
                <w:sz w:val="24"/>
                <w:szCs w:val="24"/>
                <w:highlight w:val="none"/>
              </w:rPr>
              <w:t>十四五</w:t>
            </w:r>
            <w:r>
              <w:rPr>
                <w:rFonts w:hint="default" w:ascii="Times New Roman" w:hAnsi="Times New Roman" w:eastAsia="Times New Roman" w:cs="Times New Roman"/>
                <w:color w:val="auto"/>
                <w:spacing w:val="-5"/>
                <w:sz w:val="24"/>
                <w:szCs w:val="24"/>
                <w:highlight w:val="none"/>
              </w:rPr>
              <w:t>”</w:t>
            </w:r>
            <w:r>
              <w:rPr>
                <w:rFonts w:hint="default" w:ascii="Times New Roman" w:hAnsi="Times New Roman" w:eastAsia="宋体" w:cs="Times New Roman"/>
                <w:color w:val="auto"/>
                <w:spacing w:val="-1"/>
                <w:sz w:val="24"/>
                <w:szCs w:val="24"/>
                <w:highlight w:val="none"/>
              </w:rPr>
              <w:t>生态环境保护规划》的相关要求。</w:t>
            </w:r>
          </w:p>
          <w:p w14:paraId="4EC0F993">
            <w:pPr>
              <w:keepNext w:val="0"/>
              <w:keepLines w:val="0"/>
              <w:pageBreakBefore w:val="0"/>
              <w:widowControl w:val="0"/>
              <w:kinsoku/>
              <w:wordWrap/>
              <w:overflowPunct/>
              <w:topLinePunct w:val="0"/>
              <w:autoSpaceDE/>
              <w:autoSpaceDN/>
              <w:bidi w:val="0"/>
              <w:adjustRightInd/>
              <w:snapToGrid/>
              <w:spacing w:line="360" w:lineRule="auto"/>
              <w:ind w:right="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pacing w:val="-7"/>
                <w:sz w:val="24"/>
                <w:szCs w:val="24"/>
                <w:highlight w:val="none"/>
                <w:lang w:val="en-US" w:eastAsia="zh-CN"/>
              </w:rPr>
              <w:t>8.</w:t>
            </w:r>
            <w:r>
              <w:rPr>
                <w:rFonts w:hint="default" w:ascii="Times New Roman" w:hAnsi="Times New Roman" w:eastAsia="宋体" w:cs="Times New Roman"/>
                <w:b/>
                <w:bCs/>
                <w:color w:val="auto"/>
                <w:spacing w:val="-7"/>
                <w:sz w:val="24"/>
                <w:szCs w:val="24"/>
                <w:highlight w:val="none"/>
              </w:rPr>
              <w:t>与《新疆维吾尔自治区大气污染防治条例》符合性</w:t>
            </w:r>
            <w:r>
              <w:rPr>
                <w:rFonts w:hint="default" w:ascii="Times New Roman" w:hAnsi="Times New Roman" w:eastAsia="宋体" w:cs="Times New Roman"/>
                <w:b/>
                <w:bCs/>
                <w:color w:val="auto"/>
                <w:spacing w:val="-9"/>
                <w:sz w:val="24"/>
                <w:szCs w:val="24"/>
                <w:highlight w:val="none"/>
              </w:rPr>
              <w:t>分析</w:t>
            </w:r>
          </w:p>
          <w:p w14:paraId="7CBBE842">
            <w:pPr>
              <w:keepNext w:val="0"/>
              <w:keepLines w:val="0"/>
              <w:pageBreakBefore w:val="0"/>
              <w:widowControl w:val="0"/>
              <w:kinsoku/>
              <w:wordWrap/>
              <w:overflowPunct/>
              <w:topLinePunct w:val="0"/>
              <w:autoSpaceDE/>
              <w:autoSpaceDN/>
              <w:bidi w:val="0"/>
              <w:adjustRightInd/>
              <w:snapToGrid/>
              <w:spacing w:line="360" w:lineRule="auto"/>
              <w:ind w:left="0" w:right="0" w:firstLine="456"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根据《新疆维吾尔自治区大气污染防治条例》相关要求：</w:t>
            </w:r>
            <w:r>
              <w:rPr>
                <w:rFonts w:hint="default" w:ascii="Times New Roman" w:hAnsi="Times New Roman" w:eastAsia="宋体" w:cs="Times New Roman"/>
                <w:color w:val="auto"/>
                <w:sz w:val="24"/>
                <w:szCs w:val="24"/>
                <w:highlight w:val="none"/>
              </w:rPr>
              <w:t>“各级人民政府应当实行煤炭消费总量控制制度，采取有利于煤炭消费总量削减的经济、技术政策和措施，鼓励和支持清洁能源的开发利用，引导企业开展清洁能源替代，减少煤炭生产、使用、转化过程中的大气污染物排放</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14:paraId="1D9DCA71">
            <w:pPr>
              <w:keepNext w:val="0"/>
              <w:keepLines w:val="0"/>
              <w:pageBreakBefore w:val="0"/>
              <w:widowControl w:val="0"/>
              <w:kinsoku/>
              <w:wordWrap/>
              <w:overflowPunct/>
              <w:topLinePunct w:val="0"/>
              <w:autoSpaceDE/>
              <w:autoSpaceDN/>
              <w:bidi w:val="0"/>
              <w:adjustRightInd/>
              <w:snapToGrid/>
              <w:spacing w:line="360" w:lineRule="auto"/>
              <w:ind w:left="0" w:right="0" w:firstLine="476" w:firstLineChars="200"/>
              <w:jc w:val="both"/>
              <w:textAlignment w:val="auto"/>
              <w:rPr>
                <w:rFonts w:hint="default" w:ascii="Times New Roman" w:hAnsi="Times New Roman" w:eastAsia="Times New Roman"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rPr>
              <w:t>禁止在自治区行政区域内引进能（水）耗不符合相关国家标准中准入值要求且污染物排放和环境风险防控不符合国家（地方）标准及有关产业准入条件的高污染（排放）、高能（水）耗、高环境风险的工业项目。禁止新建、改建、扩建列入淘汰类目录的高污染工业项目。禁止使用列入淘汰类</w:t>
            </w:r>
            <w:r>
              <w:rPr>
                <w:rFonts w:hint="default" w:ascii="Times New Roman" w:hAnsi="Times New Roman" w:eastAsia="宋体" w:cs="Times New Roman"/>
                <w:color w:val="auto"/>
                <w:spacing w:val="3"/>
                <w:sz w:val="24"/>
                <w:szCs w:val="24"/>
                <w:highlight w:val="none"/>
              </w:rPr>
              <w:t>目录的工艺、设备、产品。</w:t>
            </w:r>
            <w:r>
              <w:rPr>
                <w:rFonts w:hint="default" w:ascii="Times New Roman" w:hAnsi="Times New Roman" w:eastAsia="Times New Roman" w:cs="Times New Roman"/>
                <w:color w:val="auto"/>
                <w:spacing w:val="3"/>
                <w:sz w:val="24"/>
                <w:szCs w:val="24"/>
                <w:highlight w:val="none"/>
              </w:rPr>
              <w:t>”</w:t>
            </w:r>
          </w:p>
          <w:p w14:paraId="0D1A5FF6">
            <w:pPr>
              <w:keepNext w:val="0"/>
              <w:keepLines w:val="0"/>
              <w:pageBreakBefore w:val="0"/>
              <w:widowControl w:val="0"/>
              <w:kinsoku/>
              <w:wordWrap/>
              <w:overflowPunct/>
              <w:topLinePunct w:val="0"/>
              <w:autoSpaceDE/>
              <w:autoSpaceDN/>
              <w:bidi w:val="0"/>
              <w:adjustRightInd/>
              <w:snapToGrid/>
              <w:spacing w:line="360" w:lineRule="auto"/>
              <w:ind w:left="0" w:right="0" w:firstLine="47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“自治区人民政府工业和信息化、发展和改革、生态环</w:t>
            </w:r>
            <w:r>
              <w:rPr>
                <w:rFonts w:hint="default" w:ascii="Times New Roman" w:hAnsi="Times New Roman" w:eastAsia="宋体" w:cs="Times New Roman"/>
                <w:color w:val="auto"/>
                <w:spacing w:val="-1"/>
                <w:sz w:val="24"/>
                <w:szCs w:val="24"/>
                <w:highlight w:val="none"/>
              </w:rPr>
              <w:t>境等部门制定产业结构调整目录时，应当将严重污染大气的</w:t>
            </w:r>
            <w:r>
              <w:rPr>
                <w:rFonts w:hint="default" w:ascii="Times New Roman" w:hAnsi="Times New Roman" w:eastAsia="宋体" w:cs="Times New Roman"/>
                <w:color w:val="auto"/>
                <w:sz w:val="24"/>
                <w:szCs w:val="24"/>
                <w:highlight w:val="none"/>
              </w:rPr>
              <w:t>工艺、设备、产品列入淘汰目录。州、市（地）、县（市、</w:t>
            </w:r>
            <w:r>
              <w:rPr>
                <w:rFonts w:hint="default" w:ascii="Times New Roman" w:hAnsi="Times New Roman" w:eastAsia="宋体" w:cs="Times New Roman"/>
                <w:color w:val="auto"/>
                <w:spacing w:val="-1"/>
                <w:sz w:val="24"/>
                <w:szCs w:val="24"/>
                <w:highlight w:val="none"/>
              </w:rPr>
              <w:t>区）人民政府（行政公署）应当组织制定现有高污染工业</w:t>
            </w:r>
            <w:r>
              <w:rPr>
                <w:rFonts w:hint="default" w:ascii="Times New Roman" w:hAnsi="Times New Roman" w:cs="Times New Roman"/>
                <w:color w:val="auto"/>
                <w:spacing w:val="-1"/>
                <w:sz w:val="24"/>
                <w:szCs w:val="24"/>
                <w:highlight w:val="none"/>
                <w:lang w:eastAsia="zh-CN"/>
              </w:rPr>
              <w:t>项目核准</w:t>
            </w:r>
            <w:r>
              <w:rPr>
                <w:rFonts w:hint="default" w:ascii="Times New Roman" w:hAnsi="Times New Roman" w:eastAsia="宋体" w:cs="Times New Roman"/>
                <w:color w:val="auto"/>
                <w:spacing w:val="-2"/>
                <w:sz w:val="24"/>
                <w:szCs w:val="24"/>
                <w:highlight w:val="none"/>
              </w:rPr>
              <w:t>改造或者关停计划，并组织实施。禁止新建、改建、</w:t>
            </w:r>
            <w:r>
              <w:rPr>
                <w:rFonts w:hint="default" w:ascii="Times New Roman" w:hAnsi="Times New Roman" w:eastAsia="宋体" w:cs="Times New Roman"/>
                <w:color w:val="auto"/>
                <w:spacing w:val="-1"/>
                <w:sz w:val="24"/>
                <w:szCs w:val="24"/>
                <w:highlight w:val="none"/>
              </w:rPr>
              <w:t>扩建列入淘汰类目录的高污染工业项目。禁止使用列入淘汰类目录的工艺、设备、产品”。</w:t>
            </w:r>
          </w:p>
          <w:p w14:paraId="37FEF336">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本项目不属于三高项目，项目生产过程中产生的废气、生活污水、噪声、固废等采取有效的治理措施，对周围环境影响较小。项目所用设备不属于淘汰目录内的淘汰设备，符</w:t>
            </w:r>
            <w:r>
              <w:rPr>
                <w:rFonts w:hint="default" w:ascii="Times New Roman" w:hAnsi="Times New Roman" w:eastAsia="宋体" w:cs="Times New Roman"/>
                <w:color w:val="auto"/>
                <w:spacing w:val="-1"/>
                <w:sz w:val="24"/>
                <w:szCs w:val="24"/>
                <w:highlight w:val="none"/>
              </w:rPr>
              <w:t>合《新疆维吾尔自治区大气污染防治条例》要求。</w:t>
            </w:r>
          </w:p>
          <w:p w14:paraId="6CDFD446">
            <w:pPr>
              <w:pageBreakBefore w:val="0"/>
              <w:kinsoku/>
              <w:wordWrap/>
              <w:topLinePunct w:val="0"/>
              <w:autoSpaceDE/>
              <w:autoSpaceDN/>
              <w:bidi w:val="0"/>
              <w:adjustRightInd/>
              <w:spacing w:line="360" w:lineRule="auto"/>
              <w:ind w:firstLine="0" w:firstLineChars="0"/>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9.项</w:t>
            </w:r>
            <w:r>
              <w:rPr>
                <w:rFonts w:hint="default" w:ascii="Times New Roman" w:hAnsi="Times New Roman" w:cs="Times New Roman"/>
                <w:b/>
                <w:bCs/>
                <w:color w:val="auto"/>
                <w:sz w:val="24"/>
                <w:szCs w:val="24"/>
                <w:highlight w:val="none"/>
                <w:lang w:val="en-US" w:eastAsia="zh-CN"/>
              </w:rPr>
              <w:t>目与《</w:t>
            </w:r>
            <w:r>
              <w:rPr>
                <w:rFonts w:hint="default" w:ascii="Times New Roman" w:hAnsi="Times New Roman" w:eastAsia="宋体" w:cs="Times New Roman"/>
                <w:b/>
                <w:bCs/>
                <w:color w:val="auto"/>
                <w:kern w:val="0"/>
                <w:sz w:val="24"/>
                <w:szCs w:val="24"/>
                <w:highlight w:val="none"/>
                <w:lang w:val="en-US" w:eastAsia="zh-CN" w:bidi="ar"/>
              </w:rPr>
              <w:t>关于促进全区废旧塑料再生利用行业有序发展的指导意见</w:t>
            </w:r>
            <w:r>
              <w:rPr>
                <w:rFonts w:hint="default" w:ascii="Times New Roman" w:hAnsi="Times New Roman" w:cs="Times New Roman"/>
                <w:b/>
                <w:bCs/>
                <w:color w:val="auto"/>
                <w:sz w:val="24"/>
                <w:szCs w:val="24"/>
                <w:highlight w:val="none"/>
                <w:lang w:val="en-US" w:eastAsia="zh-CN"/>
              </w:rPr>
              <w:t>》的符合性分析</w:t>
            </w:r>
          </w:p>
          <w:p w14:paraId="367E7432">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新疆维吾尔自治区生态环境厅关于促进全区废旧塑料再生利用行业有序发展的指导意见指出：</w:t>
            </w:r>
          </w:p>
          <w:p w14:paraId="340CF7F9">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（一）新建和改扩建废塑料再生利用项目必须严格执行生态环境保护法律法规和环境影响评价制度，未经有审批权生态环境行政主管部门审批，不得建设和组织生产。</w:t>
            </w:r>
          </w:p>
          <w:p w14:paraId="3D17D6FD">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（二）新建和改扩建废塑料再生利用项目，厂址宜靠近废塑料集散地，应符合县级（含）以上人民政府制定的环境保护规划或废塑料行业发展规划。</w:t>
            </w:r>
          </w:p>
          <w:p w14:paraId="7BA7AB2F">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三）在各级人民政府依法设立的工业区以外进行项目建设的，不得占用农用地，且不得在城乡规划区边界外5公里以内，区控重点河流两岸、高速公路、铁路干线及重要地下管网及其他需严防污染的食品、药品等企业周边1000米以内建设；禁止在生态保护红线内新建废塑料再生利用企业。已在上述区域内开工建设、投产运营的废塑料再生利用项目和企业，要通过搬迁、转产等方式逐步退出。</w:t>
            </w:r>
          </w:p>
          <w:p w14:paraId="1C67712A">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topLinePunct w:val="0"/>
              <w:autoSpaceDE/>
              <w:autoSpaceDN/>
              <w:bidi w:val="0"/>
              <w:adjustRightIn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b w:val="0"/>
                <w:bCs w:val="0"/>
                <w:color w:val="auto"/>
                <w:kern w:val="2"/>
                <w:sz w:val="24"/>
                <w:szCs w:val="24"/>
                <w:highlight w:val="none"/>
                <w:lang w:val="en-US" w:eastAsia="zh-CN" w:bidi="ar-SA"/>
              </w:rPr>
            </w:pPr>
            <w:r>
              <w:rPr>
                <w:rFonts w:hint="default" w:ascii="Times New Roman" w:hAnsi="Times New Roman" w:eastAsia="宋体" w:cs="Times New Roman"/>
                <w:b w:val="0"/>
                <w:bCs w:val="0"/>
                <w:color w:val="auto"/>
                <w:kern w:val="2"/>
                <w:sz w:val="24"/>
                <w:szCs w:val="24"/>
                <w:highlight w:val="none"/>
                <w:lang w:val="en-US" w:eastAsia="zh-CN" w:bidi="ar-SA"/>
              </w:rPr>
              <w:t>本项目位于新疆维吾尔自治区昌吉回族自治州昌吉市六工镇新疆凯狮威塑业有限责任公司院内，本项目为新建项目，新建地膜生产线20条，年产6000吨地膜。目前项目尚未建设，待昌吉州生态环境局审批后开工。目前，昌吉市暂未发布废塑料行业发展规划，本项目占地性质不属于农用地，不占用耕地及基本农田，项目区周边1000米以内建设无食品、药品等企业，且本项目不在生态保护红线范围内，综上，本项目的建设符合《关于促进全区废旧塑料再生利用行业有序发展的指导意见》的相关要求。</w:t>
            </w:r>
          </w:p>
          <w:p w14:paraId="6BEDF047">
            <w:pPr>
              <w:spacing w:line="360" w:lineRule="auto"/>
              <w:rPr>
                <w:rFonts w:hint="default" w:ascii="Times New Roman" w:hAnsi="Times New Roman" w:cs="Times New Roman"/>
                <w:color w:val="auto"/>
                <w:sz w:val="24"/>
                <w:highlight w:val="none"/>
              </w:rPr>
            </w:pPr>
            <w:r>
              <w:rPr>
                <w:rFonts w:hint="default" w:ascii="Times New Roman" w:hAnsi="Times New Roman" w:cs="Times New Roman"/>
                <w:b/>
                <w:bCs/>
                <w:color w:val="auto"/>
                <w:sz w:val="24"/>
                <w:highlight w:val="none"/>
                <w:lang w:val="en-US" w:eastAsia="zh-CN"/>
              </w:rPr>
              <w:t>10.</w:t>
            </w:r>
            <w:r>
              <w:rPr>
                <w:rFonts w:hint="default" w:ascii="Times New Roman" w:hAnsi="Times New Roman" w:cs="Times New Roman"/>
                <w:b/>
                <w:bCs/>
                <w:color w:val="auto"/>
                <w:sz w:val="24"/>
                <w:highlight w:val="none"/>
              </w:rPr>
              <w:t>选址合理合法性分析</w:t>
            </w:r>
          </w:p>
          <w:p w14:paraId="52CC8C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本项目位于</w:t>
            </w:r>
            <w:r>
              <w:rPr>
                <w:rFonts w:hint="default" w:ascii="Times New Roman" w:hAnsi="Times New Roman" w:cs="Times New Roman"/>
                <w:color w:val="auto"/>
                <w:sz w:val="24"/>
                <w:szCs w:val="24"/>
                <w:highlight w:val="none"/>
                <w:lang w:val="en-US" w:eastAsia="zh-CN"/>
              </w:rPr>
              <w:t>昌吉市六工镇</w:t>
            </w:r>
            <w:r>
              <w:rPr>
                <w:rFonts w:hint="default" w:ascii="Times New Roman" w:hAnsi="Times New Roman" w:cs="Times New Roman"/>
                <w:color w:val="auto"/>
                <w:sz w:val="24"/>
                <w:highlight w:val="none"/>
              </w:rPr>
              <w:t>。本项目企业用地为工业用地，符合</w:t>
            </w:r>
            <w:r>
              <w:rPr>
                <w:rFonts w:hint="default" w:ascii="Times New Roman" w:hAnsi="Times New Roman" w:cs="Times New Roman"/>
                <w:color w:val="auto"/>
                <w:sz w:val="24"/>
                <w:highlight w:val="none"/>
                <w:lang w:eastAsia="zh-CN"/>
              </w:rPr>
              <w:t>城镇规划</w:t>
            </w:r>
            <w:r>
              <w:rPr>
                <w:rFonts w:hint="default" w:ascii="Times New Roman" w:hAnsi="Times New Roman" w:cs="Times New Roman"/>
                <w:color w:val="auto"/>
                <w:sz w:val="24"/>
                <w:highlight w:val="none"/>
              </w:rPr>
              <w:t>。项目运营期地膜生产加热熔融产生的</w:t>
            </w:r>
            <w:r>
              <w:rPr>
                <w:rFonts w:hint="default" w:ascii="Times New Roman" w:hAnsi="Times New Roman" w:cs="Times New Roman"/>
                <w:color w:val="auto"/>
                <w:sz w:val="24"/>
                <w:highlight w:val="none"/>
                <w:lang w:eastAsia="zh-CN"/>
              </w:rPr>
              <w:t>VOCs（以非甲烷总烃计）</w:t>
            </w:r>
            <w:r>
              <w:rPr>
                <w:rFonts w:hint="default" w:ascii="Times New Roman" w:hAnsi="Times New Roman" w:cs="Times New Roman"/>
                <w:color w:val="auto"/>
                <w:sz w:val="24"/>
                <w:highlight w:val="none"/>
              </w:rPr>
              <w:t>经集气罩收集后通过</w:t>
            </w:r>
            <w:r>
              <w:rPr>
                <w:rFonts w:hint="default" w:ascii="Times New Roman" w:hAnsi="Times New Roman" w:cs="Times New Roman"/>
                <w:color w:val="auto"/>
                <w:sz w:val="24"/>
                <w:highlight w:val="none"/>
                <w:lang w:val="en-US" w:eastAsia="zh-CN"/>
              </w:rPr>
              <w:t>活性炭吸附脱附+催化燃烧装置</w:t>
            </w:r>
            <w:r>
              <w:rPr>
                <w:rFonts w:hint="default" w:ascii="Times New Roman" w:hAnsi="Times New Roman" w:cs="Times New Roman"/>
                <w:color w:val="auto"/>
                <w:sz w:val="24"/>
                <w:highlight w:val="none"/>
              </w:rPr>
              <w:t>处理后由15m高排气筒达标排放，对周边大气环境的影响较小；项目生活污水依托现有</w:t>
            </w:r>
            <w:r>
              <w:rPr>
                <w:rFonts w:hint="default" w:ascii="Times New Roman" w:hAnsi="Times New Roman" w:cs="Times New Roman"/>
                <w:color w:val="auto"/>
                <w:sz w:val="24"/>
                <w:highlight w:val="none"/>
                <w:lang w:val="en-US" w:eastAsia="zh-CN"/>
              </w:rPr>
              <w:t>下水管网排入</w:t>
            </w:r>
            <w:r>
              <w:rPr>
                <w:rFonts w:hint="default" w:ascii="Times New Roman" w:hAnsi="Times New Roman" w:cs="Times New Roman"/>
                <w:color w:val="auto"/>
                <w:sz w:val="24"/>
                <w:highlight w:val="none"/>
              </w:rPr>
              <w:t>污水处理厂处置；运营期间机械设备产生的噪声经过加强设备维护，厂房隔声等措施治理后对项目区外环境影响较小；项目运营</w:t>
            </w:r>
            <w:r>
              <w:rPr>
                <w:rFonts w:hint="default" w:ascii="Times New Roman" w:hAnsi="Times New Roman" w:cs="Times New Roman"/>
                <w:color w:val="auto"/>
                <w:sz w:val="24"/>
                <w:highlight w:val="none"/>
                <w:lang w:eastAsia="zh-CN"/>
              </w:rPr>
              <w:t>期间</w:t>
            </w:r>
            <w:r>
              <w:rPr>
                <w:rFonts w:hint="default" w:ascii="Times New Roman" w:hAnsi="Times New Roman" w:cs="Times New Roman"/>
                <w:color w:val="auto"/>
                <w:sz w:val="24"/>
                <w:highlight w:val="none"/>
              </w:rPr>
              <w:t>产生的各类固体废物及生活垃圾均能得到有效的处理处置，不会产生二次污染。</w:t>
            </w:r>
          </w:p>
          <w:p w14:paraId="261E18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综上分析，本项目选址基本合理可行。</w:t>
            </w:r>
          </w:p>
          <w:p w14:paraId="0EAF66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highlight w:val="none"/>
                <w:lang w:val="en-US" w:eastAsia="zh-CN"/>
              </w:rPr>
            </w:pPr>
          </w:p>
          <w:p w14:paraId="0372AA96">
            <w:pPr>
              <w:pStyle w:val="31"/>
              <w:rPr>
                <w:rFonts w:hint="default" w:ascii="Times New Roman" w:hAnsi="Times New Roman" w:cs="Times New Roman"/>
                <w:color w:val="auto"/>
                <w:sz w:val="24"/>
                <w:highlight w:val="none"/>
                <w:lang w:val="en-US" w:eastAsia="zh-CN"/>
              </w:rPr>
            </w:pPr>
          </w:p>
          <w:p w14:paraId="58C9C008">
            <w:pPr>
              <w:rPr>
                <w:rFonts w:hint="default" w:ascii="Times New Roman" w:hAnsi="Times New Roman" w:cs="Times New Roman"/>
                <w:color w:val="auto"/>
                <w:sz w:val="24"/>
                <w:highlight w:val="none"/>
                <w:lang w:val="en-US" w:eastAsia="zh-CN"/>
              </w:rPr>
            </w:pPr>
          </w:p>
          <w:p w14:paraId="575F3D28">
            <w:pPr>
              <w:pStyle w:val="31"/>
              <w:rPr>
                <w:rFonts w:hint="default" w:ascii="Times New Roman" w:hAnsi="Times New Roman" w:cs="Times New Roman"/>
                <w:color w:val="auto"/>
                <w:sz w:val="24"/>
                <w:highlight w:val="none"/>
                <w:lang w:val="en-US" w:eastAsia="zh-CN"/>
              </w:rPr>
            </w:pPr>
          </w:p>
          <w:p w14:paraId="775C95A8">
            <w:pPr>
              <w:rPr>
                <w:rFonts w:hint="default" w:ascii="Times New Roman" w:hAnsi="Times New Roman" w:cs="Times New Roman"/>
                <w:color w:val="auto"/>
                <w:sz w:val="24"/>
                <w:highlight w:val="none"/>
                <w:lang w:val="en-US" w:eastAsia="zh-CN"/>
              </w:rPr>
            </w:pPr>
          </w:p>
          <w:p w14:paraId="75CE4D14">
            <w:pPr>
              <w:pStyle w:val="2"/>
              <w:rPr>
                <w:rFonts w:hint="default" w:ascii="Times New Roman" w:hAnsi="Times New Roman" w:cs="Times New Roman"/>
                <w:color w:val="auto"/>
                <w:sz w:val="24"/>
                <w:highlight w:val="none"/>
                <w:lang w:val="en-US" w:eastAsia="zh-CN"/>
              </w:rPr>
            </w:pPr>
          </w:p>
          <w:p w14:paraId="3A8DB5B4">
            <w:pPr>
              <w:pStyle w:val="5"/>
              <w:rPr>
                <w:rFonts w:hint="default" w:ascii="Times New Roman" w:hAnsi="Times New Roman" w:cs="Times New Roman"/>
                <w:color w:val="auto"/>
                <w:sz w:val="24"/>
                <w:highlight w:val="none"/>
                <w:lang w:val="en-US" w:eastAsia="zh-CN"/>
              </w:rPr>
            </w:pPr>
          </w:p>
          <w:p w14:paraId="17CB5939">
            <w:pPr>
              <w:pStyle w:val="31"/>
              <w:rPr>
                <w:rFonts w:hint="default" w:ascii="Times New Roman" w:hAnsi="Times New Roman" w:cs="Times New Roman"/>
                <w:color w:val="auto"/>
                <w:sz w:val="24"/>
                <w:highlight w:val="none"/>
                <w:lang w:val="en-US" w:eastAsia="zh-CN"/>
              </w:rPr>
            </w:pPr>
          </w:p>
          <w:p w14:paraId="124CC1C8">
            <w:pPr>
              <w:rPr>
                <w:rFonts w:hint="default" w:ascii="Times New Roman" w:hAnsi="Times New Roman" w:cs="Times New Roman"/>
                <w:color w:val="auto"/>
                <w:highlight w:val="none"/>
                <w:lang w:val="en-US" w:eastAsia="zh-CN"/>
              </w:rPr>
            </w:pPr>
          </w:p>
          <w:p w14:paraId="096F7AF4">
            <w:pPr>
              <w:rPr>
                <w:rFonts w:hint="default" w:ascii="Times New Roman" w:hAnsi="Times New Roman" w:cs="Times New Roman"/>
                <w:color w:val="auto"/>
                <w:sz w:val="24"/>
                <w:highlight w:val="none"/>
                <w:lang w:val="en-US" w:eastAsia="zh-CN"/>
              </w:rPr>
            </w:pPr>
          </w:p>
          <w:p w14:paraId="615FB8E4">
            <w:pPr>
              <w:pStyle w:val="31"/>
              <w:rPr>
                <w:rFonts w:hint="default" w:ascii="Times New Roman" w:hAnsi="Times New Roman" w:cs="Times New Roman"/>
                <w:color w:val="auto"/>
                <w:sz w:val="24"/>
                <w:highlight w:val="none"/>
                <w:lang w:val="en-US" w:eastAsia="zh-CN"/>
              </w:rPr>
            </w:pPr>
          </w:p>
          <w:p w14:paraId="767BE078">
            <w:pPr>
              <w:rPr>
                <w:rFonts w:hint="default" w:ascii="Times New Roman" w:hAnsi="Times New Roman" w:cs="Times New Roman"/>
                <w:color w:val="auto"/>
                <w:sz w:val="24"/>
                <w:highlight w:val="none"/>
                <w:lang w:val="en-US" w:eastAsia="zh-CN"/>
              </w:rPr>
            </w:pPr>
          </w:p>
          <w:p w14:paraId="400807BA">
            <w:pPr>
              <w:pStyle w:val="31"/>
              <w:rPr>
                <w:rFonts w:hint="default" w:ascii="Times New Roman" w:hAnsi="Times New Roman" w:cs="Times New Roman"/>
                <w:color w:val="auto"/>
                <w:sz w:val="24"/>
                <w:highlight w:val="none"/>
                <w:lang w:val="en-US" w:eastAsia="zh-CN"/>
              </w:rPr>
            </w:pPr>
          </w:p>
          <w:p w14:paraId="7B281607">
            <w:pPr>
              <w:rPr>
                <w:rFonts w:hint="default" w:ascii="Times New Roman" w:hAnsi="Times New Roman" w:cs="Times New Roman"/>
                <w:color w:val="auto"/>
                <w:sz w:val="24"/>
                <w:highlight w:val="none"/>
                <w:lang w:val="en-US" w:eastAsia="zh-CN"/>
              </w:rPr>
            </w:pPr>
          </w:p>
          <w:p w14:paraId="3EE58CD8">
            <w:pPr>
              <w:rPr>
                <w:rFonts w:hint="default" w:ascii="Times New Roman" w:hAnsi="Times New Roman" w:cs="Times New Roman"/>
                <w:color w:val="auto"/>
                <w:sz w:val="24"/>
                <w:highlight w:val="none"/>
                <w:lang w:val="en-US" w:eastAsia="zh-CN"/>
              </w:rPr>
            </w:pPr>
          </w:p>
          <w:p w14:paraId="5CBE74C0">
            <w:pPr>
              <w:pStyle w:val="31"/>
              <w:rPr>
                <w:rFonts w:hint="default" w:ascii="Times New Roman" w:hAnsi="Times New Roman" w:cs="Times New Roman"/>
                <w:color w:val="auto"/>
                <w:sz w:val="24"/>
                <w:highlight w:val="none"/>
                <w:lang w:val="en-US" w:eastAsia="zh-CN"/>
              </w:rPr>
            </w:pPr>
          </w:p>
          <w:p w14:paraId="62AC24FE">
            <w:pPr>
              <w:pStyle w:val="31"/>
              <w:rPr>
                <w:rFonts w:hint="default" w:ascii="Times New Roman" w:hAnsi="Times New Roman" w:cs="Times New Roman"/>
                <w:color w:val="auto"/>
                <w:sz w:val="24"/>
                <w:highlight w:val="none"/>
                <w:lang w:val="en-US" w:eastAsia="zh-CN"/>
              </w:rPr>
            </w:pPr>
          </w:p>
          <w:p w14:paraId="69264A42">
            <w:pPr>
              <w:rPr>
                <w:rFonts w:hint="default" w:ascii="Times New Roman" w:hAnsi="Times New Roman" w:cs="Times New Roman"/>
                <w:color w:val="auto"/>
                <w:highlight w:val="none"/>
                <w:lang w:val="en-US" w:eastAsia="zh-CN"/>
              </w:rPr>
            </w:pPr>
          </w:p>
          <w:p w14:paraId="01B661A9">
            <w:pPr>
              <w:pStyle w:val="31"/>
              <w:rPr>
                <w:rFonts w:hint="default" w:ascii="Times New Roman" w:hAnsi="Times New Roman" w:cs="Times New Roman"/>
                <w:color w:val="auto"/>
                <w:highlight w:val="none"/>
                <w:lang w:val="en-US" w:eastAsia="zh-CN"/>
              </w:rPr>
            </w:pPr>
          </w:p>
        </w:tc>
      </w:tr>
    </w:tbl>
    <w:p w14:paraId="752E6741">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23BFE4A0">
      <w:pPr>
        <w:pStyle w:val="22"/>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二、建设项目工程分析</w:t>
      </w:r>
    </w:p>
    <w:tbl>
      <w:tblPr>
        <w:tblStyle w:val="2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068"/>
      </w:tblGrid>
      <w:tr w14:paraId="145661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dxa"/>
            <w:tcBorders>
              <w:tl2br w:val="nil"/>
              <w:tr2bl w:val="nil"/>
            </w:tcBorders>
            <w:noWrap w:val="0"/>
            <w:vAlign w:val="center"/>
          </w:tcPr>
          <w:p w14:paraId="6691DD3F">
            <w:pPr>
              <w:pStyle w:val="22"/>
              <w:keepLines w:val="0"/>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8068" w:type="dxa"/>
            <w:tcBorders>
              <w:tl2br w:val="nil"/>
              <w:tr2bl w:val="nil"/>
            </w:tcBorders>
            <w:noWrap w:val="0"/>
            <w:vAlign w:val="top"/>
          </w:tcPr>
          <w:p w14:paraId="54CC27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default" w:ascii="Times New Roman" w:hAnsi="Times New Roman" w:cs="Times New Roman"/>
                <w:b/>
                <w:color w:val="auto"/>
                <w:kern w:val="0"/>
                <w:sz w:val="24"/>
                <w:szCs w:val="24"/>
                <w:highlight w:val="none"/>
                <w:lang w:val="en-US" w:eastAsia="zh-CN" w:bidi="ar"/>
              </w:rPr>
            </w:pPr>
            <w:r>
              <w:rPr>
                <w:rFonts w:hint="default" w:ascii="Times New Roman" w:hAnsi="Times New Roman" w:cs="Times New Roman"/>
                <w:b/>
                <w:color w:val="auto"/>
                <w:kern w:val="0"/>
                <w:sz w:val="24"/>
                <w:szCs w:val="24"/>
                <w:highlight w:val="none"/>
                <w:lang w:val="en-US" w:eastAsia="zh-CN" w:bidi="ar"/>
              </w:rPr>
              <w:t>1.项目背景</w:t>
            </w:r>
          </w:p>
          <w:p w14:paraId="323C114F">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新疆凯狮威塑业有限责任公司成立于</w:t>
            </w:r>
            <w:r>
              <w:rPr>
                <w:rFonts w:hint="default" w:ascii="Times New Roman" w:hAnsi="Times New Roman" w:cs="Times New Roman"/>
                <w:color w:val="auto"/>
                <w:sz w:val="24"/>
                <w:szCs w:val="24"/>
                <w:highlight w:val="none"/>
                <w:lang w:val="en-US" w:eastAsia="zh-CN"/>
              </w:rPr>
              <w:t>2010年5月17日</w:t>
            </w:r>
            <w:r>
              <w:rPr>
                <w:rFonts w:hint="default" w:ascii="Times New Roman" w:hAnsi="Times New Roman" w:eastAsia="宋体" w:cs="Times New Roman"/>
                <w:color w:val="auto"/>
                <w:sz w:val="24"/>
                <w:szCs w:val="24"/>
                <w:highlight w:val="none"/>
                <w:lang w:val="en-US" w:eastAsia="zh-CN"/>
              </w:rPr>
              <w:t>，注册地位于新疆昌吉州昌吉市六工镇镇区，经营范围包括塑料制品制造；日用百货、针纺织品、塑料制品、建材销售</w:t>
            </w:r>
            <w:r>
              <w:rPr>
                <w:rFonts w:hint="default" w:ascii="Times New Roman" w:hAnsi="Times New Roman" w:cs="Times New Roman"/>
                <w:color w:val="auto"/>
                <w:sz w:val="24"/>
                <w:szCs w:val="24"/>
                <w:highlight w:val="none"/>
                <w:lang w:val="en-US" w:eastAsia="zh-CN"/>
              </w:rPr>
              <w:t>等。</w:t>
            </w:r>
          </w:p>
          <w:p w14:paraId="38487831">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2010年，新疆凯狮威塑业有限责任公司以《新疆凯狮威塑业有限责任公司节水管材建设项目环境影响报告表的批复》（昌市环管字﹝2010﹞178号）通过原昌吉市环境保护局审批。2014年，新疆凯狮威塑业有限责任公司以《关于新疆凯狮威塑业有限责任公司节水管材建设项目环境保护验收的意见》（昌市环验函字﹝2014﹞083号）通过竣工环保验收。</w:t>
            </w:r>
          </w:p>
          <w:p w14:paraId="57E19DC7">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2018年12月19日，</w:t>
            </w:r>
            <w:r>
              <w:rPr>
                <w:rFonts w:hint="default" w:ascii="Times New Roman" w:hAnsi="Times New Roman" w:eastAsia="宋体" w:cs="Times New Roman"/>
                <w:color w:val="auto"/>
                <w:sz w:val="24"/>
                <w:szCs w:val="24"/>
                <w:highlight w:val="none"/>
              </w:rPr>
              <w:t>新疆凯狮威塑业有限责任公司</w:t>
            </w:r>
            <w:r>
              <w:rPr>
                <w:rFonts w:hint="default" w:ascii="Times New Roman" w:hAnsi="Times New Roman" w:eastAsia="宋体" w:cs="Times New Roman"/>
                <w:color w:val="auto"/>
                <w:sz w:val="24"/>
                <w:szCs w:val="24"/>
                <w:highlight w:val="none"/>
                <w:lang w:val="en-US" w:eastAsia="zh-CN"/>
              </w:rPr>
              <w:t>以《关于</w:t>
            </w:r>
            <w:r>
              <w:rPr>
                <w:rFonts w:hint="default" w:ascii="Times New Roman" w:hAnsi="Times New Roman" w:eastAsia="宋体" w:cs="Times New Roman"/>
                <w:color w:val="auto"/>
                <w:sz w:val="24"/>
                <w:szCs w:val="24"/>
                <w:highlight w:val="none"/>
              </w:rPr>
              <w:t>新疆凯狮威塑业有限责任公司</w:t>
            </w:r>
            <w:r>
              <w:rPr>
                <w:rFonts w:hint="default" w:ascii="Times New Roman" w:hAnsi="Times New Roman" w:eastAsia="宋体" w:cs="Times New Roman"/>
                <w:color w:val="auto"/>
                <w:sz w:val="24"/>
                <w:szCs w:val="24"/>
                <w:highlight w:val="none"/>
                <w:lang w:val="en-US" w:eastAsia="zh-CN"/>
              </w:rPr>
              <w:t>增加建设PE生产线项目环境影响报告表的批复》（昌市环管字﹝2018﹞14号）通过原昌吉市环境保护局审批</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2019年8月，</w:t>
            </w:r>
            <w:r>
              <w:rPr>
                <w:rFonts w:hint="default" w:ascii="Times New Roman" w:hAnsi="Times New Roman" w:eastAsia="宋体" w:cs="Times New Roman"/>
                <w:color w:val="auto"/>
                <w:sz w:val="24"/>
                <w:szCs w:val="24"/>
                <w:highlight w:val="none"/>
              </w:rPr>
              <w:t>新疆凯狮威塑业有限责任公司</w:t>
            </w:r>
            <w:r>
              <w:rPr>
                <w:rFonts w:hint="default" w:ascii="Times New Roman" w:hAnsi="Times New Roman" w:eastAsia="宋体" w:cs="Times New Roman"/>
                <w:color w:val="auto"/>
                <w:sz w:val="24"/>
                <w:szCs w:val="24"/>
                <w:highlight w:val="none"/>
                <w:lang w:val="en-US" w:eastAsia="zh-CN"/>
              </w:rPr>
              <w:t>对该项目开展自主验收，并通过验收合格。</w:t>
            </w:r>
          </w:p>
          <w:p w14:paraId="2222EAAB">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2023年5月25日</w:t>
            </w:r>
            <w:r>
              <w:rPr>
                <w:rFonts w:hint="default" w:ascii="Times New Roman" w:hAnsi="Times New Roman" w:cs="Times New Roman"/>
                <w:color w:val="auto"/>
                <w:sz w:val="24"/>
                <w:szCs w:val="24"/>
                <w:highlight w:val="none"/>
                <w:lang w:val="en-US" w:eastAsia="zh-CN"/>
              </w:rPr>
              <w:t>取得</w:t>
            </w:r>
            <w:r>
              <w:rPr>
                <w:rFonts w:hint="default" w:ascii="Times New Roman" w:hAnsi="Times New Roman" w:cs="Times New Roman"/>
                <w:color w:val="auto"/>
                <w:sz w:val="24"/>
                <w:szCs w:val="24"/>
                <w:highlight w:val="none"/>
              </w:rPr>
              <w:t>关于对《</w:t>
            </w:r>
            <w:r>
              <w:rPr>
                <w:rFonts w:hint="default" w:ascii="Times New Roman" w:hAnsi="Times New Roman" w:cs="Times New Roman"/>
                <w:color w:val="auto"/>
                <w:sz w:val="24"/>
                <w:szCs w:val="24"/>
                <w:highlight w:val="none"/>
                <w:lang w:eastAsia="zh-CN"/>
              </w:rPr>
              <w:t>新疆凯狮威塑业有限责任公司残膜回收造粒项目</w:t>
            </w:r>
            <w:r>
              <w:rPr>
                <w:rFonts w:hint="default" w:ascii="Times New Roman" w:hAnsi="Times New Roman" w:eastAsia="宋体" w:cs="Times New Roman"/>
                <w:color w:val="auto"/>
                <w:sz w:val="24"/>
                <w:szCs w:val="24"/>
                <w:highlight w:val="none"/>
                <w:lang w:val="en-US" w:eastAsia="zh-CN"/>
              </w:rPr>
              <w:t>环境影响报告书》的批复，昌州环评〔2023〕73号；2023年12月31日取得对《新疆凯狮威塑业有限责任公司残膜回收造粒项目环境影响报告书》开展自主验收，并通过验收合格。</w:t>
            </w:r>
          </w:p>
          <w:p w14:paraId="67F0CBC2">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企业根据市场需要，</w:t>
            </w:r>
            <w:r>
              <w:rPr>
                <w:rFonts w:hint="default" w:ascii="Times New Roman" w:hAnsi="Times New Roman" w:cs="Times New Roman"/>
                <w:b w:val="0"/>
                <w:bCs w:val="0"/>
                <w:color w:val="auto"/>
                <w:sz w:val="24"/>
                <w:szCs w:val="24"/>
                <w:highlight w:val="none"/>
                <w:lang w:val="en-US" w:eastAsia="zh-CN"/>
              </w:rPr>
              <w:t>扩建</w:t>
            </w:r>
            <w:r>
              <w:rPr>
                <w:rFonts w:hint="default" w:ascii="Times New Roman" w:hAnsi="Times New Roman" w:eastAsia="宋体" w:cs="Times New Roman"/>
                <w:b w:val="0"/>
                <w:bCs w:val="0"/>
                <w:color w:val="auto"/>
                <w:sz w:val="24"/>
                <w:szCs w:val="24"/>
                <w:highlight w:val="none"/>
                <w:lang w:val="en-US" w:eastAsia="zh-CN"/>
              </w:rPr>
              <w:t>地膜生产线20条，年产6000吨地膜</w:t>
            </w:r>
            <w:r>
              <w:rPr>
                <w:rFonts w:hint="default"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kern w:val="0"/>
                <w:sz w:val="24"/>
                <w:szCs w:val="24"/>
                <w:highlight w:val="none"/>
                <w:lang w:val="en-US" w:eastAsia="zh-CN" w:bidi="ar"/>
              </w:rPr>
              <w:t>由于再生塑料生产地膜后透光度较差，</w:t>
            </w:r>
            <w:r>
              <w:rPr>
                <w:rFonts w:hint="default" w:ascii="Times New Roman" w:hAnsi="Times New Roman" w:eastAsia="Segoe UI" w:cs="Times New Roman"/>
                <w:b w:val="0"/>
                <w:bCs w:val="0"/>
                <w:i w:val="0"/>
                <w:iCs w:val="0"/>
                <w:caps w:val="0"/>
                <w:color w:val="auto"/>
                <w:spacing w:val="0"/>
                <w:sz w:val="24"/>
                <w:szCs w:val="24"/>
                <w:highlight w:val="none"/>
                <w:shd w:val="clear" w:fill="FFFFFF"/>
              </w:rPr>
              <w:t>透光度差意味着进入土壤的太阳辐射减少，导致</w:t>
            </w:r>
            <w:r>
              <w:rPr>
                <w:rStyle w:val="27"/>
                <w:rFonts w:hint="default" w:ascii="Times New Roman" w:hAnsi="Times New Roman" w:eastAsia="Segoe UI" w:cs="Times New Roman"/>
                <w:b w:val="0"/>
                <w:bCs w:val="0"/>
                <w:i w:val="0"/>
                <w:iCs w:val="0"/>
                <w:caps w:val="0"/>
                <w:color w:val="auto"/>
                <w:spacing w:val="0"/>
                <w:sz w:val="24"/>
                <w:szCs w:val="24"/>
                <w:highlight w:val="none"/>
                <w:shd w:val="clear" w:fill="FFFFFF"/>
              </w:rPr>
              <w:t>土壤升温慢、温度低</w:t>
            </w:r>
            <w:r>
              <w:rPr>
                <w:rStyle w:val="27"/>
                <w:rFonts w:hint="default" w:ascii="Times New Roman" w:hAnsi="Times New Roman" w:eastAsia="宋体" w:cs="Times New Roman"/>
                <w:b w:val="0"/>
                <w:bCs w:val="0"/>
                <w:i w:val="0"/>
                <w:iCs w:val="0"/>
                <w:caps w:val="0"/>
                <w:color w:val="auto"/>
                <w:spacing w:val="0"/>
                <w:sz w:val="24"/>
                <w:szCs w:val="24"/>
                <w:highlight w:val="none"/>
                <w:shd w:val="clear" w:fill="FFFFFF"/>
                <w:lang w:eastAsia="zh-CN"/>
              </w:rPr>
              <w:t>，</w:t>
            </w:r>
            <w:r>
              <w:rPr>
                <w:rFonts w:hint="default" w:ascii="Times New Roman" w:hAnsi="Times New Roman" w:eastAsia="Segoe UI" w:cs="Times New Roman"/>
                <w:b w:val="0"/>
                <w:bCs w:val="0"/>
                <w:i w:val="0"/>
                <w:iCs w:val="0"/>
                <w:caps w:val="0"/>
                <w:color w:val="auto"/>
                <w:spacing w:val="0"/>
                <w:sz w:val="24"/>
                <w:szCs w:val="24"/>
                <w:highlight w:val="none"/>
                <w:shd w:val="clear" w:fill="FFFFFF"/>
              </w:rPr>
              <w:t>对于许多喜温作物（如玉米、棉花、瓜类）的早期生长极为不利，延缓了发芽和幼苗生长速度。</w:t>
            </w:r>
            <w:r>
              <w:rPr>
                <w:rFonts w:hint="default" w:ascii="Times New Roman" w:hAnsi="Times New Roman" w:eastAsia="宋体" w:cs="Times New Roman"/>
                <w:b w:val="0"/>
                <w:bCs w:val="0"/>
                <w:color w:val="auto"/>
                <w:kern w:val="0"/>
                <w:sz w:val="24"/>
                <w:szCs w:val="24"/>
                <w:highlight w:val="none"/>
                <w:lang w:val="en-US" w:eastAsia="zh-CN" w:bidi="ar"/>
              </w:rPr>
              <w:t>不利于农作物生长，为保障地膜生产线的产品质量，不使用废塑料颗粒作为原料，均采用新料作为本次地膜生产线的原料进行生产</w:t>
            </w:r>
            <w:r>
              <w:rPr>
                <w:rFonts w:hint="default" w:ascii="Times New Roman" w:hAnsi="Times New Roman" w:cs="Times New Roman"/>
                <w:b w:val="0"/>
                <w:bCs w:val="0"/>
                <w:color w:val="auto"/>
                <w:kern w:val="0"/>
                <w:sz w:val="24"/>
                <w:szCs w:val="24"/>
                <w:highlight w:val="none"/>
                <w:lang w:val="en-US" w:eastAsia="zh-CN" w:bidi="ar"/>
              </w:rPr>
              <w:t>，</w:t>
            </w:r>
            <w:r>
              <w:rPr>
                <w:rFonts w:hint="default" w:ascii="Times New Roman" w:hAnsi="Times New Roman" w:cs="Times New Roman"/>
                <w:b w:val="0"/>
                <w:bCs w:val="0"/>
                <w:color w:val="auto"/>
                <w:sz w:val="24"/>
                <w:szCs w:val="24"/>
                <w:highlight w:val="none"/>
                <w:lang w:val="en-US" w:eastAsia="zh-CN"/>
              </w:rPr>
              <w:t>不使用废旧塑料作为本项目的原料。</w:t>
            </w:r>
          </w:p>
          <w:p w14:paraId="719A8556">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color w:val="auto"/>
                <w:kern w:val="0"/>
                <w:sz w:val="24"/>
                <w:szCs w:val="24"/>
                <w:highlight w:val="none"/>
                <w:lang w:val="en-US" w:eastAsia="zh-CN" w:bidi="ar"/>
              </w:rPr>
              <w:t>2.</w:t>
            </w:r>
            <w:r>
              <w:rPr>
                <w:rFonts w:hint="default" w:ascii="Times New Roman" w:hAnsi="Times New Roman" w:eastAsia="宋体" w:cs="Times New Roman"/>
                <w:b/>
                <w:color w:val="auto"/>
                <w:kern w:val="0"/>
                <w:sz w:val="24"/>
                <w:szCs w:val="24"/>
                <w:highlight w:val="none"/>
                <w:lang w:val="en-US" w:eastAsia="zh-CN" w:bidi="ar"/>
              </w:rPr>
              <w:t>项目概况</w:t>
            </w:r>
          </w:p>
          <w:p w14:paraId="5914CEB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本项目位于</w:t>
            </w:r>
            <w:r>
              <w:rPr>
                <w:rFonts w:hint="default" w:ascii="Times New Roman" w:hAnsi="Times New Roman" w:eastAsia="宋体" w:cs="Times New Roman"/>
                <w:color w:val="auto"/>
                <w:sz w:val="24"/>
                <w:szCs w:val="24"/>
                <w:highlight w:val="none"/>
                <w:lang w:val="en-US" w:eastAsia="zh-CN"/>
              </w:rPr>
              <w:t>昌吉市六工镇</w:t>
            </w:r>
            <w:r>
              <w:rPr>
                <w:rFonts w:hint="default" w:ascii="Times New Roman" w:hAnsi="Times New Roman" w:eastAsia="宋体" w:cs="Times New Roman"/>
                <w:color w:val="auto"/>
                <w:sz w:val="24"/>
                <w:szCs w:val="24"/>
                <w:highlight w:val="none"/>
              </w:rPr>
              <w:t>，项目区中心地理坐标</w:t>
            </w:r>
            <w:r>
              <w:rPr>
                <w:rFonts w:hint="eastAsia" w:ascii="Times New Roman" w:hAnsi="Times New Roman" w:cs="Times New Roman"/>
                <w:color w:val="auto"/>
                <w:sz w:val="24"/>
                <w:szCs w:val="24"/>
                <w:highlight w:val="none"/>
                <w:lang w:val="en-US" w:eastAsia="zh-CN"/>
              </w:rPr>
              <w:t>为</w:t>
            </w:r>
            <w:r>
              <w:rPr>
                <w:rFonts w:hint="default" w:ascii="Times New Roman" w:hAnsi="Times New Roman" w:eastAsia="宋体" w:cs="Times New Roman"/>
                <w:color w:val="auto"/>
                <w:sz w:val="24"/>
                <w:szCs w:val="24"/>
                <w:highlight w:val="none"/>
                <w:lang w:val="en-US" w:eastAsia="zh-CN"/>
              </w:rPr>
              <w:t>东经</w:t>
            </w:r>
            <w:r>
              <w:rPr>
                <w:rFonts w:hint="eastAsia"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87°24′15.046"；北纬：44°04′17.862"。</w:t>
            </w:r>
            <w:r>
              <w:rPr>
                <w:rFonts w:hint="default" w:ascii="Times New Roman" w:hAnsi="Times New Roman" w:eastAsia="宋体" w:cs="Times New Roman"/>
                <w:color w:val="auto"/>
                <w:sz w:val="24"/>
                <w:szCs w:val="24"/>
                <w:highlight w:val="none"/>
              </w:rPr>
              <w:t>本项目是在新疆凯狮威塑业有限责任公司现有厂区</w:t>
            </w:r>
            <w:r>
              <w:rPr>
                <w:rFonts w:hint="default" w:ascii="Times New Roman" w:hAnsi="Times New Roman" w:cs="Times New Roman"/>
                <w:color w:val="auto"/>
                <w:sz w:val="24"/>
                <w:szCs w:val="24"/>
                <w:highlight w:val="none"/>
                <w:lang w:val="en-US" w:eastAsia="zh-CN"/>
              </w:rPr>
              <w:t>新建</w:t>
            </w:r>
            <w:r>
              <w:rPr>
                <w:rFonts w:hint="default" w:ascii="Times New Roman" w:hAnsi="Times New Roman" w:eastAsia="宋体" w:cs="Times New Roman"/>
                <w:color w:val="auto"/>
                <w:sz w:val="24"/>
                <w:szCs w:val="24"/>
                <w:highlight w:val="none"/>
              </w:rPr>
              <w:t>地膜生产线</w:t>
            </w:r>
            <w:r>
              <w:rPr>
                <w:rFonts w:hint="default" w:ascii="Times New Roman" w:hAnsi="Times New Roman" w:cs="Times New Roman"/>
                <w:color w:val="auto"/>
                <w:sz w:val="24"/>
                <w:szCs w:val="24"/>
                <w:highlight w:val="none"/>
                <w:lang w:val="en-US" w:eastAsia="zh-CN"/>
              </w:rPr>
              <w:t>进行</w:t>
            </w:r>
            <w:r>
              <w:rPr>
                <w:rFonts w:hint="default" w:ascii="Times New Roman" w:hAnsi="Times New Roman" w:eastAsia="宋体" w:cs="Times New Roman"/>
                <w:color w:val="auto"/>
                <w:sz w:val="24"/>
                <w:szCs w:val="24"/>
                <w:highlight w:val="none"/>
              </w:rPr>
              <w:t>扩建，扩大生产规模。新增吹塑机、收卷机、包装机、拌料等20台设备及配套的辅助设施开发及拟扩建厂房4000m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增加农用地膜环保生产设备，扩大农用环保地膜生产量，旨在提升设备能量指标，提高设备使用效率，持续提升公司高质量和节能管理水平，预计年产能可增加6000吨。</w:t>
            </w:r>
            <w:r>
              <w:rPr>
                <w:rFonts w:hint="default" w:ascii="Times New Roman" w:hAnsi="Times New Roman" w:eastAsia="宋体" w:cs="Times New Roman"/>
                <w:color w:val="auto"/>
                <w:sz w:val="24"/>
                <w:szCs w:val="24"/>
                <w:highlight w:val="none"/>
                <w:lang w:val="en-US" w:eastAsia="zh-CN"/>
              </w:rPr>
              <w:t>本项目地理位置具体见附图1，周边环境概况见附图2。</w:t>
            </w:r>
          </w:p>
          <w:p w14:paraId="2520E07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eastAsiaTheme="minorEastAsia"/>
                <w:b/>
                <w:bCs/>
                <w:color w:val="auto"/>
                <w:sz w:val="24"/>
                <w:szCs w:val="24"/>
                <w:highlight w:val="none"/>
              </w:rPr>
              <w:t>项目内容</w:t>
            </w:r>
            <w:r>
              <w:rPr>
                <w:rFonts w:hint="default" w:ascii="Times New Roman" w:hAnsi="Times New Roman" w:cs="Times New Roman" w:eastAsiaTheme="minorEastAsia"/>
                <w:color w:val="auto"/>
                <w:sz w:val="24"/>
                <w:szCs w:val="24"/>
                <w:highlight w:val="none"/>
              </w:rPr>
              <w:t>：新增吹塑机、收卷机、包装机、拌料等20台设备及配套的辅助设施开发及拟扩建厂房4000m</w:t>
            </w:r>
            <w:r>
              <w:rPr>
                <w:rFonts w:hint="default" w:ascii="Times New Roman" w:hAnsi="Times New Roman" w:cs="Times New Roman" w:eastAsiaTheme="minorEastAsia"/>
                <w:color w:val="auto"/>
                <w:sz w:val="24"/>
                <w:szCs w:val="24"/>
                <w:highlight w:val="none"/>
                <w:vertAlign w:val="superscript"/>
                <w:lang w:val="en-US" w:eastAsia="zh-CN"/>
              </w:rPr>
              <w:t>2</w:t>
            </w:r>
            <w:r>
              <w:rPr>
                <w:rFonts w:hint="default" w:ascii="Times New Roman" w:hAnsi="Times New Roman" w:cs="Times New Roman" w:eastAsiaTheme="minorEastAsia"/>
                <w:color w:val="auto"/>
                <w:sz w:val="24"/>
                <w:szCs w:val="24"/>
                <w:highlight w:val="none"/>
              </w:rPr>
              <w:t>，增加农用地膜环保生产设备，扩大农用环保地膜生产量，旨在提升设备能量指标，提高设备使用效率，持续提升公司高质量和节能管理水平，预计年产能可增加6000吨。</w:t>
            </w:r>
            <w:r>
              <w:rPr>
                <w:rFonts w:hint="default" w:ascii="Times New Roman" w:hAnsi="Times New Roman" w:cs="Times New Roman"/>
                <w:color w:val="auto"/>
                <w:sz w:val="24"/>
                <w:szCs w:val="24"/>
                <w:highlight w:val="none"/>
                <w:lang w:val="en-US" w:eastAsia="zh-CN"/>
              </w:rPr>
              <w:t>项目组成见表2-1。</w:t>
            </w:r>
          </w:p>
          <w:p w14:paraId="01660F15">
            <w:pPr>
              <w:keepNext w:val="0"/>
              <w:keepLines w:val="0"/>
              <w:pageBreakBefore w:val="0"/>
              <w:widowControl w:val="0"/>
              <w:kinsoku/>
              <w:wordWrap/>
              <w:overflowPunct/>
              <w:topLinePunct w:val="0"/>
              <w:autoSpaceDE/>
              <w:autoSpaceDN/>
              <w:bidi w:val="0"/>
              <w:adjustRightInd w:val="0"/>
              <w:snapToGrid w:val="0"/>
              <w:ind w:left="0" w:leftChars="0" w:right="0" w:firstLine="420" w:firstLineChars="200"/>
              <w:jc w:val="center"/>
              <w:textAlignment w:val="auto"/>
              <w:rPr>
                <w:rFonts w:hint="default" w:ascii="Times New Roman" w:hAnsi="Times New Roman" w:eastAsia="黑体" w:cs="Times New Roman"/>
                <w:b w:val="0"/>
                <w:bCs w:val="0"/>
                <w:color w:val="auto"/>
                <w:sz w:val="21"/>
                <w:szCs w:val="24"/>
                <w:highlight w:val="none"/>
                <w:lang w:val="en-US" w:eastAsia="zh-CN"/>
              </w:rPr>
            </w:pPr>
            <w:r>
              <w:rPr>
                <w:rFonts w:hint="default" w:ascii="Times New Roman" w:hAnsi="Times New Roman" w:eastAsia="黑体" w:cs="Times New Roman"/>
                <w:b w:val="0"/>
                <w:bCs w:val="0"/>
                <w:color w:val="auto"/>
                <w:sz w:val="21"/>
                <w:szCs w:val="24"/>
                <w:highlight w:val="none"/>
                <w:lang w:val="en-US" w:eastAsia="zh-CN"/>
              </w:rPr>
              <w:t>表2-1项目工程组成一览表</w:t>
            </w:r>
          </w:p>
          <w:tbl>
            <w:tblPr>
              <w:tblStyle w:val="24"/>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1"/>
              <w:gridCol w:w="1245"/>
              <w:gridCol w:w="4688"/>
              <w:gridCol w:w="1078"/>
            </w:tblGrid>
            <w:tr w14:paraId="356A2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tcBorders>
                    <w:bottom w:val="single" w:color="auto" w:sz="12" w:space="0"/>
                  </w:tcBorders>
                  <w:noWrap w:val="0"/>
                  <w:vAlign w:val="center"/>
                </w:tcPr>
                <w:p w14:paraId="377A4218">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工程类别</w:t>
                  </w:r>
                </w:p>
              </w:tc>
              <w:tc>
                <w:tcPr>
                  <w:tcW w:w="1245" w:type="dxa"/>
                  <w:tcBorders>
                    <w:bottom w:val="single" w:color="auto" w:sz="12" w:space="0"/>
                  </w:tcBorders>
                  <w:noWrap w:val="0"/>
                  <w:vAlign w:val="center"/>
                </w:tcPr>
                <w:p w14:paraId="7332282D">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工程名称</w:t>
                  </w:r>
                </w:p>
              </w:tc>
              <w:tc>
                <w:tcPr>
                  <w:tcW w:w="4689" w:type="dxa"/>
                  <w:tcBorders>
                    <w:bottom w:val="single" w:color="auto" w:sz="12" w:space="0"/>
                  </w:tcBorders>
                  <w:noWrap w:val="0"/>
                  <w:vAlign w:val="center"/>
                </w:tcPr>
                <w:p w14:paraId="62A40889">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工程内容</w:t>
                  </w:r>
                </w:p>
              </w:tc>
              <w:tc>
                <w:tcPr>
                  <w:tcW w:w="1078" w:type="dxa"/>
                  <w:tcBorders>
                    <w:bottom w:val="single" w:color="auto" w:sz="12" w:space="0"/>
                  </w:tcBorders>
                  <w:noWrap w:val="0"/>
                  <w:vAlign w:val="center"/>
                </w:tcPr>
                <w:p w14:paraId="236DA097">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备注</w:t>
                  </w:r>
                </w:p>
              </w:tc>
            </w:tr>
            <w:tr w14:paraId="47CD1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tcBorders>
                    <w:top w:val="single" w:color="auto" w:sz="12" w:space="0"/>
                    <w:tl2br w:val="nil"/>
                    <w:tr2bl w:val="nil"/>
                  </w:tcBorders>
                  <w:noWrap w:val="0"/>
                  <w:vAlign w:val="center"/>
                </w:tcPr>
                <w:p w14:paraId="18DAC20D">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主体工程</w:t>
                  </w:r>
                </w:p>
              </w:tc>
              <w:tc>
                <w:tcPr>
                  <w:tcW w:w="1245" w:type="dxa"/>
                  <w:tcBorders>
                    <w:top w:val="single" w:color="auto" w:sz="12" w:space="0"/>
                    <w:tl2br w:val="nil"/>
                    <w:tr2bl w:val="nil"/>
                  </w:tcBorders>
                  <w:noWrap w:val="0"/>
                  <w:vAlign w:val="center"/>
                </w:tcPr>
                <w:p w14:paraId="09DFA733">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生产车间</w:t>
                  </w:r>
                </w:p>
              </w:tc>
              <w:tc>
                <w:tcPr>
                  <w:tcW w:w="4689" w:type="dxa"/>
                  <w:tcBorders>
                    <w:top w:val="single" w:color="auto" w:sz="12" w:space="0"/>
                    <w:tl2br w:val="nil"/>
                    <w:tr2bl w:val="nil"/>
                  </w:tcBorders>
                  <w:noWrap w:val="0"/>
                  <w:vAlign w:val="center"/>
                </w:tcPr>
                <w:p w14:paraId="53E63432">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eastAsia="宋体" w:cs="Times New Roman"/>
                      <w:color w:val="auto"/>
                      <w:sz w:val="21"/>
                      <w:szCs w:val="21"/>
                      <w:highlight w:val="none"/>
                      <w:vertAlign w:val="baseline"/>
                    </w:rPr>
                  </w:pPr>
                  <w:r>
                    <w:rPr>
                      <w:rFonts w:hint="default" w:ascii="Times New Roman" w:hAnsi="Times New Roman" w:cs="Times New Roman"/>
                      <w:color w:val="auto"/>
                      <w:sz w:val="21"/>
                      <w:szCs w:val="21"/>
                      <w:highlight w:val="none"/>
                      <w:lang w:val="en-US" w:eastAsia="zh-CN"/>
                    </w:rPr>
                    <w:t>新增占地面积4000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z w:val="21"/>
                      <w:szCs w:val="21"/>
                      <w:highlight w:val="none"/>
                      <w:lang w:val="en-US" w:eastAsia="zh-CN"/>
                    </w:rPr>
                    <w:t>新建一间4000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r>
                    <w:rPr>
                      <w:rFonts w:hint="default" w:ascii="Times New Roman" w:hAnsi="Times New Roman" w:cs="Times New Roman"/>
                      <w:color w:val="auto"/>
                      <w:sz w:val="21"/>
                      <w:szCs w:val="21"/>
                      <w:highlight w:val="none"/>
                      <w:vertAlign w:val="baseline"/>
                      <w:lang w:val="en-US" w:eastAsia="zh-CN"/>
                    </w:rPr>
                    <w:t>的生产车间，</w:t>
                  </w:r>
                  <w:r>
                    <w:rPr>
                      <w:rFonts w:hint="default" w:ascii="Times New Roman" w:hAnsi="Times New Roman" w:cs="Times New Roman"/>
                      <w:color w:val="auto"/>
                      <w:sz w:val="21"/>
                      <w:szCs w:val="21"/>
                      <w:highlight w:val="none"/>
                    </w:rPr>
                    <w:t>建设</w:t>
                  </w:r>
                  <w:r>
                    <w:rPr>
                      <w:rFonts w:hint="default" w:ascii="Times New Roman" w:hAnsi="Times New Roman" w:cs="Times New Roman"/>
                      <w:color w:val="auto"/>
                      <w:sz w:val="21"/>
                      <w:szCs w:val="21"/>
                      <w:highlight w:val="none"/>
                      <w:lang w:val="en-US" w:eastAsia="zh-CN"/>
                    </w:rPr>
                    <w:t>地膜</w:t>
                  </w:r>
                  <w:r>
                    <w:rPr>
                      <w:rFonts w:hint="default" w:ascii="Times New Roman" w:hAnsi="Times New Roman" w:cs="Times New Roman"/>
                      <w:color w:val="auto"/>
                      <w:sz w:val="21"/>
                      <w:szCs w:val="21"/>
                      <w:highlight w:val="none"/>
                    </w:rPr>
                    <w:t>生产线</w:t>
                  </w:r>
                  <w:r>
                    <w:rPr>
                      <w:rFonts w:hint="default" w:ascii="Times New Roman" w:hAnsi="Times New Roman" w:cs="Times New Roman"/>
                      <w:color w:val="auto"/>
                      <w:sz w:val="21"/>
                      <w:szCs w:val="21"/>
                      <w:highlight w:val="none"/>
                      <w:lang w:val="en-US" w:eastAsia="zh-CN"/>
                    </w:rPr>
                    <w:t>20</w:t>
                  </w:r>
                  <w:r>
                    <w:rPr>
                      <w:rFonts w:hint="default" w:ascii="Times New Roman" w:hAnsi="Times New Roman" w:cs="Times New Roman"/>
                      <w:color w:val="auto"/>
                      <w:sz w:val="21"/>
                      <w:szCs w:val="21"/>
                      <w:highlight w:val="none"/>
                    </w:rPr>
                    <w:t>条</w:t>
                  </w:r>
                </w:p>
              </w:tc>
              <w:tc>
                <w:tcPr>
                  <w:tcW w:w="1078" w:type="dxa"/>
                  <w:tcBorders>
                    <w:top w:val="single" w:color="auto" w:sz="12" w:space="0"/>
                    <w:tl2br w:val="nil"/>
                    <w:tr2bl w:val="nil"/>
                  </w:tcBorders>
                  <w:noWrap w:val="0"/>
                  <w:vAlign w:val="center"/>
                </w:tcPr>
                <w:p w14:paraId="174E5E46">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本次扩建</w:t>
                  </w:r>
                </w:p>
              </w:tc>
            </w:tr>
            <w:tr w14:paraId="4CC2C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tcBorders>
                    <w:tl2br w:val="nil"/>
                    <w:tr2bl w:val="nil"/>
                  </w:tcBorders>
                  <w:noWrap w:val="0"/>
                  <w:vAlign w:val="center"/>
                </w:tcPr>
                <w:p w14:paraId="03634B35">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储运工程</w:t>
                  </w:r>
                </w:p>
              </w:tc>
              <w:tc>
                <w:tcPr>
                  <w:tcW w:w="1245" w:type="dxa"/>
                  <w:tcBorders>
                    <w:tl2br w:val="nil"/>
                    <w:tr2bl w:val="nil"/>
                  </w:tcBorders>
                  <w:noWrap w:val="0"/>
                  <w:vAlign w:val="center"/>
                </w:tcPr>
                <w:p w14:paraId="269DC189">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库房</w:t>
                  </w:r>
                </w:p>
              </w:tc>
              <w:tc>
                <w:tcPr>
                  <w:tcW w:w="4689" w:type="dxa"/>
                  <w:tcBorders>
                    <w:tl2br w:val="nil"/>
                    <w:tr2bl w:val="nil"/>
                  </w:tcBorders>
                  <w:noWrap w:val="0"/>
                  <w:vAlign w:val="center"/>
                </w:tcPr>
                <w:p w14:paraId="538B9A11">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占地面积1000</w:t>
                  </w:r>
                  <w:r>
                    <w:rPr>
                      <w:rFonts w:hint="default" w:ascii="Times New Roman" w:hAnsi="Times New Roman" w:cs="Times New Roman"/>
                      <w:color w:val="auto"/>
                      <w:sz w:val="21"/>
                      <w:szCs w:val="21"/>
                      <w:highlight w:val="none"/>
                    </w:rPr>
                    <w:t>m</w:t>
                  </w:r>
                  <w:r>
                    <w:rPr>
                      <w:rFonts w:hint="default" w:ascii="Times New Roman" w:hAnsi="Times New Roman" w:cs="Times New Roman"/>
                      <w:color w:val="auto"/>
                      <w:sz w:val="21"/>
                      <w:szCs w:val="21"/>
                      <w:highlight w:val="none"/>
                      <w:vertAlign w:val="superscript"/>
                    </w:rPr>
                    <w:t>2</w:t>
                  </w:r>
                </w:p>
              </w:tc>
              <w:tc>
                <w:tcPr>
                  <w:tcW w:w="1078" w:type="dxa"/>
                  <w:tcBorders>
                    <w:tl2br w:val="nil"/>
                    <w:tr2bl w:val="nil"/>
                  </w:tcBorders>
                  <w:noWrap w:val="0"/>
                  <w:vAlign w:val="center"/>
                </w:tcPr>
                <w:p w14:paraId="49CC1AF6">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依托现有</w:t>
                  </w:r>
                </w:p>
              </w:tc>
            </w:tr>
            <w:tr w14:paraId="191228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tcBorders>
                    <w:tl2br w:val="nil"/>
                    <w:tr2bl w:val="nil"/>
                  </w:tcBorders>
                  <w:noWrap w:val="0"/>
                  <w:vAlign w:val="center"/>
                </w:tcPr>
                <w:p w14:paraId="044E100E">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辅助工程</w:t>
                  </w:r>
                </w:p>
              </w:tc>
              <w:tc>
                <w:tcPr>
                  <w:tcW w:w="1245" w:type="dxa"/>
                  <w:tcBorders>
                    <w:tl2br w:val="nil"/>
                    <w:tr2bl w:val="nil"/>
                  </w:tcBorders>
                  <w:noWrap w:val="0"/>
                  <w:vAlign w:val="center"/>
                </w:tcPr>
                <w:p w14:paraId="7579CCB9">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服务用房</w:t>
                  </w:r>
                </w:p>
              </w:tc>
              <w:tc>
                <w:tcPr>
                  <w:tcW w:w="4689" w:type="dxa"/>
                  <w:tcBorders>
                    <w:tl2br w:val="nil"/>
                    <w:tr2bl w:val="nil"/>
                  </w:tcBorders>
                  <w:noWrap w:val="0"/>
                  <w:vAlign w:val="center"/>
                </w:tcPr>
                <w:p w14:paraId="742A85CA">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办公</w:t>
                  </w:r>
                  <w:r>
                    <w:rPr>
                      <w:rFonts w:hint="default" w:ascii="Times New Roman" w:hAnsi="Times New Roman" w:cs="Times New Roman"/>
                      <w:color w:val="auto"/>
                      <w:sz w:val="21"/>
                      <w:szCs w:val="21"/>
                      <w:highlight w:val="none"/>
                      <w:lang w:val="en-US" w:eastAsia="zh-CN"/>
                    </w:rPr>
                    <w:t>生活</w:t>
                  </w:r>
                  <w:r>
                    <w:rPr>
                      <w:rFonts w:hint="default" w:ascii="Times New Roman" w:hAnsi="Times New Roman" w:cs="Times New Roman"/>
                      <w:color w:val="auto"/>
                      <w:sz w:val="21"/>
                      <w:szCs w:val="21"/>
                      <w:highlight w:val="none"/>
                    </w:rPr>
                    <w:t>区域面积为</w:t>
                  </w:r>
                  <w:r>
                    <w:rPr>
                      <w:rFonts w:hint="default" w:ascii="Times New Roman" w:hAnsi="Times New Roman" w:cs="Times New Roman"/>
                      <w:color w:val="auto"/>
                      <w:sz w:val="21"/>
                      <w:szCs w:val="21"/>
                      <w:highlight w:val="none"/>
                      <w:lang w:val="en-US" w:eastAsia="zh-CN"/>
                    </w:rPr>
                    <w:t>占地面积为1000m</w:t>
                  </w:r>
                  <w:r>
                    <w:rPr>
                      <w:rFonts w:hint="default" w:ascii="Times New Roman" w:hAnsi="Times New Roman" w:cs="Times New Roman"/>
                      <w:color w:val="auto"/>
                      <w:sz w:val="21"/>
                      <w:szCs w:val="21"/>
                      <w:highlight w:val="none"/>
                      <w:vertAlign w:val="superscript"/>
                      <w:lang w:val="en-US" w:eastAsia="zh-CN"/>
                    </w:rPr>
                    <w:t>2</w:t>
                  </w:r>
                </w:p>
              </w:tc>
              <w:tc>
                <w:tcPr>
                  <w:tcW w:w="1078" w:type="dxa"/>
                  <w:tcBorders>
                    <w:tl2br w:val="nil"/>
                    <w:tr2bl w:val="nil"/>
                  </w:tcBorders>
                  <w:noWrap w:val="0"/>
                  <w:vAlign w:val="center"/>
                </w:tcPr>
                <w:p w14:paraId="562A5A86">
                  <w:pPr>
                    <w:keepNext w:val="0"/>
                    <w:keepLines w:val="0"/>
                    <w:pageBreakBefore w:val="0"/>
                    <w:kinsoku/>
                    <w:wordWrap/>
                    <w:overflowPunct/>
                    <w:topLinePunct w:val="0"/>
                    <w:autoSpaceDE/>
                    <w:autoSpaceDN/>
                    <w:bidi w:val="0"/>
                    <w:spacing w:beforeAutospacing="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依托现有</w:t>
                  </w:r>
                </w:p>
              </w:tc>
            </w:tr>
            <w:tr w14:paraId="16EE44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vMerge w:val="restart"/>
                  <w:tcBorders>
                    <w:tl2br w:val="nil"/>
                    <w:tr2bl w:val="nil"/>
                  </w:tcBorders>
                  <w:noWrap w:val="0"/>
                  <w:vAlign w:val="center"/>
                </w:tcPr>
                <w:p w14:paraId="41B0B857">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公用工程</w:t>
                  </w:r>
                </w:p>
              </w:tc>
              <w:tc>
                <w:tcPr>
                  <w:tcW w:w="1245" w:type="dxa"/>
                  <w:tcBorders>
                    <w:tl2br w:val="nil"/>
                    <w:tr2bl w:val="nil"/>
                  </w:tcBorders>
                  <w:noWrap w:val="0"/>
                  <w:vAlign w:val="center"/>
                </w:tcPr>
                <w:p w14:paraId="7E95E008">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供水</w:t>
                  </w:r>
                </w:p>
              </w:tc>
              <w:tc>
                <w:tcPr>
                  <w:tcW w:w="4689" w:type="dxa"/>
                  <w:tcBorders>
                    <w:tl2br w:val="nil"/>
                    <w:tr2bl w:val="nil"/>
                  </w:tcBorders>
                  <w:noWrap w:val="0"/>
                  <w:vAlign w:val="center"/>
                </w:tcPr>
                <w:p w14:paraId="21BC9364">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连接</w:t>
                  </w:r>
                  <w:r>
                    <w:rPr>
                      <w:rFonts w:hint="default" w:ascii="Times New Roman" w:hAnsi="Times New Roman" w:cs="Times New Roman"/>
                      <w:color w:val="auto"/>
                      <w:sz w:val="21"/>
                      <w:szCs w:val="21"/>
                      <w:highlight w:val="none"/>
                      <w:lang w:val="en-US" w:eastAsia="zh-CN"/>
                    </w:rPr>
                    <w:t>市政</w:t>
                  </w:r>
                  <w:r>
                    <w:rPr>
                      <w:rFonts w:hint="default" w:ascii="Times New Roman" w:hAnsi="Times New Roman" w:cs="Times New Roman"/>
                      <w:color w:val="auto"/>
                      <w:sz w:val="21"/>
                      <w:szCs w:val="21"/>
                      <w:highlight w:val="none"/>
                    </w:rPr>
                    <w:t>供水管网</w:t>
                  </w:r>
                </w:p>
              </w:tc>
              <w:tc>
                <w:tcPr>
                  <w:tcW w:w="1078" w:type="dxa"/>
                  <w:tcBorders>
                    <w:tl2br w:val="nil"/>
                    <w:tr2bl w:val="nil"/>
                  </w:tcBorders>
                  <w:noWrap w:val="0"/>
                  <w:vAlign w:val="center"/>
                </w:tcPr>
                <w:p w14:paraId="50AF728B">
                  <w:pPr>
                    <w:keepNext w:val="0"/>
                    <w:keepLines w:val="0"/>
                    <w:pageBreakBefore w:val="0"/>
                    <w:kinsoku/>
                    <w:wordWrap/>
                    <w:overflowPunct/>
                    <w:topLinePunct w:val="0"/>
                    <w:autoSpaceDE/>
                    <w:autoSpaceDN/>
                    <w:bidi w:val="0"/>
                    <w:spacing w:beforeAutospacing="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5263D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vMerge w:val="continue"/>
                  <w:tcBorders>
                    <w:tl2br w:val="nil"/>
                    <w:tr2bl w:val="nil"/>
                  </w:tcBorders>
                  <w:noWrap w:val="0"/>
                  <w:vAlign w:val="center"/>
                </w:tcPr>
                <w:p w14:paraId="3969DAF1">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p>
              </w:tc>
              <w:tc>
                <w:tcPr>
                  <w:tcW w:w="1245" w:type="dxa"/>
                  <w:tcBorders>
                    <w:tl2br w:val="nil"/>
                    <w:tr2bl w:val="nil"/>
                  </w:tcBorders>
                  <w:noWrap w:val="0"/>
                  <w:vAlign w:val="center"/>
                </w:tcPr>
                <w:p w14:paraId="64E79836">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排水</w:t>
                  </w:r>
                </w:p>
              </w:tc>
              <w:tc>
                <w:tcPr>
                  <w:tcW w:w="4689" w:type="dxa"/>
                  <w:tcBorders>
                    <w:tl2br w:val="nil"/>
                    <w:tr2bl w:val="nil"/>
                  </w:tcBorders>
                  <w:noWrap w:val="0"/>
                  <w:vAlign w:val="center"/>
                </w:tcPr>
                <w:p w14:paraId="47DAB35F">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无生产废水，</w:t>
                  </w:r>
                  <w:r>
                    <w:rPr>
                      <w:rFonts w:hint="default" w:ascii="Times New Roman" w:hAnsi="Times New Roman" w:cs="Times New Roman"/>
                      <w:color w:val="auto"/>
                      <w:sz w:val="21"/>
                      <w:szCs w:val="21"/>
                      <w:highlight w:val="none"/>
                      <w:lang w:eastAsia="zh-CN"/>
                    </w:rPr>
                    <w:t>生活污水</w:t>
                  </w:r>
                  <w:r>
                    <w:rPr>
                      <w:rFonts w:hint="default" w:ascii="Times New Roman" w:hAnsi="Times New Roman" w:cs="Times New Roman"/>
                      <w:color w:val="auto"/>
                      <w:sz w:val="21"/>
                      <w:szCs w:val="21"/>
                      <w:highlight w:val="none"/>
                      <w:lang w:val="en-US" w:eastAsia="zh-CN"/>
                    </w:rPr>
                    <w:t>由昌吉市污水处理厂统一处理</w:t>
                  </w:r>
                  <w:r>
                    <w:rPr>
                      <w:rFonts w:hint="default" w:ascii="Times New Roman" w:hAnsi="Times New Roman" w:cs="Times New Roman"/>
                      <w:color w:val="auto"/>
                      <w:sz w:val="21"/>
                      <w:szCs w:val="21"/>
                      <w:highlight w:val="none"/>
                    </w:rPr>
                    <w:t>。</w:t>
                  </w:r>
                </w:p>
              </w:tc>
              <w:tc>
                <w:tcPr>
                  <w:tcW w:w="1078" w:type="dxa"/>
                  <w:tcBorders>
                    <w:tl2br w:val="nil"/>
                    <w:tr2bl w:val="nil"/>
                  </w:tcBorders>
                  <w:noWrap w:val="0"/>
                  <w:vAlign w:val="center"/>
                </w:tcPr>
                <w:p w14:paraId="5D2870C1">
                  <w:pPr>
                    <w:keepNext w:val="0"/>
                    <w:keepLines w:val="0"/>
                    <w:pageBreakBefore w:val="0"/>
                    <w:kinsoku/>
                    <w:wordWrap/>
                    <w:overflowPunct/>
                    <w:topLinePunct w:val="0"/>
                    <w:autoSpaceDE/>
                    <w:autoSpaceDN/>
                    <w:bidi w:val="0"/>
                    <w:spacing w:beforeAutospacing="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753620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vMerge w:val="continue"/>
                  <w:tcBorders>
                    <w:tl2br w:val="nil"/>
                    <w:tr2bl w:val="nil"/>
                  </w:tcBorders>
                  <w:noWrap w:val="0"/>
                  <w:vAlign w:val="center"/>
                </w:tcPr>
                <w:p w14:paraId="13890075">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p>
              </w:tc>
              <w:tc>
                <w:tcPr>
                  <w:tcW w:w="1245" w:type="dxa"/>
                  <w:tcBorders>
                    <w:tl2br w:val="nil"/>
                    <w:tr2bl w:val="nil"/>
                  </w:tcBorders>
                  <w:noWrap w:val="0"/>
                  <w:vAlign w:val="center"/>
                </w:tcPr>
                <w:p w14:paraId="20C4D1D4">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供电</w:t>
                  </w:r>
                </w:p>
              </w:tc>
              <w:tc>
                <w:tcPr>
                  <w:tcW w:w="4689" w:type="dxa"/>
                  <w:tcBorders>
                    <w:tl2br w:val="nil"/>
                    <w:tr2bl w:val="nil"/>
                  </w:tcBorders>
                  <w:noWrap w:val="0"/>
                  <w:vAlign w:val="center"/>
                </w:tcPr>
                <w:p w14:paraId="73D0946C">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市政</w:t>
                  </w:r>
                  <w:r>
                    <w:rPr>
                      <w:rFonts w:hint="default" w:ascii="Times New Roman" w:hAnsi="Times New Roman" w:cs="Times New Roman"/>
                      <w:color w:val="auto"/>
                      <w:sz w:val="21"/>
                      <w:szCs w:val="21"/>
                      <w:highlight w:val="none"/>
                    </w:rPr>
                    <w:t>电网供电</w:t>
                  </w:r>
                </w:p>
              </w:tc>
              <w:tc>
                <w:tcPr>
                  <w:tcW w:w="1078" w:type="dxa"/>
                  <w:tcBorders>
                    <w:tl2br w:val="nil"/>
                    <w:tr2bl w:val="nil"/>
                  </w:tcBorders>
                  <w:noWrap w:val="0"/>
                  <w:vAlign w:val="center"/>
                </w:tcPr>
                <w:p w14:paraId="2931DE7A">
                  <w:pPr>
                    <w:keepNext w:val="0"/>
                    <w:keepLines w:val="0"/>
                    <w:pageBreakBefore w:val="0"/>
                    <w:kinsoku/>
                    <w:wordWrap/>
                    <w:overflowPunct/>
                    <w:topLinePunct w:val="0"/>
                    <w:autoSpaceDE/>
                    <w:autoSpaceDN/>
                    <w:bidi w:val="0"/>
                    <w:spacing w:beforeAutospacing="0" w:afterAutospacing="0"/>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FF84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vMerge w:val="continue"/>
                  <w:tcBorders>
                    <w:tl2br w:val="nil"/>
                    <w:tr2bl w:val="nil"/>
                  </w:tcBorders>
                  <w:noWrap w:val="0"/>
                  <w:vAlign w:val="center"/>
                </w:tcPr>
                <w:p w14:paraId="66CEB898">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p>
              </w:tc>
              <w:tc>
                <w:tcPr>
                  <w:tcW w:w="1245" w:type="dxa"/>
                  <w:tcBorders>
                    <w:tl2br w:val="nil"/>
                    <w:tr2bl w:val="nil"/>
                  </w:tcBorders>
                  <w:noWrap w:val="0"/>
                  <w:vAlign w:val="center"/>
                </w:tcPr>
                <w:p w14:paraId="5E8841EA">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供暖</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供热</w:t>
                  </w:r>
                </w:p>
              </w:tc>
              <w:tc>
                <w:tcPr>
                  <w:tcW w:w="4689" w:type="dxa"/>
                  <w:tcBorders>
                    <w:tl2br w:val="nil"/>
                    <w:tr2bl w:val="nil"/>
                  </w:tcBorders>
                  <w:noWrap w:val="0"/>
                  <w:vAlign w:val="center"/>
                </w:tcPr>
                <w:p w14:paraId="11DC4977">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项目区采用电锅炉采暖、供热</w:t>
                  </w:r>
                </w:p>
              </w:tc>
              <w:tc>
                <w:tcPr>
                  <w:tcW w:w="1078" w:type="dxa"/>
                  <w:tcBorders>
                    <w:tl2br w:val="nil"/>
                    <w:tr2bl w:val="nil"/>
                  </w:tcBorders>
                  <w:noWrap w:val="0"/>
                  <w:vAlign w:val="center"/>
                </w:tcPr>
                <w:p w14:paraId="0FE51330">
                  <w:pPr>
                    <w:keepNext w:val="0"/>
                    <w:keepLines w:val="0"/>
                    <w:pageBreakBefore w:val="0"/>
                    <w:kinsoku/>
                    <w:wordWrap/>
                    <w:overflowPunct/>
                    <w:topLinePunct w:val="0"/>
                    <w:autoSpaceDE/>
                    <w:autoSpaceDN/>
                    <w:bidi w:val="0"/>
                    <w:spacing w:beforeAutospacing="0" w:afterAutospacing="0"/>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1F0409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vMerge w:val="restart"/>
                  <w:tcBorders>
                    <w:tl2br w:val="nil"/>
                    <w:tr2bl w:val="nil"/>
                  </w:tcBorders>
                  <w:noWrap w:val="0"/>
                  <w:vAlign w:val="center"/>
                </w:tcPr>
                <w:p w14:paraId="7887FDBC">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环保工程</w:t>
                  </w:r>
                </w:p>
              </w:tc>
              <w:tc>
                <w:tcPr>
                  <w:tcW w:w="1245" w:type="dxa"/>
                  <w:tcBorders>
                    <w:tl2br w:val="nil"/>
                    <w:tr2bl w:val="nil"/>
                  </w:tcBorders>
                  <w:noWrap w:val="0"/>
                  <w:vAlign w:val="center"/>
                </w:tcPr>
                <w:p w14:paraId="47F768CE">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4689" w:type="dxa"/>
                  <w:tcBorders>
                    <w:tl2br w:val="nil"/>
                    <w:tr2bl w:val="nil"/>
                  </w:tcBorders>
                  <w:noWrap w:val="0"/>
                  <w:vAlign w:val="center"/>
                </w:tcPr>
                <w:p w14:paraId="605E4357">
                  <w:pPr>
                    <w:keepNext w:val="0"/>
                    <w:keepLines w:val="0"/>
                    <w:pageBreakBefore w:val="0"/>
                    <w:widowControl/>
                    <w:suppressLineNumbers w:val="0"/>
                    <w:kinsoku/>
                    <w:wordWrap/>
                    <w:overflowPunct/>
                    <w:topLinePunct w:val="0"/>
                    <w:autoSpaceDE/>
                    <w:autoSpaceDN/>
                    <w:bidi w:val="0"/>
                    <w:ind w:left="0" w:leftChars="0" w:right="0"/>
                    <w:jc w:val="center"/>
                    <w:textAlignment w:val="auto"/>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VOCs（以非甲烷总烃计）</w:t>
                  </w:r>
                  <w:r>
                    <w:rPr>
                      <w:rFonts w:hint="default" w:ascii="Times New Roman" w:hAnsi="Times New Roman" w:eastAsia="宋体" w:cs="Times New Roman"/>
                      <w:color w:val="auto"/>
                      <w:sz w:val="21"/>
                      <w:szCs w:val="21"/>
                      <w:highlight w:val="none"/>
                      <w:lang w:val="en-US" w:eastAsia="zh-CN"/>
                    </w:rPr>
                    <w:t>通过</w:t>
                  </w:r>
                  <w:r>
                    <w:rPr>
                      <w:rFonts w:hint="default" w:ascii="Times New Roman" w:hAnsi="Times New Roman" w:cs="Times New Roman"/>
                      <w:color w:val="auto"/>
                      <w:sz w:val="21"/>
                      <w:szCs w:val="21"/>
                      <w:highlight w:val="none"/>
                      <w:lang w:val="en-US" w:eastAsia="zh-CN"/>
                    </w:rPr>
                    <w:t>在20个基础机上方各设置20个</w:t>
                  </w: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cs="Times New Roman"/>
                      <w:color w:val="auto"/>
                      <w:sz w:val="21"/>
                      <w:szCs w:val="21"/>
                      <w:highlight w:val="none"/>
                      <w:lang w:val="en-US" w:eastAsia="zh-CN"/>
                    </w:rPr>
                    <w:t>活性炭吸附脱附+催化燃烧装置处理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最终经15m高排气筒排放；</w:t>
                  </w:r>
                </w:p>
              </w:tc>
              <w:tc>
                <w:tcPr>
                  <w:tcW w:w="1078" w:type="dxa"/>
                  <w:tcBorders>
                    <w:tl2br w:val="nil"/>
                    <w:tr2bl w:val="nil"/>
                  </w:tcBorders>
                  <w:noWrap w:val="0"/>
                  <w:vAlign w:val="center"/>
                </w:tcPr>
                <w:p w14:paraId="7904FD43">
                  <w:pPr>
                    <w:keepNext w:val="0"/>
                    <w:keepLines w:val="0"/>
                    <w:pageBreakBefore w:val="0"/>
                    <w:kinsoku/>
                    <w:wordWrap/>
                    <w:overflowPunct/>
                    <w:topLinePunct w:val="0"/>
                    <w:autoSpaceDE/>
                    <w:autoSpaceDN/>
                    <w:bidi w:val="0"/>
                    <w:spacing w:beforeAutospacing="0" w:afterAutospacing="0"/>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本次新建</w:t>
                  </w:r>
                </w:p>
              </w:tc>
            </w:tr>
            <w:tr w14:paraId="7B1376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vMerge w:val="continue"/>
                  <w:tcBorders>
                    <w:tl2br w:val="nil"/>
                    <w:tr2bl w:val="nil"/>
                  </w:tcBorders>
                  <w:noWrap w:val="0"/>
                  <w:vAlign w:val="center"/>
                </w:tcPr>
                <w:p w14:paraId="7AC4FE24">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p>
              </w:tc>
              <w:tc>
                <w:tcPr>
                  <w:tcW w:w="1245" w:type="dxa"/>
                  <w:tcBorders>
                    <w:tl2br w:val="nil"/>
                    <w:tr2bl w:val="nil"/>
                  </w:tcBorders>
                  <w:noWrap w:val="0"/>
                  <w:vAlign w:val="center"/>
                </w:tcPr>
                <w:p w14:paraId="4468E7B5">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废水</w:t>
                  </w:r>
                </w:p>
              </w:tc>
              <w:tc>
                <w:tcPr>
                  <w:tcW w:w="4689" w:type="dxa"/>
                  <w:tcBorders>
                    <w:tl2br w:val="nil"/>
                    <w:tr2bl w:val="nil"/>
                  </w:tcBorders>
                  <w:noWrap w:val="0"/>
                  <w:vAlign w:val="center"/>
                </w:tcPr>
                <w:p w14:paraId="47673450">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无生产废水。</w:t>
                  </w:r>
                  <w:r>
                    <w:rPr>
                      <w:rFonts w:hint="default" w:ascii="Times New Roman" w:hAnsi="Times New Roman" w:cs="Times New Roman"/>
                      <w:color w:val="auto"/>
                      <w:sz w:val="21"/>
                      <w:szCs w:val="21"/>
                      <w:highlight w:val="none"/>
                      <w:lang w:eastAsia="zh-CN"/>
                    </w:rPr>
                    <w:t>生活污水</w:t>
                  </w:r>
                  <w:r>
                    <w:rPr>
                      <w:rFonts w:hint="default" w:ascii="Times New Roman" w:hAnsi="Times New Roman" w:cs="Times New Roman"/>
                      <w:color w:val="auto"/>
                      <w:sz w:val="21"/>
                      <w:szCs w:val="21"/>
                      <w:highlight w:val="none"/>
                      <w:lang w:val="en-US" w:eastAsia="zh-CN"/>
                    </w:rPr>
                    <w:t>由昌吉市污水处理厂统一处理</w:t>
                  </w:r>
                  <w:r>
                    <w:rPr>
                      <w:rFonts w:hint="default" w:ascii="Times New Roman" w:hAnsi="Times New Roman" w:cs="Times New Roman"/>
                      <w:color w:val="auto"/>
                      <w:sz w:val="21"/>
                      <w:szCs w:val="21"/>
                      <w:highlight w:val="none"/>
                    </w:rPr>
                    <w:t>。</w:t>
                  </w:r>
                </w:p>
              </w:tc>
              <w:tc>
                <w:tcPr>
                  <w:tcW w:w="1078" w:type="dxa"/>
                  <w:tcBorders>
                    <w:tl2br w:val="nil"/>
                    <w:tr2bl w:val="nil"/>
                  </w:tcBorders>
                  <w:noWrap w:val="0"/>
                  <w:vAlign w:val="center"/>
                </w:tcPr>
                <w:p w14:paraId="76AEEF01">
                  <w:pPr>
                    <w:keepNext w:val="0"/>
                    <w:keepLines w:val="0"/>
                    <w:pageBreakBefore w:val="0"/>
                    <w:kinsoku/>
                    <w:wordWrap/>
                    <w:overflowPunct/>
                    <w:topLinePunct w:val="0"/>
                    <w:autoSpaceDE/>
                    <w:autoSpaceDN/>
                    <w:bidi w:val="0"/>
                    <w:spacing w:beforeAutospacing="0" w:afterAutospacing="0"/>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71389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 w:hRule="atLeast"/>
                <w:jc w:val="center"/>
              </w:trPr>
              <w:tc>
                <w:tcPr>
                  <w:tcW w:w="761" w:type="dxa"/>
                  <w:vMerge w:val="continue"/>
                  <w:tcBorders>
                    <w:tl2br w:val="nil"/>
                    <w:tr2bl w:val="nil"/>
                  </w:tcBorders>
                  <w:noWrap w:val="0"/>
                  <w:vAlign w:val="center"/>
                </w:tcPr>
                <w:p w14:paraId="23C000FF">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p>
              </w:tc>
              <w:tc>
                <w:tcPr>
                  <w:tcW w:w="1245" w:type="dxa"/>
                  <w:tcBorders>
                    <w:tl2br w:val="nil"/>
                    <w:tr2bl w:val="nil"/>
                  </w:tcBorders>
                  <w:noWrap w:val="0"/>
                  <w:vAlign w:val="center"/>
                </w:tcPr>
                <w:p w14:paraId="0AF8A63C">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4689" w:type="dxa"/>
                  <w:tcBorders>
                    <w:tl2br w:val="nil"/>
                    <w:tr2bl w:val="nil"/>
                  </w:tcBorders>
                  <w:noWrap w:val="0"/>
                  <w:vAlign w:val="center"/>
                </w:tcPr>
                <w:p w14:paraId="320ABBDA">
                  <w:pPr>
                    <w:pStyle w:val="22"/>
                    <w:keepNext w:val="0"/>
                    <w:keepLines w:val="0"/>
                    <w:pageBreakBefore w:val="0"/>
                    <w:kinsoku/>
                    <w:wordWrap/>
                    <w:overflowPunct/>
                    <w:topLinePunct w:val="0"/>
                    <w:autoSpaceDE/>
                    <w:autoSpaceDN/>
                    <w:bidi w:val="0"/>
                    <w:spacing w:before="0" w:beforeAutospacing="0" w:after="0" w:afterAutospacing="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生产设备隔声、减振、消声等。</w:t>
                  </w:r>
                </w:p>
              </w:tc>
              <w:tc>
                <w:tcPr>
                  <w:tcW w:w="1078" w:type="dxa"/>
                  <w:tcBorders>
                    <w:tl2br w:val="nil"/>
                    <w:tr2bl w:val="nil"/>
                  </w:tcBorders>
                  <w:noWrap w:val="0"/>
                  <w:vAlign w:val="center"/>
                </w:tcPr>
                <w:p w14:paraId="09005184">
                  <w:pPr>
                    <w:keepNext w:val="0"/>
                    <w:keepLines w:val="0"/>
                    <w:pageBreakBefore w:val="0"/>
                    <w:kinsoku/>
                    <w:wordWrap/>
                    <w:overflowPunct/>
                    <w:topLinePunct w:val="0"/>
                    <w:autoSpaceDE/>
                    <w:autoSpaceDN/>
                    <w:bidi w:val="0"/>
                    <w:spacing w:beforeAutospacing="0" w:afterAutospacing="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59AA39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vMerge w:val="continue"/>
                  <w:tcBorders>
                    <w:tl2br w:val="nil"/>
                    <w:tr2bl w:val="nil"/>
                  </w:tcBorders>
                  <w:noWrap w:val="0"/>
                  <w:vAlign w:val="center"/>
                </w:tcPr>
                <w:p w14:paraId="4AF6C04C">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p>
              </w:tc>
              <w:tc>
                <w:tcPr>
                  <w:tcW w:w="1245" w:type="dxa"/>
                  <w:vMerge w:val="restart"/>
                  <w:tcBorders>
                    <w:tl2br w:val="nil"/>
                    <w:tr2bl w:val="nil"/>
                  </w:tcBorders>
                  <w:noWrap w:val="0"/>
                  <w:vAlign w:val="center"/>
                </w:tcPr>
                <w:p w14:paraId="5F967D00">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固废</w:t>
                  </w:r>
                </w:p>
              </w:tc>
              <w:tc>
                <w:tcPr>
                  <w:tcW w:w="4689" w:type="dxa"/>
                  <w:tcBorders>
                    <w:tl2br w:val="nil"/>
                    <w:tr2bl w:val="nil"/>
                  </w:tcBorders>
                  <w:noWrap w:val="0"/>
                  <w:vAlign w:val="center"/>
                </w:tcPr>
                <w:p w14:paraId="72BB001C">
                  <w:pPr>
                    <w:pStyle w:val="53"/>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不合格品、边角料等一般固废经收集后循环使用</w:t>
                  </w:r>
                </w:p>
              </w:tc>
              <w:tc>
                <w:tcPr>
                  <w:tcW w:w="1078" w:type="dxa"/>
                  <w:tcBorders>
                    <w:tl2br w:val="nil"/>
                    <w:tr2bl w:val="nil"/>
                  </w:tcBorders>
                  <w:noWrap w:val="0"/>
                  <w:vAlign w:val="center"/>
                </w:tcPr>
                <w:p w14:paraId="591344D2">
                  <w:pPr>
                    <w:keepNext w:val="0"/>
                    <w:keepLines w:val="0"/>
                    <w:pageBreakBefore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r w14:paraId="4636F3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1" w:type="dxa"/>
                  <w:vMerge w:val="continue"/>
                  <w:tcBorders>
                    <w:tl2br w:val="nil"/>
                    <w:tr2bl w:val="nil"/>
                  </w:tcBorders>
                  <w:noWrap w:val="0"/>
                  <w:vAlign w:val="center"/>
                </w:tcPr>
                <w:p w14:paraId="6C6F08BC">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p>
              </w:tc>
              <w:tc>
                <w:tcPr>
                  <w:tcW w:w="1245" w:type="dxa"/>
                  <w:vMerge w:val="continue"/>
                  <w:tcBorders>
                    <w:tl2br w:val="nil"/>
                    <w:tr2bl w:val="nil"/>
                  </w:tcBorders>
                  <w:noWrap w:val="0"/>
                  <w:vAlign w:val="center"/>
                </w:tcPr>
                <w:p w14:paraId="0BFB0C74">
                  <w:pPr>
                    <w:keepNext w:val="0"/>
                    <w:keepLines w:val="0"/>
                    <w:pageBreakBefore w:val="0"/>
                    <w:kinsoku/>
                    <w:wordWrap/>
                    <w:overflowPunct/>
                    <w:topLinePunct w:val="0"/>
                    <w:autoSpaceDE/>
                    <w:autoSpaceDN/>
                    <w:bidi w:val="0"/>
                    <w:snapToGrid w:val="0"/>
                    <w:ind w:left="0" w:leftChars="0" w:right="0"/>
                    <w:jc w:val="center"/>
                    <w:textAlignment w:val="auto"/>
                    <w:rPr>
                      <w:rFonts w:hint="default" w:ascii="Times New Roman" w:hAnsi="Times New Roman" w:cs="Times New Roman"/>
                      <w:color w:val="auto"/>
                      <w:sz w:val="21"/>
                      <w:szCs w:val="21"/>
                      <w:highlight w:val="none"/>
                    </w:rPr>
                  </w:pPr>
                </w:p>
              </w:tc>
              <w:tc>
                <w:tcPr>
                  <w:tcW w:w="4689" w:type="dxa"/>
                  <w:tcBorders>
                    <w:tl2br w:val="nil"/>
                    <w:tr2bl w:val="nil"/>
                  </w:tcBorders>
                  <w:noWrap w:val="0"/>
                  <w:vAlign w:val="center"/>
                </w:tcPr>
                <w:p w14:paraId="4DAEAD6A">
                  <w:pPr>
                    <w:pStyle w:val="53"/>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both"/>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依托</w:t>
                  </w:r>
                  <w:r>
                    <w:rPr>
                      <w:rFonts w:hint="default" w:ascii="Times New Roman" w:hAnsi="Times New Roman" w:eastAsia="宋体" w:cs="Times New Roman"/>
                      <w:color w:val="auto"/>
                      <w:sz w:val="21"/>
                      <w:szCs w:val="21"/>
                      <w:highlight w:val="none"/>
                      <w:lang w:val="en-US" w:eastAsia="zh-CN"/>
                    </w:rPr>
                    <w:t>厂区内部建设</w:t>
                  </w:r>
                  <w:r>
                    <w:rPr>
                      <w:rFonts w:hint="default" w:ascii="Times New Roman" w:hAnsi="Times New Roman" w:cs="Times New Roman"/>
                      <w:color w:val="auto"/>
                      <w:sz w:val="21"/>
                      <w:szCs w:val="21"/>
                      <w:highlight w:val="none"/>
                      <w:lang w:val="en-US" w:eastAsia="zh-CN"/>
                    </w:rPr>
                    <w:t>危废暂存点</w:t>
                  </w:r>
                  <w:r>
                    <w:rPr>
                      <w:rFonts w:hint="default" w:ascii="Times New Roman" w:hAnsi="Times New Roman" w:eastAsia="宋体" w:cs="Times New Roman"/>
                      <w:color w:val="auto"/>
                      <w:sz w:val="21"/>
                      <w:szCs w:val="21"/>
                      <w:highlight w:val="none"/>
                      <w:lang w:val="en-US" w:eastAsia="zh-CN"/>
                    </w:rPr>
                    <w:t>，收集后定期交由具备危废处理资质单位处理</w:t>
                  </w:r>
                </w:p>
              </w:tc>
              <w:tc>
                <w:tcPr>
                  <w:tcW w:w="1078" w:type="dxa"/>
                  <w:tcBorders>
                    <w:tl2br w:val="nil"/>
                    <w:tr2bl w:val="nil"/>
                  </w:tcBorders>
                  <w:noWrap w:val="0"/>
                  <w:vAlign w:val="center"/>
                </w:tcPr>
                <w:p w14:paraId="5A9D0B8C">
                  <w:pPr>
                    <w:keepNext w:val="0"/>
                    <w:keepLines w:val="0"/>
                    <w:pageBreakBefore w:val="0"/>
                    <w:kinsoku/>
                    <w:wordWrap/>
                    <w:overflowPunct/>
                    <w:topLinePunct w:val="0"/>
                    <w:autoSpaceDE/>
                    <w:autoSpaceDN/>
                    <w:bidi w:val="0"/>
                    <w:adjustRightInd w:val="0"/>
                    <w:snapToGrid w:val="0"/>
                    <w:ind w:left="0" w:leftChars="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r>
          </w:tbl>
          <w:p w14:paraId="079D38BA">
            <w:pPr>
              <w:keepLines w:val="0"/>
              <w:pageBreakBefore w:val="0"/>
              <w:kinsoku/>
              <w:wordWrap/>
              <w:overflowPunct/>
              <w:topLinePunct w:val="0"/>
              <w:bidi w:val="0"/>
              <w:adjustRightInd w:val="0"/>
              <w:snapToGrid w:val="0"/>
              <w:spacing w:line="360" w:lineRule="auto"/>
              <w:ind w:right="0"/>
              <w:rPr>
                <w:rFonts w:hint="default" w:ascii="Times New Roman" w:hAnsi="Times New Roman" w:eastAsia="宋体" w:cs="Times New Roman"/>
                <w:b/>
                <w:bCs/>
                <w:color w:val="auto"/>
                <w:sz w:val="24"/>
                <w:highlight w:val="none"/>
                <w:lang w:eastAsia="zh-CN"/>
              </w:rPr>
            </w:pPr>
            <w:r>
              <w:rPr>
                <w:rFonts w:hint="default" w:ascii="Times New Roman" w:hAnsi="Times New Roman" w:cs="Times New Roman"/>
                <w:b/>
                <w:bCs/>
                <w:color w:val="auto"/>
                <w:highlight w:val="none"/>
                <w:lang w:val="en-US" w:eastAsia="zh-CN"/>
              </w:rPr>
              <w:t>3.</w:t>
            </w:r>
            <w:r>
              <w:rPr>
                <w:rFonts w:hint="default" w:ascii="Times New Roman" w:hAnsi="Times New Roman" w:eastAsia="宋体" w:cs="Times New Roman"/>
                <w:b/>
                <w:bCs/>
                <w:color w:val="auto"/>
                <w:sz w:val="24"/>
                <w:highlight w:val="none"/>
              </w:rPr>
              <w:t>主要生产设备</w:t>
            </w:r>
          </w:p>
          <w:p w14:paraId="3F4ABAC4">
            <w:pPr>
              <w:keepLines w:val="0"/>
              <w:pageBreakBefore w:val="0"/>
              <w:kinsoku/>
              <w:wordWrap/>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本项目主要生产设备详见下表。</w:t>
            </w:r>
          </w:p>
          <w:p w14:paraId="2C2CC948">
            <w:pPr>
              <w:keepNext w:val="0"/>
              <w:keepLines w:val="0"/>
              <w:pageBreakBefore w:val="0"/>
              <w:widowControl w:val="0"/>
              <w:kinsoku/>
              <w:wordWrap/>
              <w:overflowPunct/>
              <w:topLinePunct w:val="0"/>
              <w:autoSpaceDE/>
              <w:autoSpaceDN/>
              <w:bidi w:val="0"/>
              <w:adjustRightInd w:val="0"/>
              <w:snapToGrid w:val="0"/>
              <w:spacing w:line="240" w:lineRule="auto"/>
              <w:ind w:left="0" w:leftChars="0" w:right="0"/>
              <w:jc w:val="center"/>
              <w:textAlignment w:val="auto"/>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表</w:t>
            </w:r>
            <w:r>
              <w:rPr>
                <w:rFonts w:hint="default" w:ascii="Times New Roman" w:hAnsi="Times New Roman" w:eastAsia="黑体" w:cs="Times New Roman"/>
                <w:b w:val="0"/>
                <w:bCs w:val="0"/>
                <w:color w:val="auto"/>
                <w:sz w:val="24"/>
                <w:szCs w:val="24"/>
                <w:highlight w:val="none"/>
                <w:lang w:val="en-US" w:eastAsia="zh-CN"/>
              </w:rPr>
              <w:t>2-2</w:t>
            </w:r>
            <w:r>
              <w:rPr>
                <w:rFonts w:hint="default" w:ascii="Times New Roman" w:hAnsi="Times New Roman" w:eastAsia="黑体" w:cs="Times New Roman"/>
                <w:b w:val="0"/>
                <w:bCs w:val="0"/>
                <w:color w:val="auto"/>
                <w:sz w:val="24"/>
                <w:szCs w:val="24"/>
                <w:highlight w:val="none"/>
              </w:rPr>
              <w:t>主要生产设备表</w:t>
            </w:r>
          </w:p>
          <w:tbl>
            <w:tblPr>
              <w:tblStyle w:val="24"/>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7"/>
              <w:gridCol w:w="2470"/>
              <w:gridCol w:w="1671"/>
              <w:gridCol w:w="2711"/>
            </w:tblGrid>
            <w:tr w14:paraId="388CB4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635" w:type="pct"/>
                  <w:tcBorders>
                    <w:bottom w:val="single" w:color="auto" w:sz="12" w:space="0"/>
                  </w:tcBorders>
                  <w:noWrap w:val="0"/>
                  <w:vAlign w:val="center"/>
                </w:tcPr>
                <w:p w14:paraId="54D3B826">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序号</w:t>
                  </w:r>
                </w:p>
              </w:tc>
              <w:tc>
                <w:tcPr>
                  <w:tcW w:w="1573" w:type="pct"/>
                  <w:tcBorders>
                    <w:bottom w:val="single" w:color="auto" w:sz="12" w:space="0"/>
                  </w:tcBorders>
                  <w:noWrap w:val="0"/>
                  <w:vAlign w:val="center"/>
                </w:tcPr>
                <w:p w14:paraId="4A4EB6E1">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名称</w:t>
                  </w:r>
                </w:p>
              </w:tc>
              <w:tc>
                <w:tcPr>
                  <w:tcW w:w="1064" w:type="pct"/>
                  <w:tcBorders>
                    <w:bottom w:val="single" w:color="auto" w:sz="12" w:space="0"/>
                  </w:tcBorders>
                  <w:noWrap w:val="0"/>
                  <w:vAlign w:val="center"/>
                </w:tcPr>
                <w:p w14:paraId="479D31FC">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数量</w:t>
                  </w:r>
                </w:p>
              </w:tc>
              <w:tc>
                <w:tcPr>
                  <w:tcW w:w="1726" w:type="pct"/>
                  <w:tcBorders>
                    <w:bottom w:val="single" w:color="auto" w:sz="12" w:space="0"/>
                  </w:tcBorders>
                  <w:noWrap w:val="0"/>
                  <w:vAlign w:val="center"/>
                </w:tcPr>
                <w:p w14:paraId="4D66F842">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b/>
                      <w:bCs/>
                      <w:color w:val="auto"/>
                      <w:sz w:val="21"/>
                      <w:highlight w:val="none"/>
                    </w:rPr>
                  </w:pPr>
                  <w:r>
                    <w:rPr>
                      <w:rFonts w:hint="default" w:ascii="Times New Roman" w:hAnsi="Times New Roman" w:eastAsia="宋体" w:cs="Times New Roman"/>
                      <w:b/>
                      <w:bCs/>
                      <w:color w:val="auto"/>
                      <w:sz w:val="21"/>
                      <w:highlight w:val="none"/>
                    </w:rPr>
                    <w:t>备注</w:t>
                  </w:r>
                </w:p>
              </w:tc>
            </w:tr>
            <w:tr w14:paraId="49836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635" w:type="pct"/>
                  <w:tcBorders>
                    <w:top w:val="single" w:color="auto" w:sz="12" w:space="0"/>
                    <w:tl2br w:val="nil"/>
                    <w:tr2bl w:val="nil"/>
                  </w:tcBorders>
                  <w:noWrap w:val="0"/>
                  <w:vAlign w:val="center"/>
                </w:tcPr>
                <w:p w14:paraId="07E8BA39">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1</w:t>
                  </w:r>
                </w:p>
              </w:tc>
              <w:tc>
                <w:tcPr>
                  <w:tcW w:w="1573" w:type="pct"/>
                  <w:tcBorders>
                    <w:top w:val="single" w:color="auto" w:sz="12" w:space="0"/>
                    <w:tl2br w:val="nil"/>
                    <w:tr2bl w:val="nil"/>
                  </w:tcBorders>
                  <w:noWrap w:val="0"/>
                  <w:vAlign w:val="center"/>
                </w:tcPr>
                <w:p w14:paraId="4B13D1A2">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吹塑</w:t>
                  </w:r>
                  <w:r>
                    <w:rPr>
                      <w:rFonts w:hint="default" w:ascii="Times New Roman" w:hAnsi="Times New Roman" w:eastAsia="宋体" w:cs="Times New Roman"/>
                      <w:color w:val="auto"/>
                      <w:sz w:val="21"/>
                      <w:highlight w:val="none"/>
                      <w:lang w:val="en-US" w:eastAsia="zh-CN"/>
                    </w:rPr>
                    <w:t>机</w:t>
                  </w:r>
                </w:p>
              </w:tc>
              <w:tc>
                <w:tcPr>
                  <w:tcW w:w="1064" w:type="pct"/>
                  <w:tcBorders>
                    <w:top w:val="single" w:color="auto" w:sz="12" w:space="0"/>
                    <w:tl2br w:val="nil"/>
                    <w:tr2bl w:val="nil"/>
                  </w:tcBorders>
                  <w:noWrap w:val="0"/>
                  <w:vAlign w:val="center"/>
                </w:tcPr>
                <w:p w14:paraId="4B7A4302">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cs="Times New Roman"/>
                      <w:color w:val="auto"/>
                      <w:sz w:val="21"/>
                      <w:highlight w:val="none"/>
                      <w:lang w:val="en-US" w:eastAsia="zh-CN"/>
                    </w:rPr>
                    <w:t>20</w:t>
                  </w:r>
                  <w:r>
                    <w:rPr>
                      <w:rFonts w:hint="default" w:ascii="Times New Roman" w:hAnsi="Times New Roman" w:eastAsia="宋体" w:cs="Times New Roman"/>
                      <w:color w:val="auto"/>
                      <w:sz w:val="21"/>
                      <w:highlight w:val="none"/>
                    </w:rPr>
                    <w:t>台</w:t>
                  </w:r>
                </w:p>
              </w:tc>
              <w:tc>
                <w:tcPr>
                  <w:tcW w:w="1726" w:type="pct"/>
                  <w:tcBorders>
                    <w:top w:val="single" w:color="auto" w:sz="12" w:space="0"/>
                    <w:tl2br w:val="nil"/>
                    <w:tr2bl w:val="nil"/>
                  </w:tcBorders>
                  <w:noWrap w:val="0"/>
                  <w:vAlign w:val="center"/>
                </w:tcPr>
                <w:p w14:paraId="30E92055">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2300kW（包含电热器）</w:t>
                  </w:r>
                </w:p>
              </w:tc>
            </w:tr>
            <w:tr w14:paraId="770367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635" w:type="pct"/>
                  <w:tcBorders>
                    <w:tl2br w:val="nil"/>
                    <w:tr2bl w:val="nil"/>
                  </w:tcBorders>
                  <w:noWrap w:val="0"/>
                  <w:vAlign w:val="center"/>
                </w:tcPr>
                <w:p w14:paraId="1D07E710">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2</w:t>
                  </w:r>
                </w:p>
              </w:tc>
              <w:tc>
                <w:tcPr>
                  <w:tcW w:w="1573" w:type="pct"/>
                  <w:tcBorders>
                    <w:tl2br w:val="nil"/>
                    <w:tr2bl w:val="nil"/>
                  </w:tcBorders>
                  <w:noWrap w:val="0"/>
                  <w:vAlign w:val="center"/>
                </w:tcPr>
                <w:p w14:paraId="726D65CC">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收卷</w:t>
                  </w:r>
                  <w:r>
                    <w:rPr>
                      <w:rFonts w:hint="default" w:ascii="Times New Roman" w:hAnsi="Times New Roman" w:eastAsia="宋体" w:cs="Times New Roman"/>
                      <w:color w:val="auto"/>
                      <w:sz w:val="21"/>
                      <w:highlight w:val="none"/>
                      <w:lang w:val="en-US" w:eastAsia="zh-CN"/>
                    </w:rPr>
                    <w:t>机</w:t>
                  </w:r>
                </w:p>
              </w:tc>
              <w:tc>
                <w:tcPr>
                  <w:tcW w:w="1064" w:type="pct"/>
                  <w:tcBorders>
                    <w:tl2br w:val="nil"/>
                    <w:tr2bl w:val="nil"/>
                  </w:tcBorders>
                  <w:noWrap w:val="0"/>
                  <w:vAlign w:val="center"/>
                </w:tcPr>
                <w:p w14:paraId="37E62EAA">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cs="Times New Roman"/>
                      <w:color w:val="auto"/>
                      <w:sz w:val="21"/>
                      <w:highlight w:val="none"/>
                      <w:lang w:val="en-US" w:eastAsia="zh-CN"/>
                    </w:rPr>
                    <w:t>20</w:t>
                  </w:r>
                  <w:r>
                    <w:rPr>
                      <w:rFonts w:hint="default" w:ascii="Times New Roman" w:hAnsi="Times New Roman" w:eastAsia="宋体" w:cs="Times New Roman"/>
                      <w:color w:val="auto"/>
                      <w:sz w:val="21"/>
                      <w:highlight w:val="none"/>
                    </w:rPr>
                    <w:t>台</w:t>
                  </w:r>
                </w:p>
              </w:tc>
              <w:tc>
                <w:tcPr>
                  <w:tcW w:w="1726" w:type="pct"/>
                  <w:tcBorders>
                    <w:tl2br w:val="nil"/>
                    <w:tr2bl w:val="nil"/>
                  </w:tcBorders>
                  <w:noWrap w:val="0"/>
                  <w:vAlign w:val="center"/>
                </w:tcPr>
                <w:p w14:paraId="4BD6167A">
                  <w:pPr>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w:t>
                  </w:r>
                </w:p>
              </w:tc>
            </w:tr>
            <w:tr w14:paraId="0E328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635" w:type="pct"/>
                  <w:tcBorders>
                    <w:tl2br w:val="nil"/>
                    <w:tr2bl w:val="nil"/>
                  </w:tcBorders>
                  <w:noWrap w:val="0"/>
                  <w:vAlign w:val="center"/>
                </w:tcPr>
                <w:p w14:paraId="3777B7D6">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3</w:t>
                  </w:r>
                </w:p>
              </w:tc>
              <w:tc>
                <w:tcPr>
                  <w:tcW w:w="1573" w:type="pct"/>
                  <w:tcBorders>
                    <w:tl2br w:val="nil"/>
                    <w:tr2bl w:val="nil"/>
                  </w:tcBorders>
                  <w:noWrap w:val="0"/>
                  <w:vAlign w:val="center"/>
                </w:tcPr>
                <w:p w14:paraId="58242987">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包装机</w:t>
                  </w:r>
                </w:p>
              </w:tc>
              <w:tc>
                <w:tcPr>
                  <w:tcW w:w="1064" w:type="pct"/>
                  <w:tcBorders>
                    <w:tl2br w:val="nil"/>
                    <w:tr2bl w:val="nil"/>
                  </w:tcBorders>
                  <w:noWrap w:val="0"/>
                  <w:vAlign w:val="center"/>
                </w:tcPr>
                <w:p w14:paraId="1F324B50">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cs="Times New Roman"/>
                      <w:color w:val="auto"/>
                      <w:sz w:val="21"/>
                      <w:highlight w:val="none"/>
                      <w:lang w:val="en-US" w:eastAsia="zh-CN"/>
                    </w:rPr>
                    <w:t>20</w:t>
                  </w:r>
                  <w:r>
                    <w:rPr>
                      <w:rFonts w:hint="default" w:ascii="Times New Roman" w:hAnsi="Times New Roman" w:eastAsia="宋体" w:cs="Times New Roman"/>
                      <w:color w:val="auto"/>
                      <w:sz w:val="21"/>
                      <w:highlight w:val="none"/>
                    </w:rPr>
                    <w:t>台</w:t>
                  </w:r>
                </w:p>
              </w:tc>
              <w:tc>
                <w:tcPr>
                  <w:tcW w:w="1726" w:type="pct"/>
                  <w:tcBorders>
                    <w:tl2br w:val="nil"/>
                    <w:tr2bl w:val="nil"/>
                  </w:tcBorders>
                  <w:noWrap w:val="0"/>
                  <w:vAlign w:val="center"/>
                </w:tcPr>
                <w:p w14:paraId="20D2B3EA">
                  <w:pPr>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w:t>
                  </w:r>
                </w:p>
              </w:tc>
            </w:tr>
            <w:tr w14:paraId="47E15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635" w:type="pct"/>
                  <w:tcBorders>
                    <w:tl2br w:val="nil"/>
                    <w:tr2bl w:val="nil"/>
                  </w:tcBorders>
                  <w:noWrap w:val="0"/>
                  <w:vAlign w:val="center"/>
                </w:tcPr>
                <w:p w14:paraId="2E4151CE">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4</w:t>
                  </w:r>
                </w:p>
              </w:tc>
              <w:tc>
                <w:tcPr>
                  <w:tcW w:w="1573" w:type="pct"/>
                  <w:tcBorders>
                    <w:tl2br w:val="nil"/>
                    <w:tr2bl w:val="nil"/>
                  </w:tcBorders>
                  <w:noWrap w:val="0"/>
                  <w:vAlign w:val="center"/>
                </w:tcPr>
                <w:p w14:paraId="13A127D4">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牵引机</w:t>
                  </w:r>
                </w:p>
              </w:tc>
              <w:tc>
                <w:tcPr>
                  <w:tcW w:w="1064" w:type="pct"/>
                  <w:tcBorders>
                    <w:tl2br w:val="nil"/>
                    <w:tr2bl w:val="nil"/>
                  </w:tcBorders>
                  <w:noWrap w:val="0"/>
                  <w:vAlign w:val="center"/>
                </w:tcPr>
                <w:p w14:paraId="68EFFF58">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cs="Times New Roman"/>
                      <w:color w:val="auto"/>
                      <w:sz w:val="21"/>
                      <w:highlight w:val="none"/>
                      <w:lang w:val="en-US" w:eastAsia="zh-CN"/>
                    </w:rPr>
                    <w:t>20</w:t>
                  </w:r>
                  <w:r>
                    <w:rPr>
                      <w:rFonts w:hint="default" w:ascii="Times New Roman" w:hAnsi="Times New Roman" w:eastAsia="宋体" w:cs="Times New Roman"/>
                      <w:color w:val="auto"/>
                      <w:sz w:val="21"/>
                      <w:highlight w:val="none"/>
                    </w:rPr>
                    <w:t>台</w:t>
                  </w:r>
                </w:p>
              </w:tc>
              <w:tc>
                <w:tcPr>
                  <w:tcW w:w="1726" w:type="pct"/>
                  <w:tcBorders>
                    <w:tl2br w:val="nil"/>
                    <w:tr2bl w:val="nil"/>
                  </w:tcBorders>
                  <w:noWrap w:val="0"/>
                  <w:vAlign w:val="center"/>
                </w:tcPr>
                <w:p w14:paraId="617D33CD">
                  <w:pPr>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w:t>
                  </w:r>
                </w:p>
              </w:tc>
            </w:tr>
            <w:tr w14:paraId="4A45F7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635" w:type="pct"/>
                  <w:tcBorders>
                    <w:tl2br w:val="nil"/>
                    <w:tr2bl w:val="nil"/>
                  </w:tcBorders>
                  <w:noWrap w:val="0"/>
                  <w:vAlign w:val="center"/>
                </w:tcPr>
                <w:p w14:paraId="2DB6D062">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5</w:t>
                  </w:r>
                </w:p>
              </w:tc>
              <w:tc>
                <w:tcPr>
                  <w:tcW w:w="1573" w:type="pct"/>
                  <w:tcBorders>
                    <w:tl2br w:val="nil"/>
                    <w:tr2bl w:val="nil"/>
                  </w:tcBorders>
                  <w:noWrap w:val="0"/>
                  <w:vAlign w:val="center"/>
                </w:tcPr>
                <w:p w14:paraId="7D5DCD93">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lang w:val="en-US" w:eastAsia="zh-CN"/>
                    </w:rPr>
                    <w:t>切割机</w:t>
                  </w:r>
                </w:p>
              </w:tc>
              <w:tc>
                <w:tcPr>
                  <w:tcW w:w="1064" w:type="pct"/>
                  <w:tcBorders>
                    <w:tl2br w:val="nil"/>
                    <w:tr2bl w:val="nil"/>
                  </w:tcBorders>
                  <w:noWrap w:val="0"/>
                  <w:vAlign w:val="center"/>
                </w:tcPr>
                <w:p w14:paraId="51350338">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cs="Times New Roman"/>
                      <w:color w:val="auto"/>
                      <w:sz w:val="21"/>
                      <w:highlight w:val="none"/>
                      <w:lang w:val="en-US" w:eastAsia="zh-CN"/>
                    </w:rPr>
                    <w:t>20</w:t>
                  </w:r>
                  <w:r>
                    <w:rPr>
                      <w:rFonts w:hint="default" w:ascii="Times New Roman" w:hAnsi="Times New Roman" w:eastAsia="宋体" w:cs="Times New Roman"/>
                      <w:color w:val="auto"/>
                      <w:sz w:val="21"/>
                      <w:highlight w:val="none"/>
                    </w:rPr>
                    <w:t>套</w:t>
                  </w:r>
                </w:p>
              </w:tc>
              <w:tc>
                <w:tcPr>
                  <w:tcW w:w="1726" w:type="pct"/>
                  <w:tcBorders>
                    <w:tl2br w:val="nil"/>
                    <w:tr2bl w:val="nil"/>
                  </w:tcBorders>
                  <w:noWrap w:val="0"/>
                  <w:vAlign w:val="center"/>
                </w:tcPr>
                <w:p w14:paraId="211E87EE">
                  <w:pPr>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lang w:val="en-US" w:eastAsia="zh-CN"/>
                    </w:rPr>
                    <w:t>/</w:t>
                  </w:r>
                </w:p>
              </w:tc>
            </w:tr>
            <w:tr w14:paraId="6F8C0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trPr>
              <w:tc>
                <w:tcPr>
                  <w:tcW w:w="635" w:type="pct"/>
                  <w:tcBorders>
                    <w:tl2br w:val="nil"/>
                    <w:tr2bl w:val="nil"/>
                  </w:tcBorders>
                  <w:noWrap w:val="0"/>
                  <w:vAlign w:val="center"/>
                </w:tcPr>
                <w:p w14:paraId="1353468A">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6</w:t>
                  </w:r>
                </w:p>
              </w:tc>
              <w:tc>
                <w:tcPr>
                  <w:tcW w:w="1573" w:type="pct"/>
                  <w:tcBorders>
                    <w:tl2br w:val="nil"/>
                    <w:tr2bl w:val="nil"/>
                  </w:tcBorders>
                  <w:noWrap w:val="0"/>
                  <w:vAlign w:val="center"/>
                </w:tcPr>
                <w:p w14:paraId="5F762755">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拌料机</w:t>
                  </w:r>
                </w:p>
              </w:tc>
              <w:tc>
                <w:tcPr>
                  <w:tcW w:w="1064" w:type="pct"/>
                  <w:tcBorders>
                    <w:tl2br w:val="nil"/>
                    <w:tr2bl w:val="nil"/>
                  </w:tcBorders>
                  <w:noWrap w:val="0"/>
                  <w:vAlign w:val="center"/>
                </w:tcPr>
                <w:p w14:paraId="6DAFF49C">
                  <w:pPr>
                    <w:pStyle w:val="53"/>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2</w:t>
                  </w:r>
                </w:p>
              </w:tc>
              <w:tc>
                <w:tcPr>
                  <w:tcW w:w="1726" w:type="pct"/>
                  <w:tcBorders>
                    <w:tl2br w:val="nil"/>
                    <w:tr2bl w:val="nil"/>
                  </w:tcBorders>
                  <w:noWrap w:val="0"/>
                  <w:vAlign w:val="center"/>
                </w:tcPr>
                <w:p w14:paraId="2F117EDE">
                  <w:pPr>
                    <w:keepNext w:val="0"/>
                    <w:keepLines w:val="0"/>
                    <w:pageBreakBefore w:val="0"/>
                    <w:widowControl w:val="0"/>
                    <w:kinsoku/>
                    <w:wordWrap/>
                    <w:overflowPunct/>
                    <w:topLinePunct w:val="0"/>
                    <w:autoSpaceDE/>
                    <w:autoSpaceDN/>
                    <w:bidi w:val="0"/>
                    <w:spacing w:line="240" w:lineRule="auto"/>
                    <w:ind w:left="0" w:leftChars="0" w:right="0"/>
                    <w:jc w:val="center"/>
                    <w:textAlignment w:val="auto"/>
                    <w:rPr>
                      <w:rFonts w:hint="default" w:ascii="Times New Roman" w:hAnsi="Times New Roman" w:eastAsia="宋体" w:cs="Times New Roman"/>
                      <w:color w:val="auto"/>
                      <w:sz w:val="21"/>
                      <w:highlight w:val="none"/>
                      <w:lang w:val="en-US" w:eastAsia="zh-CN"/>
                    </w:rPr>
                  </w:pPr>
                  <w:r>
                    <w:rPr>
                      <w:rFonts w:hint="default" w:ascii="Times New Roman" w:hAnsi="Times New Roman" w:cs="Times New Roman"/>
                      <w:color w:val="auto"/>
                      <w:sz w:val="21"/>
                      <w:highlight w:val="none"/>
                      <w:lang w:val="en-US" w:eastAsia="zh-CN"/>
                    </w:rPr>
                    <w:t>/</w:t>
                  </w:r>
                </w:p>
              </w:tc>
            </w:tr>
          </w:tbl>
          <w:p w14:paraId="6C073E9F">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rPr>
              <w:t>主要原辅材料及理化性质</w:t>
            </w:r>
          </w:p>
          <w:p w14:paraId="2C6EE20E">
            <w:pPr>
              <w:keepNext w:val="0"/>
              <w:keepLines w:val="0"/>
              <w:pageBreakBefore w:val="0"/>
              <w:widowControl w:val="0"/>
              <w:kinsoku/>
              <w:wordWrap/>
              <w:overflowPunct/>
              <w:topLinePunct w:val="0"/>
              <w:autoSpaceDE w:val="0"/>
              <w:autoSpaceDN w:val="0"/>
              <w:bidi w:val="0"/>
              <w:adjustRightInd/>
              <w:snapToGrid/>
              <w:spacing w:line="360" w:lineRule="auto"/>
              <w:ind w:left="0" w:leftChars="0" w:right="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项目原辅材料消耗情况见表</w:t>
            </w:r>
            <w:r>
              <w:rPr>
                <w:rFonts w:hint="default" w:ascii="Times New Roman" w:hAnsi="Times New Roman" w:cs="Times New Roman"/>
                <w:color w:val="auto"/>
                <w:sz w:val="24"/>
                <w:szCs w:val="24"/>
                <w:highlight w:val="none"/>
                <w:lang w:val="en-US" w:eastAsia="zh-CN"/>
              </w:rPr>
              <w:t>2-3</w:t>
            </w:r>
            <w:r>
              <w:rPr>
                <w:rFonts w:hint="default" w:ascii="Times New Roman" w:hAnsi="Times New Roman" w:cs="Times New Roman"/>
                <w:color w:val="auto"/>
                <w:sz w:val="24"/>
                <w:szCs w:val="24"/>
                <w:highlight w:val="none"/>
              </w:rPr>
              <w:t>。</w:t>
            </w:r>
          </w:p>
          <w:p w14:paraId="626E7EC8">
            <w:pPr>
              <w:keepLines w:val="0"/>
              <w:pageBreakBefore w:val="0"/>
              <w:kinsoku/>
              <w:wordWrap/>
              <w:overflowPunct/>
              <w:topLinePunct w:val="0"/>
              <w:autoSpaceDE w:val="0"/>
              <w:autoSpaceDN w:val="0"/>
              <w:bidi w:val="0"/>
              <w:spacing w:line="240" w:lineRule="auto"/>
              <w:ind w:left="0" w:leftChars="0" w:right="0"/>
              <w:jc w:val="center"/>
              <w:rPr>
                <w:rFonts w:hint="default" w:ascii="Times New Roman" w:hAnsi="Times New Roman" w:eastAsia="黑体" w:cs="Times New Roman"/>
                <w:b w:val="0"/>
                <w:bCs w:val="0"/>
                <w:color w:val="auto"/>
                <w:sz w:val="24"/>
                <w:szCs w:val="24"/>
                <w:highlight w:val="none"/>
              </w:rPr>
            </w:pPr>
            <w:r>
              <w:rPr>
                <w:rFonts w:hint="default" w:ascii="Times New Roman" w:hAnsi="Times New Roman" w:eastAsia="黑体" w:cs="Times New Roman"/>
                <w:b w:val="0"/>
                <w:bCs w:val="0"/>
                <w:color w:val="auto"/>
                <w:sz w:val="24"/>
                <w:szCs w:val="24"/>
                <w:highlight w:val="none"/>
              </w:rPr>
              <w:t>表</w:t>
            </w:r>
            <w:r>
              <w:rPr>
                <w:rFonts w:hint="default" w:ascii="Times New Roman" w:hAnsi="Times New Roman" w:eastAsia="黑体" w:cs="Times New Roman"/>
                <w:b w:val="0"/>
                <w:bCs w:val="0"/>
                <w:color w:val="auto"/>
                <w:sz w:val="24"/>
                <w:szCs w:val="24"/>
                <w:highlight w:val="none"/>
                <w:lang w:val="en-US" w:eastAsia="zh-CN"/>
              </w:rPr>
              <w:t>2-3</w:t>
            </w:r>
            <w:r>
              <w:rPr>
                <w:rFonts w:hint="default" w:ascii="Times New Roman" w:hAnsi="Times New Roman" w:eastAsia="黑体" w:cs="Times New Roman"/>
                <w:b w:val="0"/>
                <w:bCs w:val="0"/>
                <w:color w:val="auto"/>
                <w:sz w:val="24"/>
                <w:szCs w:val="24"/>
                <w:highlight w:val="none"/>
              </w:rPr>
              <w:t>项目原辅材料消耗情况一览表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2776"/>
              <w:gridCol w:w="1988"/>
              <w:gridCol w:w="1990"/>
            </w:tblGrid>
            <w:tr w14:paraId="7C7753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tcBorders>
                    <w:tl2br w:val="nil"/>
                    <w:tr2bl w:val="nil"/>
                  </w:tcBorders>
                  <w:noWrap w:val="0"/>
                  <w:vAlign w:val="center"/>
                </w:tcPr>
                <w:p w14:paraId="4741D1C0">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b/>
                      <w:bCs/>
                      <w:color w:val="auto"/>
                      <w:sz w:val="21"/>
                      <w:highlight w:val="none"/>
                      <w:vertAlign w:val="baseline"/>
                      <w:lang w:val="en-US" w:eastAsia="zh-CN"/>
                    </w:rPr>
                  </w:pPr>
                  <w:r>
                    <w:rPr>
                      <w:rFonts w:hint="default" w:ascii="Times New Roman" w:hAnsi="Times New Roman" w:eastAsia="宋体" w:cs="Times New Roman"/>
                      <w:b/>
                      <w:bCs/>
                      <w:color w:val="auto"/>
                      <w:sz w:val="21"/>
                      <w:highlight w:val="none"/>
                      <w:vertAlign w:val="baseline"/>
                      <w:lang w:val="en-US" w:eastAsia="zh-CN"/>
                    </w:rPr>
                    <w:t>序号</w:t>
                  </w:r>
                </w:p>
              </w:tc>
              <w:tc>
                <w:tcPr>
                  <w:tcW w:w="1768" w:type="pct"/>
                  <w:tcBorders>
                    <w:tl2br w:val="nil"/>
                    <w:tr2bl w:val="nil"/>
                  </w:tcBorders>
                  <w:noWrap w:val="0"/>
                  <w:vAlign w:val="center"/>
                </w:tcPr>
                <w:p w14:paraId="793CCA54">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b/>
                      <w:bCs/>
                      <w:color w:val="auto"/>
                      <w:sz w:val="21"/>
                      <w:highlight w:val="none"/>
                      <w:vertAlign w:val="baseline"/>
                      <w:lang w:val="en-US" w:eastAsia="zh-CN"/>
                    </w:rPr>
                  </w:pPr>
                  <w:r>
                    <w:rPr>
                      <w:rFonts w:hint="default" w:ascii="Times New Roman" w:hAnsi="Times New Roman" w:eastAsia="宋体" w:cs="Times New Roman"/>
                      <w:b/>
                      <w:bCs/>
                      <w:color w:val="auto"/>
                      <w:sz w:val="21"/>
                      <w:highlight w:val="none"/>
                      <w:vertAlign w:val="baseline"/>
                      <w:lang w:val="en-US" w:eastAsia="zh-CN"/>
                    </w:rPr>
                    <w:t>物料名称</w:t>
                  </w:r>
                </w:p>
              </w:tc>
              <w:tc>
                <w:tcPr>
                  <w:tcW w:w="1266" w:type="pct"/>
                  <w:tcBorders>
                    <w:tl2br w:val="nil"/>
                    <w:tr2bl w:val="nil"/>
                  </w:tcBorders>
                  <w:noWrap w:val="0"/>
                  <w:vAlign w:val="center"/>
                </w:tcPr>
                <w:p w14:paraId="221BA55C">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b/>
                      <w:bCs/>
                      <w:color w:val="auto"/>
                      <w:sz w:val="21"/>
                      <w:highlight w:val="none"/>
                      <w:vertAlign w:val="baseline"/>
                      <w:lang w:val="en-US" w:eastAsia="zh-CN"/>
                    </w:rPr>
                  </w:pPr>
                  <w:r>
                    <w:rPr>
                      <w:rFonts w:hint="default" w:ascii="Times New Roman" w:hAnsi="Times New Roman" w:eastAsia="宋体" w:cs="Times New Roman"/>
                      <w:b/>
                      <w:bCs/>
                      <w:color w:val="auto"/>
                      <w:sz w:val="21"/>
                      <w:highlight w:val="none"/>
                      <w:vertAlign w:val="baseline"/>
                      <w:lang w:val="en-US" w:eastAsia="zh-CN"/>
                    </w:rPr>
                    <w:t>使用量t/a</w:t>
                  </w:r>
                </w:p>
              </w:tc>
              <w:tc>
                <w:tcPr>
                  <w:tcW w:w="1267" w:type="pct"/>
                  <w:tcBorders>
                    <w:tl2br w:val="nil"/>
                    <w:tr2bl w:val="nil"/>
                  </w:tcBorders>
                  <w:noWrap w:val="0"/>
                  <w:vAlign w:val="center"/>
                </w:tcPr>
                <w:p w14:paraId="446E4562">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b/>
                      <w:bCs/>
                      <w:color w:val="auto"/>
                      <w:sz w:val="21"/>
                      <w:highlight w:val="none"/>
                      <w:vertAlign w:val="baseline"/>
                      <w:lang w:val="en-US" w:eastAsia="zh-CN"/>
                    </w:rPr>
                  </w:pPr>
                  <w:r>
                    <w:rPr>
                      <w:rFonts w:hint="default" w:ascii="Times New Roman" w:hAnsi="Times New Roman" w:eastAsia="宋体" w:cs="Times New Roman"/>
                      <w:b/>
                      <w:bCs/>
                      <w:color w:val="auto"/>
                      <w:sz w:val="21"/>
                      <w:highlight w:val="none"/>
                      <w:vertAlign w:val="baseline"/>
                      <w:lang w:val="en-US" w:eastAsia="zh-CN"/>
                    </w:rPr>
                    <w:t>来源</w:t>
                  </w:r>
                </w:p>
              </w:tc>
            </w:tr>
            <w:tr w14:paraId="5A066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tcBorders>
                    <w:tl2br w:val="nil"/>
                    <w:tr2bl w:val="nil"/>
                  </w:tcBorders>
                  <w:noWrap w:val="0"/>
                  <w:vAlign w:val="center"/>
                </w:tcPr>
                <w:p w14:paraId="3C240B61">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1</w:t>
                  </w:r>
                </w:p>
              </w:tc>
              <w:tc>
                <w:tcPr>
                  <w:tcW w:w="1768" w:type="pct"/>
                  <w:tcBorders>
                    <w:tl2br w:val="nil"/>
                    <w:tr2bl w:val="nil"/>
                  </w:tcBorders>
                  <w:noWrap w:val="0"/>
                  <w:vAlign w:val="center"/>
                </w:tcPr>
                <w:p w14:paraId="4BF05EB5">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聚乙烯颗粒</w:t>
                  </w:r>
                </w:p>
              </w:tc>
              <w:tc>
                <w:tcPr>
                  <w:tcW w:w="1988" w:type="dxa"/>
                  <w:tcBorders>
                    <w:tl2br w:val="nil"/>
                    <w:tr2bl w:val="nil"/>
                  </w:tcBorders>
                  <w:noWrap w:val="0"/>
                  <w:vAlign w:val="center"/>
                </w:tcPr>
                <w:p w14:paraId="3091F645">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5860</w:t>
                  </w:r>
                </w:p>
              </w:tc>
              <w:tc>
                <w:tcPr>
                  <w:tcW w:w="1267" w:type="pct"/>
                  <w:tcBorders>
                    <w:tl2br w:val="nil"/>
                    <w:tr2bl w:val="nil"/>
                  </w:tcBorders>
                  <w:noWrap w:val="0"/>
                  <w:vAlign w:val="center"/>
                </w:tcPr>
                <w:p w14:paraId="413EF030">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外购</w:t>
                  </w:r>
                </w:p>
              </w:tc>
            </w:tr>
            <w:tr w14:paraId="6ADED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tcBorders>
                    <w:tl2br w:val="nil"/>
                    <w:tr2bl w:val="nil"/>
                  </w:tcBorders>
                  <w:noWrap w:val="0"/>
                  <w:vAlign w:val="center"/>
                </w:tcPr>
                <w:p w14:paraId="2EAA99BA">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2</w:t>
                  </w:r>
                </w:p>
              </w:tc>
              <w:tc>
                <w:tcPr>
                  <w:tcW w:w="1768" w:type="pct"/>
                  <w:tcBorders>
                    <w:tl2br w:val="nil"/>
                    <w:tr2bl w:val="nil"/>
                  </w:tcBorders>
                  <w:noWrap w:val="0"/>
                  <w:vAlign w:val="center"/>
                </w:tcPr>
                <w:p w14:paraId="1528BA33">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色母</w:t>
                  </w:r>
                </w:p>
              </w:tc>
              <w:tc>
                <w:tcPr>
                  <w:tcW w:w="1988" w:type="dxa"/>
                  <w:tcBorders>
                    <w:tl2br w:val="nil"/>
                    <w:tr2bl w:val="nil"/>
                  </w:tcBorders>
                  <w:noWrap w:val="0"/>
                  <w:vAlign w:val="center"/>
                </w:tcPr>
                <w:p w14:paraId="491A6768">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w:t>
                  </w:r>
                </w:p>
              </w:tc>
              <w:tc>
                <w:tcPr>
                  <w:tcW w:w="1267" w:type="pct"/>
                  <w:tcBorders>
                    <w:tl2br w:val="nil"/>
                    <w:tr2bl w:val="nil"/>
                  </w:tcBorders>
                  <w:noWrap w:val="0"/>
                  <w:vAlign w:val="center"/>
                </w:tcPr>
                <w:p w14:paraId="10FBA149">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外购</w:t>
                  </w:r>
                </w:p>
              </w:tc>
            </w:tr>
            <w:tr w14:paraId="0359AD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7" w:type="pct"/>
                  <w:tcBorders>
                    <w:tl2br w:val="nil"/>
                    <w:tr2bl w:val="nil"/>
                  </w:tcBorders>
                  <w:noWrap w:val="0"/>
                  <w:vAlign w:val="center"/>
                </w:tcPr>
                <w:p w14:paraId="38D28D80">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3</w:t>
                  </w:r>
                </w:p>
              </w:tc>
              <w:tc>
                <w:tcPr>
                  <w:tcW w:w="1768" w:type="pct"/>
                  <w:tcBorders>
                    <w:tl2br w:val="nil"/>
                    <w:tr2bl w:val="nil"/>
                  </w:tcBorders>
                  <w:noWrap w:val="0"/>
                  <w:vAlign w:val="center"/>
                </w:tcPr>
                <w:p w14:paraId="174FA9D4">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抗氧化剂</w:t>
                  </w:r>
                </w:p>
              </w:tc>
              <w:tc>
                <w:tcPr>
                  <w:tcW w:w="1988" w:type="dxa"/>
                  <w:tcBorders>
                    <w:tl2br w:val="nil"/>
                    <w:tr2bl w:val="nil"/>
                  </w:tcBorders>
                  <w:noWrap w:val="0"/>
                  <w:vAlign w:val="center"/>
                </w:tcPr>
                <w:p w14:paraId="5BC3F8CF">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120</w:t>
                  </w:r>
                </w:p>
              </w:tc>
              <w:tc>
                <w:tcPr>
                  <w:tcW w:w="1267" w:type="pct"/>
                  <w:tcBorders>
                    <w:tl2br w:val="nil"/>
                    <w:tr2bl w:val="nil"/>
                  </w:tcBorders>
                  <w:noWrap w:val="0"/>
                  <w:vAlign w:val="center"/>
                </w:tcPr>
                <w:p w14:paraId="3C7C97CB">
                  <w:pPr>
                    <w:keepNext w:val="0"/>
                    <w:keepLines w:val="0"/>
                    <w:pageBreakBefore w:val="0"/>
                    <w:widowControl w:val="0"/>
                    <w:kinsoku/>
                    <w:wordWrap/>
                    <w:overflowPunct/>
                    <w:topLinePunct w:val="0"/>
                    <w:autoSpaceDE w:val="0"/>
                    <w:autoSpaceDN w:val="0"/>
                    <w:bidi w:val="0"/>
                    <w:adjustRightInd w:val="0"/>
                    <w:snapToGrid/>
                    <w:spacing w:line="240" w:lineRule="auto"/>
                    <w:ind w:left="0" w:leftChars="0" w:right="0"/>
                    <w:jc w:val="center"/>
                    <w:textAlignment w:val="auto"/>
                    <w:rPr>
                      <w:rFonts w:hint="default" w:ascii="Times New Roman" w:hAnsi="Times New Roman" w:eastAsia="宋体" w:cs="Times New Roman"/>
                      <w:color w:val="auto"/>
                      <w:sz w:val="21"/>
                      <w:highlight w:val="none"/>
                      <w:vertAlign w:val="baseline"/>
                      <w:lang w:val="en-US" w:eastAsia="zh-CN"/>
                    </w:rPr>
                  </w:pPr>
                  <w:r>
                    <w:rPr>
                      <w:rFonts w:hint="default" w:ascii="Times New Roman" w:hAnsi="Times New Roman" w:eastAsia="宋体" w:cs="Times New Roman"/>
                      <w:color w:val="auto"/>
                      <w:sz w:val="21"/>
                      <w:highlight w:val="none"/>
                      <w:vertAlign w:val="baseline"/>
                      <w:lang w:val="en-US" w:eastAsia="zh-CN"/>
                    </w:rPr>
                    <w:t>外购</w:t>
                  </w:r>
                </w:p>
              </w:tc>
            </w:tr>
          </w:tbl>
          <w:p w14:paraId="028AAB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聚乙烯：</w:t>
            </w:r>
            <w:r>
              <w:rPr>
                <w:rFonts w:hint="default" w:ascii="Times New Roman" w:hAnsi="Times New Roman" w:eastAsia="宋体" w:cs="Times New Roman"/>
                <w:bCs/>
                <w:color w:val="auto"/>
                <w:sz w:val="24"/>
                <w:szCs w:val="24"/>
                <w:highlight w:val="none"/>
                <w:lang w:val="en-US" w:eastAsia="zh-CN"/>
              </w:rPr>
              <w:t>即HDPE，为白色颗粒状产品。无毒，无味，结晶度为80%～90%，软化点为125～135℃，使用温度可达100℃；硬度、拉伸强度和蠕变性优于低密度聚乙烯；耐磨性、电绝缘性、韧性及耐寒性较好；化学稳定性好，在室温条件下，不溶于任何有机溶剂，耐酸、碱和各种盐类的腐蚀。</w:t>
            </w:r>
          </w:p>
          <w:p w14:paraId="1B5155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色母：</w:t>
            </w:r>
            <w:r>
              <w:rPr>
                <w:rFonts w:hint="default" w:ascii="Times New Roman" w:hAnsi="Times New Roman" w:eastAsia="宋体" w:cs="Times New Roman"/>
                <w:bCs/>
                <w:color w:val="auto"/>
                <w:sz w:val="24"/>
                <w:szCs w:val="24"/>
                <w:highlight w:val="none"/>
                <w:lang w:val="en-US" w:eastAsia="zh-CN"/>
              </w:rPr>
              <w:t>一种新型高分子材料专用着色剂，是把超常量的颜料均匀载附于树脂之中而制得的聚集体，可称颜料浓缩物，所以它的着色力高于颜料本身。加工时用少量色母料和未着色树脂掺混，就可达到设计颜料浓度的着色树脂或制品。本项目所用的色母由红色有机颜料、聚乙烯载体所组成，各组分中均不含重金属。</w:t>
            </w:r>
          </w:p>
          <w:p w14:paraId="152B8899">
            <w:pPr>
              <w:keepLines w:val="0"/>
              <w:pageBreakBefore w:val="0"/>
              <w:kinsoku/>
              <w:wordWrap/>
              <w:overflowPunct/>
              <w:topLinePunct w:val="0"/>
              <w:bidi w:val="0"/>
              <w:adjustRightInd w:val="0"/>
              <w:snapToGrid w:val="0"/>
              <w:spacing w:line="360" w:lineRule="auto"/>
              <w:ind w:right="0"/>
              <w:rPr>
                <w:rFonts w:hint="default" w:ascii="Times New Roman" w:hAnsi="Times New Roman" w:eastAsia="宋体" w:cs="Times New Roman"/>
                <w:b/>
                <w:bCs/>
                <w:color w:val="auto"/>
                <w:sz w:val="24"/>
                <w:highlight w:val="none"/>
                <w:lang w:eastAsia="zh-CN"/>
              </w:rPr>
            </w:pPr>
            <w:r>
              <w:rPr>
                <w:rFonts w:hint="default" w:ascii="Times New Roman" w:hAnsi="Times New Roman" w:cs="Times New Roman"/>
                <w:b/>
                <w:color w:val="auto"/>
                <w:sz w:val="24"/>
                <w:highlight w:val="none"/>
                <w:lang w:val="en-US" w:eastAsia="zh-CN"/>
              </w:rPr>
              <w:t>5.</w:t>
            </w:r>
            <w:r>
              <w:rPr>
                <w:rFonts w:hint="default" w:ascii="Times New Roman" w:hAnsi="Times New Roman" w:cs="Times New Roman"/>
                <w:b/>
                <w:color w:val="auto"/>
                <w:sz w:val="24"/>
                <w:highlight w:val="none"/>
              </w:rPr>
              <w:t>产品方案</w:t>
            </w:r>
          </w:p>
          <w:p w14:paraId="35A1C2BD">
            <w:pPr>
              <w:keepLines w:val="0"/>
              <w:pageBreakBefore w:val="0"/>
              <w:kinsoku/>
              <w:wordWrap/>
              <w:overflowPunct/>
              <w:topLinePunct w:val="0"/>
              <w:bidi w:val="0"/>
              <w:adjustRightInd w:val="0"/>
              <w:snapToGrid w:val="0"/>
              <w:spacing w:line="360" w:lineRule="auto"/>
              <w:ind w:left="0" w:leftChars="0" w:right="0"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w:t>
            </w:r>
            <w:r>
              <w:rPr>
                <w:rFonts w:hint="default" w:ascii="Times New Roman" w:hAnsi="Times New Roman" w:cs="Times New Roman"/>
                <w:color w:val="auto"/>
                <w:sz w:val="24"/>
                <w:szCs w:val="24"/>
                <w:highlight w:val="none"/>
              </w:rPr>
              <w:t>主要产品及</w:t>
            </w:r>
            <w:r>
              <w:rPr>
                <w:rFonts w:hint="default" w:ascii="Times New Roman" w:hAnsi="Times New Roman" w:cs="Times New Roman"/>
                <w:color w:val="auto"/>
                <w:sz w:val="24"/>
                <w:highlight w:val="none"/>
              </w:rPr>
              <w:t>产量见表</w:t>
            </w:r>
            <w:r>
              <w:rPr>
                <w:rFonts w:hint="default" w:ascii="Times New Roman" w:hAnsi="Times New Roman" w:cs="Times New Roman"/>
                <w:color w:val="auto"/>
                <w:sz w:val="24"/>
                <w:highlight w:val="none"/>
                <w:lang w:val="en-US" w:eastAsia="zh-CN"/>
              </w:rPr>
              <w:t>2-4</w:t>
            </w:r>
            <w:r>
              <w:rPr>
                <w:rFonts w:hint="default" w:ascii="Times New Roman" w:hAnsi="Times New Roman" w:cs="Times New Roman"/>
                <w:color w:val="auto"/>
                <w:sz w:val="24"/>
                <w:highlight w:val="none"/>
              </w:rPr>
              <w:t>。</w:t>
            </w:r>
          </w:p>
          <w:p w14:paraId="190C6E7A">
            <w:pPr>
              <w:keepLines w:val="0"/>
              <w:pageBreakBefore w:val="0"/>
              <w:kinsoku/>
              <w:wordWrap/>
              <w:overflowPunct/>
              <w:topLinePunct w:val="0"/>
              <w:bidi w:val="0"/>
              <w:adjustRightInd w:val="0"/>
              <w:snapToGrid w:val="0"/>
              <w:spacing w:line="240" w:lineRule="auto"/>
              <w:ind w:left="0" w:leftChars="0" w:right="0" w:firstLine="422" w:firstLineChars="20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 xml:space="preserve">2-4   </w:t>
            </w:r>
            <w:r>
              <w:rPr>
                <w:rFonts w:hint="default" w:ascii="Times New Roman" w:hAnsi="Times New Roman" w:cs="Times New Roman"/>
                <w:b/>
                <w:bCs/>
                <w:color w:val="auto"/>
                <w:sz w:val="21"/>
                <w:szCs w:val="21"/>
                <w:highlight w:val="none"/>
              </w:rPr>
              <w:t>主要产品及产量一览表</w:t>
            </w:r>
          </w:p>
          <w:tbl>
            <w:tblPr>
              <w:tblStyle w:val="24"/>
              <w:tblW w:w="5006"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5"/>
              <w:gridCol w:w="3003"/>
              <w:gridCol w:w="1847"/>
              <w:gridCol w:w="2306"/>
            </w:tblGrid>
            <w:tr w14:paraId="1D80F2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48" w:type="pct"/>
                  <w:tcBorders>
                    <w:bottom w:val="single" w:color="auto" w:sz="12" w:space="0"/>
                  </w:tcBorders>
                  <w:noWrap w:val="0"/>
                  <w:vAlign w:val="center"/>
                </w:tcPr>
                <w:p w14:paraId="691B23F8">
                  <w:pPr>
                    <w:keepLines w:val="0"/>
                    <w:pageBreakBefore w:val="0"/>
                    <w:kinsoku/>
                    <w:wordWrap/>
                    <w:overflowPunct/>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序号</w:t>
                  </w:r>
                </w:p>
              </w:tc>
              <w:tc>
                <w:tcPr>
                  <w:tcW w:w="1909" w:type="pct"/>
                  <w:tcBorders>
                    <w:bottom w:val="single" w:color="auto" w:sz="12" w:space="0"/>
                  </w:tcBorders>
                  <w:noWrap w:val="0"/>
                  <w:vAlign w:val="center"/>
                </w:tcPr>
                <w:p w14:paraId="18FC4D8F">
                  <w:pPr>
                    <w:keepLines w:val="0"/>
                    <w:pageBreakBefore w:val="0"/>
                    <w:kinsoku/>
                    <w:wordWrap/>
                    <w:overflowPunct/>
                    <w:topLinePunct w:val="0"/>
                    <w:bidi w:val="0"/>
                    <w:ind w:left="0" w:leftChars="0" w:right="0"/>
                    <w:jc w:val="center"/>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名称</w:t>
                  </w:r>
                </w:p>
              </w:tc>
              <w:tc>
                <w:tcPr>
                  <w:tcW w:w="1174" w:type="pct"/>
                  <w:tcBorders>
                    <w:bottom w:val="single" w:color="auto" w:sz="12" w:space="0"/>
                  </w:tcBorders>
                  <w:noWrap w:val="0"/>
                  <w:vAlign w:val="center"/>
                </w:tcPr>
                <w:p w14:paraId="62DBE930">
                  <w:pPr>
                    <w:keepLines w:val="0"/>
                    <w:pageBreakBefore w:val="0"/>
                    <w:kinsoku/>
                    <w:wordWrap/>
                    <w:overflowPunct/>
                    <w:topLinePunct w:val="0"/>
                    <w:bidi w:val="0"/>
                    <w:ind w:left="0" w:leftChars="0" w:right="0"/>
                    <w:jc w:val="center"/>
                    <w:rPr>
                      <w:rFonts w:hint="default" w:ascii="Times New Roman" w:hAnsi="Times New Roman" w:eastAsia="宋体" w:cs="Times New Roman"/>
                      <w:b/>
                      <w:bCs/>
                      <w:color w:val="auto"/>
                      <w:szCs w:val="21"/>
                      <w:highlight w:val="none"/>
                      <w:lang w:eastAsia="zh-CN"/>
                    </w:rPr>
                  </w:pPr>
                  <w:r>
                    <w:rPr>
                      <w:rFonts w:hint="default" w:ascii="Times New Roman" w:hAnsi="Times New Roman" w:cs="Times New Roman"/>
                      <w:b/>
                      <w:bCs/>
                      <w:color w:val="auto"/>
                      <w:szCs w:val="21"/>
                      <w:highlight w:val="none"/>
                      <w:lang w:val="en-US" w:eastAsia="zh-CN"/>
                    </w:rPr>
                    <w:t>单位</w:t>
                  </w:r>
                </w:p>
              </w:tc>
              <w:tc>
                <w:tcPr>
                  <w:tcW w:w="1466" w:type="pct"/>
                  <w:tcBorders>
                    <w:bottom w:val="single" w:color="auto" w:sz="12" w:space="0"/>
                  </w:tcBorders>
                  <w:noWrap w:val="0"/>
                  <w:vAlign w:val="center"/>
                </w:tcPr>
                <w:p w14:paraId="298316BA">
                  <w:pPr>
                    <w:keepLines w:val="0"/>
                    <w:pageBreakBefore w:val="0"/>
                    <w:kinsoku/>
                    <w:wordWrap/>
                    <w:overflowPunct/>
                    <w:topLinePunct w:val="0"/>
                    <w:bidi w:val="0"/>
                    <w:ind w:left="0" w:leftChars="0" w:right="0"/>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cs="Times New Roman"/>
                      <w:b/>
                      <w:bCs/>
                      <w:color w:val="auto"/>
                      <w:szCs w:val="21"/>
                      <w:highlight w:val="none"/>
                      <w:lang w:val="en-US" w:eastAsia="zh-CN"/>
                    </w:rPr>
                    <w:t>数量</w:t>
                  </w:r>
                </w:p>
              </w:tc>
            </w:tr>
            <w:tr w14:paraId="455F6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 w:hRule="atLeast"/>
              </w:trPr>
              <w:tc>
                <w:tcPr>
                  <w:tcW w:w="448" w:type="pct"/>
                  <w:tcBorders>
                    <w:top w:val="single" w:color="auto" w:sz="12" w:space="0"/>
                    <w:tl2br w:val="nil"/>
                    <w:tr2bl w:val="nil"/>
                  </w:tcBorders>
                  <w:noWrap w:val="0"/>
                  <w:vAlign w:val="center"/>
                </w:tcPr>
                <w:p w14:paraId="48297FF4">
                  <w:pPr>
                    <w:keepLines w:val="0"/>
                    <w:pageBreakBefore w:val="0"/>
                    <w:kinsoku/>
                    <w:wordWrap/>
                    <w:overflowPunct/>
                    <w:topLinePunct w:val="0"/>
                    <w:bidi w:val="0"/>
                    <w:adjustRightInd w:val="0"/>
                    <w:snapToGrid w:val="0"/>
                    <w:ind w:left="0" w:leftChars="0" w:right="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bCs/>
                      <w:color w:val="auto"/>
                      <w:szCs w:val="21"/>
                      <w:highlight w:val="none"/>
                      <w:lang w:val="en-US" w:eastAsia="zh-CN"/>
                    </w:rPr>
                    <w:t>1</w:t>
                  </w:r>
                </w:p>
              </w:tc>
              <w:tc>
                <w:tcPr>
                  <w:tcW w:w="1909" w:type="pct"/>
                  <w:tcBorders>
                    <w:top w:val="single" w:color="auto" w:sz="12" w:space="0"/>
                    <w:tl2br w:val="nil"/>
                    <w:tr2bl w:val="nil"/>
                  </w:tcBorders>
                  <w:noWrap w:val="0"/>
                  <w:vAlign w:val="center"/>
                </w:tcPr>
                <w:p w14:paraId="6B63EEED">
                  <w:pPr>
                    <w:keepLines w:val="0"/>
                    <w:pageBreakBefore w:val="0"/>
                    <w:kinsoku/>
                    <w:wordWrap/>
                    <w:overflowPunct/>
                    <w:topLinePunct w:val="0"/>
                    <w:autoSpaceDE w:val="0"/>
                    <w:autoSpaceDN w:val="0"/>
                    <w:bidi w:val="0"/>
                    <w:adjustRightInd w:val="0"/>
                    <w:snapToGrid w:val="0"/>
                    <w:spacing w:line="240" w:lineRule="auto"/>
                    <w:ind w:left="0" w:leftChars="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地膜</w:t>
                  </w:r>
                </w:p>
              </w:tc>
              <w:tc>
                <w:tcPr>
                  <w:tcW w:w="1174" w:type="pct"/>
                  <w:tcBorders>
                    <w:top w:val="single" w:color="auto" w:sz="12" w:space="0"/>
                    <w:tl2br w:val="nil"/>
                    <w:tr2bl w:val="nil"/>
                  </w:tcBorders>
                  <w:noWrap w:val="0"/>
                  <w:vAlign w:val="center"/>
                </w:tcPr>
                <w:p w14:paraId="3C4661DA">
                  <w:pPr>
                    <w:keepLines w:val="0"/>
                    <w:pageBreakBefore w:val="0"/>
                    <w:kinsoku/>
                    <w:wordWrap/>
                    <w:overflowPunct/>
                    <w:topLinePunct w:val="0"/>
                    <w:autoSpaceDE w:val="0"/>
                    <w:autoSpaceDN w:val="0"/>
                    <w:bidi w:val="0"/>
                    <w:adjustRightInd w:val="0"/>
                    <w:snapToGrid w:val="0"/>
                    <w:spacing w:line="240" w:lineRule="auto"/>
                    <w:ind w:left="0" w:leftChars="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vertAlign w:val="baseline"/>
                      <w:lang w:eastAsia="zh-CN"/>
                    </w:rPr>
                    <w:t>吨</w:t>
                  </w:r>
                </w:p>
              </w:tc>
              <w:tc>
                <w:tcPr>
                  <w:tcW w:w="1466" w:type="pct"/>
                  <w:tcBorders>
                    <w:top w:val="single" w:color="auto" w:sz="12" w:space="0"/>
                    <w:tl2br w:val="nil"/>
                    <w:tr2bl w:val="nil"/>
                  </w:tcBorders>
                  <w:noWrap w:val="0"/>
                  <w:vAlign w:val="center"/>
                </w:tcPr>
                <w:p w14:paraId="6DD7EE68">
                  <w:pPr>
                    <w:keepLines w:val="0"/>
                    <w:pageBreakBefore w:val="0"/>
                    <w:kinsoku/>
                    <w:wordWrap/>
                    <w:overflowPunct/>
                    <w:topLinePunct w:val="0"/>
                    <w:autoSpaceDE w:val="0"/>
                    <w:autoSpaceDN w:val="0"/>
                    <w:bidi w:val="0"/>
                    <w:adjustRightInd w:val="0"/>
                    <w:snapToGrid w:val="0"/>
                    <w:spacing w:line="240" w:lineRule="auto"/>
                    <w:ind w:left="0" w:leftChars="0" w:right="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6000</w:t>
                  </w:r>
                </w:p>
              </w:tc>
            </w:tr>
          </w:tbl>
          <w:p w14:paraId="31F5B309">
            <w:pPr>
              <w:keepNext w:val="0"/>
              <w:keepLines w:val="0"/>
              <w:pageBreakBefore w:val="0"/>
              <w:widowControl w:val="0"/>
              <w:kinsoku/>
              <w:wordWrap/>
              <w:overflowPunct/>
              <w:topLinePunct w:val="0"/>
              <w:autoSpaceDE/>
              <w:autoSpaceDN/>
              <w:bidi w:val="0"/>
              <w:adjustRightInd w:val="0"/>
              <w:snapToGrid w:val="0"/>
              <w:spacing w:line="360" w:lineRule="auto"/>
              <w:ind w:right="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给排水分析</w:t>
            </w:r>
          </w:p>
          <w:p w14:paraId="19DBD856">
            <w:pPr>
              <w:keepLines w:val="0"/>
              <w:pageBreakBefore w:val="0"/>
              <w:kinsoku/>
              <w:wordWrap/>
              <w:overflowPunct/>
              <w:topLinePunct w:val="0"/>
              <w:bidi w:val="0"/>
              <w:adjustRightInd w:val="0"/>
              <w:snapToGrid w:val="0"/>
              <w:spacing w:line="360" w:lineRule="auto"/>
              <w:ind w:right="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val="en-US" w:eastAsia="zh-CN"/>
              </w:rPr>
              <w:t>.1生活用水及排水</w:t>
            </w:r>
          </w:p>
          <w:p w14:paraId="177F96E3">
            <w:pPr>
              <w:keepLines w:val="0"/>
              <w:pageBreakBefore w:val="0"/>
              <w:kinsoku/>
              <w:wordWrap/>
              <w:overflowPunct/>
              <w:topLinePunct w:val="0"/>
              <w:bidi w:val="0"/>
              <w:adjustRightInd w:val="0"/>
              <w:snapToGrid w:val="0"/>
              <w:spacing w:line="360" w:lineRule="auto"/>
              <w:ind w:left="0" w:leftChars="0" w:right="0" w:firstLine="480" w:firstLineChars="200"/>
              <w:rPr>
                <w:rFonts w:hint="default" w:ascii="Times New Roman" w:hAnsi="Times New Roman" w:eastAsia="宋体" w:cs="Times New Roman"/>
                <w:b w:val="0"/>
                <w:color w:val="auto"/>
                <w:sz w:val="24"/>
                <w:szCs w:val="24"/>
                <w:highlight w:val="none"/>
                <w:lang w:val="en-US" w:eastAsia="zh-CN"/>
              </w:rPr>
            </w:pPr>
            <w:r>
              <w:rPr>
                <w:rFonts w:hint="default" w:ascii="Times New Roman" w:hAnsi="Times New Roman" w:eastAsia="宋体" w:cs="Times New Roman"/>
                <w:b w:val="0"/>
                <w:color w:val="auto"/>
                <w:sz w:val="24"/>
                <w:szCs w:val="24"/>
                <w:highlight w:val="none"/>
                <w:lang w:val="en-US" w:eastAsia="zh-CN"/>
              </w:rPr>
              <w:t>本项目</w:t>
            </w:r>
            <w:r>
              <w:rPr>
                <w:rFonts w:hint="default" w:ascii="Times New Roman" w:hAnsi="Times New Roman" w:cs="Times New Roman"/>
                <w:b w:val="0"/>
                <w:color w:val="auto"/>
                <w:sz w:val="24"/>
                <w:szCs w:val="24"/>
                <w:highlight w:val="none"/>
                <w:lang w:val="en-US" w:eastAsia="zh-CN"/>
              </w:rPr>
              <w:t>不新增劳动</w:t>
            </w:r>
            <w:r>
              <w:rPr>
                <w:rFonts w:hint="default" w:ascii="Times New Roman" w:hAnsi="Times New Roman" w:eastAsia="宋体" w:cs="Times New Roman"/>
                <w:b w:val="0"/>
                <w:color w:val="auto"/>
                <w:sz w:val="24"/>
                <w:szCs w:val="24"/>
                <w:highlight w:val="none"/>
                <w:lang w:val="en-US" w:eastAsia="zh-CN"/>
              </w:rPr>
              <w:t>定员</w:t>
            </w:r>
            <w:r>
              <w:rPr>
                <w:rFonts w:hint="default" w:ascii="Times New Roman" w:hAnsi="Times New Roman" w:cs="Times New Roman"/>
                <w:b w:val="0"/>
                <w:color w:val="auto"/>
                <w:sz w:val="24"/>
                <w:szCs w:val="24"/>
                <w:highlight w:val="none"/>
                <w:lang w:val="en-US" w:eastAsia="zh-CN"/>
              </w:rPr>
              <w:t>，无生活污水产生</w:t>
            </w:r>
            <w:r>
              <w:rPr>
                <w:rFonts w:hint="default" w:ascii="Times New Roman" w:hAnsi="Times New Roman" w:eastAsia="宋体" w:cs="Times New Roman"/>
                <w:b w:val="0"/>
                <w:color w:val="auto"/>
                <w:sz w:val="24"/>
                <w:szCs w:val="24"/>
                <w:highlight w:val="none"/>
                <w:lang w:val="en-US" w:eastAsia="zh-CN"/>
              </w:rPr>
              <w:t>。</w:t>
            </w:r>
          </w:p>
          <w:p w14:paraId="7D978DE6">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cs="Times New Roman"/>
                <w:b/>
                <w:bCs w:val="0"/>
                <w:color w:val="auto"/>
                <w:sz w:val="24"/>
                <w:szCs w:val="24"/>
                <w:highlight w:val="none"/>
                <w:lang w:val="en-US" w:eastAsia="zh-CN"/>
              </w:rPr>
              <w:t>6</w:t>
            </w: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生产用水</w:t>
            </w:r>
          </w:p>
          <w:p w14:paraId="242BBE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本项目生产用水</w:t>
            </w:r>
            <w:r>
              <w:rPr>
                <w:rFonts w:hint="default" w:ascii="Times New Roman" w:hAnsi="Times New Roman" w:eastAsia="宋体" w:cs="Times New Roman"/>
                <w:bCs/>
                <w:color w:val="auto"/>
                <w:sz w:val="24"/>
                <w:szCs w:val="24"/>
                <w:highlight w:val="none"/>
                <w:lang w:val="en-US" w:eastAsia="zh-CN"/>
              </w:rPr>
              <w:t>主要</w:t>
            </w:r>
            <w:r>
              <w:rPr>
                <w:rFonts w:hint="default" w:ascii="Times New Roman" w:hAnsi="Times New Roman" w:eastAsia="宋体" w:cs="Times New Roman"/>
                <w:bCs/>
                <w:color w:val="auto"/>
                <w:sz w:val="24"/>
                <w:szCs w:val="24"/>
                <w:highlight w:val="none"/>
              </w:rPr>
              <w:t>为</w:t>
            </w:r>
            <w:r>
              <w:rPr>
                <w:rFonts w:hint="default" w:ascii="Times New Roman" w:hAnsi="Times New Roman" w:eastAsia="宋体" w:cs="Times New Roman"/>
                <w:bCs/>
                <w:color w:val="auto"/>
                <w:sz w:val="24"/>
                <w:szCs w:val="24"/>
                <w:highlight w:val="none"/>
                <w:lang w:val="en-US" w:eastAsia="zh-CN"/>
              </w:rPr>
              <w:t>聚乙烯制品冷却</w:t>
            </w:r>
            <w:r>
              <w:rPr>
                <w:rFonts w:hint="default" w:ascii="Times New Roman" w:hAnsi="Times New Roman" w:eastAsia="宋体" w:cs="Times New Roman"/>
                <w:bCs/>
                <w:color w:val="auto"/>
                <w:sz w:val="24"/>
                <w:szCs w:val="24"/>
                <w:highlight w:val="none"/>
              </w:rPr>
              <w:t>用水，年用水量约</w:t>
            </w:r>
            <w:r>
              <w:rPr>
                <w:rFonts w:hint="default" w:ascii="Times New Roman" w:hAnsi="Times New Roman" w:eastAsia="宋体" w:cs="Times New Roman"/>
                <w:bCs/>
                <w:color w:val="auto"/>
                <w:sz w:val="24"/>
                <w:szCs w:val="24"/>
                <w:highlight w:val="none"/>
                <w:lang w:val="en-US" w:eastAsia="zh-CN"/>
              </w:rPr>
              <w:t>100</w:t>
            </w:r>
            <w:r>
              <w:rPr>
                <w:rFonts w:hint="default" w:ascii="Times New Roman" w:hAnsi="Times New Roman" w:eastAsia="宋体" w:cs="Times New Roman"/>
                <w:bCs/>
                <w:color w:val="auto"/>
                <w:sz w:val="24"/>
                <w:szCs w:val="24"/>
                <w:highlight w:val="none"/>
              </w:rPr>
              <w:t>m</w:t>
            </w:r>
            <w:r>
              <w:rPr>
                <w:rFonts w:hint="default" w:ascii="Times New Roman" w:hAnsi="Times New Roman" w:eastAsia="宋体" w:cs="Times New Roman"/>
                <w:bCs/>
                <w:color w:val="auto"/>
                <w:sz w:val="24"/>
                <w:szCs w:val="24"/>
                <w:highlight w:val="none"/>
                <w:vertAlign w:val="superscript"/>
              </w:rPr>
              <w:t>3</w:t>
            </w:r>
            <w:r>
              <w:rPr>
                <w:rFonts w:hint="default" w:ascii="Times New Roman" w:hAnsi="Times New Roman" w:eastAsia="宋体" w:cs="Times New Roman"/>
                <w:bCs/>
                <w:color w:val="auto"/>
                <w:sz w:val="24"/>
                <w:szCs w:val="24"/>
                <w:highlight w:val="none"/>
              </w:rPr>
              <w:t>/a。</w:t>
            </w:r>
          </w:p>
          <w:p w14:paraId="247DFD67">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val="0"/>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lang w:val="en-US" w:eastAsia="zh-CN"/>
              </w:rPr>
              <w:t>劳动定员及工作制度</w:t>
            </w:r>
          </w:p>
          <w:p w14:paraId="69DC3EDB">
            <w:pPr>
              <w:keepNext w:val="0"/>
              <w:keepLines w:val="0"/>
              <w:pageBreakBefore w:val="0"/>
              <w:widowControl w:val="0"/>
              <w:kinsoku/>
              <w:wordWrap/>
              <w:overflowPunct/>
              <w:topLinePunct w:val="0"/>
              <w:autoSpaceDE w:val="0"/>
              <w:autoSpaceDN w:val="0"/>
              <w:bidi w:val="0"/>
              <w:spacing w:line="360" w:lineRule="auto"/>
              <w:ind w:left="0" w:leftChars="0" w:right="0" w:firstLine="456" w:firstLineChars="200"/>
              <w:textAlignment w:val="auto"/>
              <w:rPr>
                <w:rFonts w:hint="default" w:ascii="Times New Roman" w:hAnsi="Times New Roman" w:cs="Times New Roman"/>
                <w:color w:val="auto"/>
                <w:spacing w:val="-6"/>
                <w:sz w:val="24"/>
                <w:szCs w:val="24"/>
                <w:highlight w:val="none"/>
                <w:lang w:val="en-US" w:eastAsia="zh-CN"/>
              </w:rPr>
            </w:pPr>
            <w:r>
              <w:rPr>
                <w:rFonts w:hint="default" w:ascii="Times New Roman" w:hAnsi="Times New Roman" w:eastAsia="宋体" w:cs="Times New Roman"/>
                <w:color w:val="auto"/>
                <w:spacing w:val="-6"/>
                <w:sz w:val="24"/>
                <w:szCs w:val="24"/>
                <w:highlight w:val="none"/>
              </w:rPr>
              <w:t>本项目</w:t>
            </w:r>
            <w:r>
              <w:rPr>
                <w:rFonts w:hint="default" w:ascii="Times New Roman" w:hAnsi="Times New Roman" w:cs="Times New Roman"/>
                <w:b w:val="0"/>
                <w:color w:val="auto"/>
                <w:sz w:val="24"/>
                <w:szCs w:val="24"/>
                <w:highlight w:val="none"/>
                <w:lang w:val="en-US" w:eastAsia="zh-CN"/>
              </w:rPr>
              <w:t>不新增劳动</w:t>
            </w:r>
            <w:r>
              <w:rPr>
                <w:rFonts w:hint="default" w:ascii="Times New Roman" w:hAnsi="Times New Roman" w:eastAsia="宋体" w:cs="Times New Roman"/>
                <w:b w:val="0"/>
                <w:color w:val="auto"/>
                <w:sz w:val="24"/>
                <w:szCs w:val="24"/>
                <w:highlight w:val="none"/>
                <w:lang w:val="en-US" w:eastAsia="zh-CN"/>
              </w:rPr>
              <w:t>定员</w:t>
            </w:r>
            <w:r>
              <w:rPr>
                <w:rFonts w:hint="default" w:ascii="Times New Roman" w:hAnsi="Times New Roman" w:cs="Times New Roman"/>
                <w:b w:val="0"/>
                <w:color w:val="auto"/>
                <w:sz w:val="24"/>
                <w:szCs w:val="24"/>
                <w:highlight w:val="none"/>
                <w:lang w:val="en-US" w:eastAsia="zh-CN"/>
              </w:rPr>
              <w:t>，依托现有</w:t>
            </w:r>
            <w:r>
              <w:rPr>
                <w:rFonts w:hint="default" w:ascii="Times New Roman" w:hAnsi="Times New Roman" w:cs="Times New Roman"/>
                <w:color w:val="auto"/>
                <w:sz w:val="24"/>
                <w:szCs w:val="24"/>
                <w:highlight w:val="none"/>
              </w:rPr>
              <w:t>劳动定</w:t>
            </w:r>
            <w:r>
              <w:rPr>
                <w:rFonts w:hint="default" w:ascii="Times New Roman" w:hAnsi="Times New Roman" w:cs="Times New Roman"/>
                <w:color w:val="auto"/>
                <w:sz w:val="24"/>
                <w:szCs w:val="24"/>
                <w:highlight w:val="none"/>
                <w:lang w:val="en-US" w:eastAsia="zh-CN"/>
              </w:rPr>
              <w:t>员</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pacing w:val="4"/>
                <w:sz w:val="24"/>
                <w:szCs w:val="24"/>
                <w:highlight w:val="none"/>
              </w:rPr>
              <w:t>工作天数为</w:t>
            </w:r>
            <w:r>
              <w:rPr>
                <w:rFonts w:hint="default" w:ascii="Times New Roman" w:hAnsi="Times New Roman" w:cs="Times New Roman"/>
                <w:color w:val="auto"/>
                <w:spacing w:val="4"/>
                <w:sz w:val="24"/>
                <w:szCs w:val="24"/>
                <w:highlight w:val="none"/>
                <w:lang w:val="en-US" w:eastAsia="zh-CN"/>
              </w:rPr>
              <w:t>300</w:t>
            </w:r>
            <w:r>
              <w:rPr>
                <w:rFonts w:hint="default" w:ascii="Times New Roman" w:hAnsi="Times New Roman" w:cs="Times New Roman"/>
                <w:color w:val="auto"/>
                <w:spacing w:val="4"/>
                <w:sz w:val="24"/>
                <w:szCs w:val="24"/>
                <w:highlight w:val="none"/>
              </w:rPr>
              <w:t>天</w:t>
            </w:r>
            <w:r>
              <w:rPr>
                <w:rFonts w:hint="default" w:ascii="Times New Roman" w:hAnsi="Times New Roman"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采用</w:t>
            </w:r>
            <w:r>
              <w:rPr>
                <w:rFonts w:hint="default" w:ascii="Times New Roman" w:hAnsi="Times New Roman" w:cs="Times New Roman"/>
                <w:color w:val="auto"/>
                <w:spacing w:val="4"/>
                <w:sz w:val="24"/>
                <w:szCs w:val="24"/>
                <w:highlight w:val="none"/>
                <w:lang w:val="en-US" w:eastAsia="zh-CN"/>
              </w:rPr>
              <w:t>1</w:t>
            </w:r>
            <w:r>
              <w:rPr>
                <w:rFonts w:hint="default" w:ascii="Times New Roman" w:hAnsi="Times New Roman" w:cs="Times New Roman"/>
                <w:color w:val="auto"/>
                <w:spacing w:val="4"/>
                <w:sz w:val="24"/>
                <w:szCs w:val="24"/>
                <w:highlight w:val="none"/>
              </w:rPr>
              <w:t>班制</w:t>
            </w:r>
            <w:r>
              <w:rPr>
                <w:rFonts w:hint="default" w:ascii="Times New Roman" w:hAnsi="Times New Roman"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rPr>
              <w:t>每班8小时</w:t>
            </w:r>
            <w:r>
              <w:rPr>
                <w:rFonts w:hint="default" w:ascii="Times New Roman" w:hAnsi="Times New Roman" w:cs="Times New Roman"/>
                <w:color w:val="auto"/>
                <w:spacing w:val="4"/>
                <w:sz w:val="24"/>
                <w:szCs w:val="24"/>
                <w:highlight w:val="none"/>
                <w:lang w:eastAsia="zh-CN"/>
              </w:rPr>
              <w:t>，</w:t>
            </w:r>
            <w:r>
              <w:rPr>
                <w:rFonts w:hint="default" w:ascii="Times New Roman" w:hAnsi="Times New Roman" w:cs="Times New Roman"/>
                <w:color w:val="auto"/>
                <w:spacing w:val="4"/>
                <w:sz w:val="24"/>
                <w:szCs w:val="24"/>
                <w:highlight w:val="none"/>
                <w:lang w:val="en-US" w:eastAsia="zh-CN"/>
              </w:rPr>
              <w:t>年工作2400h</w:t>
            </w:r>
            <w:r>
              <w:rPr>
                <w:rFonts w:hint="default" w:ascii="Times New Roman" w:hAnsi="Times New Roman" w:cs="Times New Roman"/>
                <w:color w:val="auto"/>
                <w:spacing w:val="-6"/>
                <w:sz w:val="24"/>
                <w:szCs w:val="24"/>
                <w:highlight w:val="none"/>
                <w:lang w:val="en-US" w:eastAsia="zh-CN"/>
              </w:rPr>
              <w:t>。</w:t>
            </w:r>
          </w:p>
          <w:p w14:paraId="03BDB6C6">
            <w:pPr>
              <w:keepNext w:val="0"/>
              <w:keepLines w:val="0"/>
              <w:pageBreakBefore w:val="0"/>
              <w:widowControl w:val="0"/>
              <w:kinsoku/>
              <w:wordWrap/>
              <w:overflowPunct/>
              <w:topLinePunct w:val="0"/>
              <w:autoSpaceDE w:val="0"/>
              <w:autoSpaceDN w:val="0"/>
              <w:bidi w:val="0"/>
              <w:spacing w:line="360" w:lineRule="auto"/>
              <w:ind w:right="0"/>
              <w:textAlignment w:val="auto"/>
              <w:rPr>
                <w:rFonts w:hint="default" w:ascii="Times New Roman" w:hAnsi="Times New Roman" w:cs="Times New Roman"/>
                <w:b/>
                <w:bCs/>
                <w:color w:val="auto"/>
                <w:sz w:val="24"/>
                <w:szCs w:val="22"/>
                <w:highlight w:val="none"/>
                <w:lang w:val="en-US" w:eastAsia="zh-CN"/>
              </w:rPr>
            </w:pPr>
            <w:r>
              <w:rPr>
                <w:rFonts w:hint="default" w:ascii="Times New Roman" w:hAnsi="Times New Roman" w:cs="Times New Roman"/>
                <w:b/>
                <w:bCs/>
                <w:color w:val="auto"/>
                <w:sz w:val="24"/>
                <w:szCs w:val="22"/>
                <w:highlight w:val="none"/>
                <w:lang w:val="en-US" w:eastAsia="zh-CN"/>
              </w:rPr>
              <w:t>8.平面布置</w:t>
            </w:r>
          </w:p>
          <w:p w14:paraId="3E82B5CE">
            <w:pPr>
              <w:keepLines w:val="0"/>
              <w:pageBreakBefore w:val="0"/>
              <w:numPr>
                <w:ilvl w:val="0"/>
                <w:numId w:val="0"/>
              </w:numPr>
              <w:kinsoku/>
              <w:wordWrap/>
              <w:overflowPunct/>
              <w:topLinePunct w:val="0"/>
              <w:bidi w:val="0"/>
              <w:adjustRightInd w:val="0"/>
              <w:snapToGrid w:val="0"/>
              <w:spacing w:line="360" w:lineRule="auto"/>
              <w:ind w:left="0" w:leftChars="0" w:right="0" w:firstLine="480" w:firstLineChars="20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szCs w:val="22"/>
                <w:highlight w:val="none"/>
                <w:lang w:val="en-US" w:eastAsia="zh-CN"/>
              </w:rPr>
              <w:t>项目位于昌吉市六工镇新疆凯狮威塑业有限责任公司厂区内，新疆凯狮威塑业有限责任公司现已建设多栋厂房，主要为经营滴灌带及其他塑料制品的生产。本项目位于新疆凯狮威塑业有限责任公司北侧。厂区功能分区明确，建、构筑物布置满足相关规范要求，工艺简洁流畅，物料输送距离最短，运行管理便捷，满足生产、消防等要求，土地利用率高。项目所在区域主导风向为西南风，项目周围保护目标位于项目区西侧，处于侧风向，布局合理。详见厂区平面布置图3。</w:t>
            </w:r>
          </w:p>
        </w:tc>
      </w:tr>
      <w:tr w14:paraId="06D76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dxa"/>
            <w:tcBorders>
              <w:tl2br w:val="nil"/>
              <w:tr2bl w:val="nil"/>
            </w:tcBorders>
            <w:noWrap w:val="0"/>
            <w:vAlign w:val="center"/>
          </w:tcPr>
          <w:p w14:paraId="20DF825B">
            <w:pPr>
              <w:pStyle w:val="22"/>
              <w:keepLines w:val="0"/>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4"/>
                <w:szCs w:val="24"/>
                <w:highlight w:val="none"/>
              </w:rPr>
              <w:t>工艺流程和产排污环节</w:t>
            </w:r>
          </w:p>
        </w:tc>
        <w:tc>
          <w:tcPr>
            <w:tcW w:w="8068" w:type="dxa"/>
            <w:tcBorders>
              <w:tl2br w:val="nil"/>
              <w:tr2bl w:val="nil"/>
            </w:tcBorders>
            <w:noWrap w:val="0"/>
            <w:vAlign w:val="top"/>
          </w:tcPr>
          <w:p w14:paraId="1D070253">
            <w:pPr>
              <w:keepNext w:val="0"/>
              <w:keepLines w:val="0"/>
              <w:pageBreakBefore w:val="0"/>
              <w:widowControl w:val="0"/>
              <w:numPr>
                <w:ilvl w:val="0"/>
                <w:numId w:val="0"/>
              </w:numPr>
              <w:kinsoku/>
              <w:wordWrap/>
              <w:overflowPunct/>
              <w:topLinePunct w:val="0"/>
              <w:bidi w:val="0"/>
              <w:spacing w:line="360" w:lineRule="auto"/>
              <w:ind w:right="0"/>
              <w:textAlignment w:val="auto"/>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1.生产工艺流程</w:t>
            </w:r>
          </w:p>
          <w:p w14:paraId="48B8D483">
            <w:pPr>
              <w:pStyle w:val="10"/>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default" w:ascii="Times New Roman" w:hAnsi="Times New Roman" w:cs="Times New Roman"/>
                <w:b w:val="0"/>
                <w:bCs w:val="0"/>
                <w:color w:val="auto"/>
                <w:sz w:val="24"/>
                <w:szCs w:val="24"/>
                <w:highlight w:val="none"/>
                <w:lang w:val="en-US" w:eastAsia="zh-CN"/>
              </w:rPr>
              <w:t>本项目地膜生产利用新购聚乙烯颗粒料经塑化挤出机生产为农用地膜，运营期生产工艺流程及产污情况见图2-2。</w:t>
            </w:r>
          </w:p>
          <w:p w14:paraId="7983B681">
            <w:pPr>
              <w:pStyle w:val="31"/>
              <w:keepLines w:val="0"/>
              <w:pageBreakBefore w:val="0"/>
              <w:kinsoku/>
              <w:wordWrap/>
              <w:overflowPunct/>
              <w:topLinePunct w:val="0"/>
              <w:bidi w:val="0"/>
              <w:ind w:left="0" w:leftChars="0" w:right="0"/>
              <w:jc w:val="center"/>
              <w:rPr>
                <w:rFonts w:hint="default" w:ascii="Times New Roman" w:hAnsi="Times New Roman" w:eastAsia="黑体" w:cs="Times New Roman"/>
                <w:color w:val="auto"/>
                <w:highlight w:val="none"/>
                <w:lang w:eastAsia="zh-CN"/>
              </w:rPr>
            </w:pPr>
            <w:r>
              <w:rPr>
                <w:rFonts w:hint="default" w:ascii="Times New Roman" w:hAnsi="Times New Roman" w:cs="Times New Roman"/>
                <w:color w:val="auto"/>
                <w:highlight w:val="none"/>
              </w:rPr>
              <w:drawing>
                <wp:inline distT="0" distB="0" distL="114300" distR="114300">
                  <wp:extent cx="4862830" cy="2414270"/>
                  <wp:effectExtent l="0" t="0" r="13970" b="508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0"/>
                          <a:stretch>
                            <a:fillRect/>
                          </a:stretch>
                        </pic:blipFill>
                        <pic:spPr>
                          <a:xfrm>
                            <a:off x="0" y="0"/>
                            <a:ext cx="4862830" cy="2414270"/>
                          </a:xfrm>
                          <a:prstGeom prst="rect">
                            <a:avLst/>
                          </a:prstGeom>
                          <a:noFill/>
                          <a:ln>
                            <a:noFill/>
                          </a:ln>
                        </pic:spPr>
                      </pic:pic>
                    </a:graphicData>
                  </a:graphic>
                </wp:inline>
              </w:drawing>
            </w:r>
          </w:p>
          <w:p w14:paraId="5F0CED45">
            <w:pPr>
              <w:keepLines w:val="0"/>
              <w:pageBreakBefore w:val="0"/>
              <w:kinsoku/>
              <w:wordWrap/>
              <w:overflowPunct/>
              <w:topLinePunct w:val="0"/>
              <w:bidi w:val="0"/>
              <w:spacing w:line="360" w:lineRule="auto"/>
              <w:ind w:left="0" w:leftChars="0" w:right="0" w:firstLine="482" w:firstLineChars="200"/>
              <w:jc w:val="center"/>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图2-</w:t>
            </w:r>
            <w:r>
              <w:rPr>
                <w:rFonts w:hint="eastAsia" w:ascii="Times New Roman" w:hAnsi="Times New Roman" w:cs="Times New Roman"/>
                <w:b/>
                <w:bCs/>
                <w:color w:val="auto"/>
                <w:sz w:val="24"/>
                <w:highlight w:val="none"/>
                <w:lang w:val="en-US" w:eastAsia="zh-CN"/>
              </w:rPr>
              <w:t xml:space="preserve">1   </w:t>
            </w:r>
            <w:r>
              <w:rPr>
                <w:rFonts w:hint="default" w:ascii="Times New Roman" w:hAnsi="Times New Roman" w:cs="Times New Roman"/>
                <w:b/>
                <w:bCs/>
                <w:color w:val="auto"/>
                <w:sz w:val="24"/>
                <w:highlight w:val="none"/>
                <w:lang w:val="en-US" w:eastAsia="zh-CN"/>
              </w:rPr>
              <w:t>生产工艺流程及产污环节图</w:t>
            </w:r>
          </w:p>
          <w:p w14:paraId="04202D33">
            <w:pPr>
              <w:keepLines w:val="0"/>
              <w:pageBreakBefore w:val="0"/>
              <w:kinsoku/>
              <w:wordWrap/>
              <w:overflowPunct/>
              <w:topLinePunct w:val="0"/>
              <w:bidi w:val="0"/>
              <w:spacing w:line="360" w:lineRule="auto"/>
              <w:ind w:left="0" w:leftChars="0" w:right="0" w:firstLine="482" w:firstLineChars="200"/>
              <w:rPr>
                <w:rFonts w:hint="default" w:ascii="Times New Roman" w:hAnsi="Times New Roman" w:cs="Times New Roman"/>
                <w:b/>
                <w:bCs/>
                <w:color w:val="auto"/>
                <w:sz w:val="24"/>
                <w:highlight w:val="none"/>
                <w:lang w:val="en-US" w:eastAsia="zh-CN"/>
              </w:rPr>
            </w:pPr>
            <w:r>
              <w:rPr>
                <w:rFonts w:hint="default" w:ascii="Times New Roman" w:hAnsi="Times New Roman" w:cs="Times New Roman"/>
                <w:b/>
                <w:bCs/>
                <w:color w:val="auto"/>
                <w:sz w:val="24"/>
                <w:highlight w:val="none"/>
                <w:lang w:val="en-US" w:eastAsia="zh-CN"/>
              </w:rPr>
              <w:t>工艺流程简述：</w:t>
            </w:r>
          </w:p>
          <w:p w14:paraId="72D88899">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（1）混料</w:t>
            </w:r>
          </w:p>
          <w:p w14:paraId="47413D94">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将新购买的聚乙烯颗粒料及抗老化剂按照配比混合搅拌均匀，由螺旋上料机送至</w:t>
            </w:r>
            <w:r>
              <w:rPr>
                <w:rFonts w:hint="default" w:ascii="Times New Roman" w:hAnsi="Times New Roman" w:cs="Times New Roman"/>
                <w:color w:val="auto"/>
                <w:sz w:val="24"/>
                <w:szCs w:val="24"/>
                <w:highlight w:val="none"/>
                <w:lang w:eastAsia="zh-CN"/>
              </w:rPr>
              <w:t>地模</w:t>
            </w:r>
            <w:r>
              <w:rPr>
                <w:rFonts w:hint="default" w:ascii="Times New Roman" w:hAnsi="Times New Roman" w:cs="Times New Roman"/>
                <w:color w:val="auto"/>
                <w:sz w:val="24"/>
                <w:szCs w:val="24"/>
                <w:highlight w:val="none"/>
              </w:rPr>
              <w:t>挤出机的上料斗。</w:t>
            </w:r>
          </w:p>
          <w:p w14:paraId="536672ED">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（2）</w:t>
            </w:r>
            <w:r>
              <w:rPr>
                <w:rFonts w:hint="default" w:ascii="Times New Roman" w:hAnsi="Times New Roman" w:cs="Times New Roman"/>
                <w:color w:val="auto"/>
                <w:sz w:val="24"/>
                <w:szCs w:val="24"/>
                <w:highlight w:val="none"/>
                <w:lang w:val="en-US" w:eastAsia="zh-CN"/>
              </w:rPr>
              <w:t>吹塑成型、</w:t>
            </w:r>
            <w:r>
              <w:rPr>
                <w:rFonts w:hint="default" w:ascii="Times New Roman" w:hAnsi="Times New Roman" w:cs="Times New Roman"/>
                <w:color w:val="auto"/>
                <w:sz w:val="24"/>
                <w:szCs w:val="24"/>
                <w:highlight w:val="none"/>
              </w:rPr>
              <w:t>卷绕、测压、切割检验</w:t>
            </w:r>
          </w:p>
          <w:p w14:paraId="618DBB6B">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混合料经均料器均匀地进入地膜挤出机挤出吹塑成型为地膜产品，经卷绕、测压、切割检验后成品入库外售，不合格产品及边角料回至生产线工序重复利用。</w:t>
            </w:r>
          </w:p>
          <w:p w14:paraId="3A5C1CE3">
            <w:pPr>
              <w:pStyle w:val="1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lang w:eastAsia="zh-CN"/>
              </w:rPr>
              <w:t>产排污环节</w:t>
            </w:r>
          </w:p>
          <w:p w14:paraId="6A1E5177">
            <w:pPr>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lang w:val="en-US" w:eastAsia="zh-CN"/>
              </w:rPr>
              <w:t>2.1</w:t>
            </w:r>
            <w:r>
              <w:rPr>
                <w:rFonts w:hint="default" w:ascii="Times New Roman" w:hAnsi="Times New Roman" w:cs="Times New Roman"/>
                <w:b/>
                <w:bCs w:val="0"/>
                <w:color w:val="auto"/>
                <w:sz w:val="24"/>
                <w:szCs w:val="24"/>
                <w:highlight w:val="none"/>
              </w:rPr>
              <w:t>废气</w:t>
            </w:r>
          </w:p>
          <w:p w14:paraId="18016BEC">
            <w:pPr>
              <w:pStyle w:val="6"/>
              <w:keepLines w:val="0"/>
              <w:pageBreakBefore w:val="0"/>
              <w:widowControl w:val="0"/>
              <w:tabs>
                <w:tab w:val="left" w:pos="425"/>
              </w:tabs>
              <w:kinsoku/>
              <w:wordWrap/>
              <w:overflowPunct/>
              <w:topLinePunct w:val="0"/>
              <w:autoSpaceDE/>
              <w:autoSpaceDN/>
              <w:bidi w:val="0"/>
              <w:spacing w:before="0" w:after="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本项目聚乙烯熔融搅拌、挤出过程原料在受热的情况下，会产生VOCs（以非甲烷总烃计）挥发到空气中，主要污染因子为非甲烷总烃。</w:t>
            </w:r>
          </w:p>
          <w:p w14:paraId="3F645EBB">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lang w:val="en-US" w:eastAsia="zh-CN"/>
              </w:rPr>
              <w:t>2.2</w:t>
            </w:r>
            <w:r>
              <w:rPr>
                <w:rFonts w:hint="default" w:ascii="Times New Roman" w:hAnsi="Times New Roman" w:cs="Times New Roman"/>
                <w:b/>
                <w:bCs w:val="0"/>
                <w:color w:val="auto"/>
                <w:sz w:val="24"/>
                <w:szCs w:val="24"/>
                <w:highlight w:val="none"/>
              </w:rPr>
              <w:t>废水</w:t>
            </w:r>
          </w:p>
          <w:p w14:paraId="3CE5ADEE">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80" w:firstLineChars="200"/>
              <w:textAlignment w:val="auto"/>
              <w:rPr>
                <w:rStyle w:val="27"/>
                <w:rFonts w:hint="default" w:ascii="Times New Roman" w:hAnsi="Times New Roman" w:eastAsia="宋体" w:cs="Times New Roman"/>
                <w:b w:val="0"/>
                <w:bCs/>
                <w:i w:val="0"/>
                <w:caps w:val="0"/>
                <w:color w:val="auto"/>
                <w:spacing w:val="0"/>
                <w:sz w:val="24"/>
                <w:szCs w:val="24"/>
                <w:highlight w:val="none"/>
                <w:shd w:val="clear" w:color="auto" w:fill="FFFFFF"/>
                <w:lang w:val="en-US" w:eastAsia="zh-CN"/>
              </w:rPr>
            </w:pPr>
            <w:r>
              <w:rPr>
                <w:rStyle w:val="27"/>
                <w:rFonts w:hint="default" w:ascii="Times New Roman" w:hAnsi="Times New Roman" w:cs="Times New Roman"/>
                <w:b w:val="0"/>
                <w:bCs/>
                <w:i w:val="0"/>
                <w:caps w:val="0"/>
                <w:color w:val="auto"/>
                <w:spacing w:val="0"/>
                <w:sz w:val="24"/>
                <w:szCs w:val="24"/>
                <w:highlight w:val="none"/>
                <w:shd w:val="clear" w:color="auto" w:fill="FFFFFF"/>
                <w:lang w:val="en-US" w:eastAsia="zh-CN"/>
              </w:rPr>
              <w:t>冷却水循环使用无废水产生</w:t>
            </w:r>
            <w:r>
              <w:rPr>
                <w:rStyle w:val="27"/>
                <w:rFonts w:hint="default" w:ascii="Times New Roman" w:hAnsi="Times New Roman" w:eastAsia="宋体" w:cs="Times New Roman"/>
                <w:b w:val="0"/>
                <w:bCs/>
                <w:i w:val="0"/>
                <w:caps w:val="0"/>
                <w:color w:val="auto"/>
                <w:spacing w:val="0"/>
                <w:sz w:val="24"/>
                <w:szCs w:val="24"/>
                <w:highlight w:val="none"/>
                <w:shd w:val="clear" w:color="auto" w:fill="FFFFFF"/>
                <w:lang w:val="en-US" w:eastAsia="zh-CN"/>
              </w:rPr>
              <w:t>。</w:t>
            </w:r>
          </w:p>
          <w:p w14:paraId="6DF34328">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lang w:val="en-US" w:eastAsia="zh-CN"/>
              </w:rPr>
              <w:t>2.3</w:t>
            </w:r>
            <w:r>
              <w:rPr>
                <w:rFonts w:hint="default" w:ascii="Times New Roman" w:hAnsi="Times New Roman" w:cs="Times New Roman"/>
                <w:b/>
                <w:bCs w:val="0"/>
                <w:color w:val="auto"/>
                <w:sz w:val="24"/>
                <w:szCs w:val="24"/>
                <w:highlight w:val="none"/>
              </w:rPr>
              <w:t>噪声</w:t>
            </w:r>
          </w:p>
          <w:p w14:paraId="5386210F">
            <w:pPr>
              <w:keepLines w:val="0"/>
              <w:pageBreakBefore w:val="0"/>
              <w:widowControl w:val="0"/>
              <w:kinsoku/>
              <w:wordWrap/>
              <w:overflowPunct/>
              <w:topLinePunct w:val="0"/>
              <w:autoSpaceDE/>
              <w:autoSpaceDN/>
              <w:bidi w:val="0"/>
              <w:adjustRightInd w:val="0"/>
              <w:snapToGrid w:val="0"/>
              <w:spacing w:line="360" w:lineRule="auto"/>
              <w:ind w:left="0" w:leftChars="0" w:right="0" w:firstLine="480" w:firstLineChars="200"/>
              <w:textAlignment w:val="auto"/>
              <w:rPr>
                <w:rFonts w:hint="default" w:ascii="Times New Roman" w:hAnsi="Times New Roman" w:cs="Times New Roman"/>
                <w:b w:val="0"/>
                <w:bCs/>
                <w:color w:val="auto"/>
                <w:sz w:val="24"/>
                <w:szCs w:val="24"/>
                <w:highlight w:val="none"/>
              </w:rPr>
            </w:pPr>
            <w:r>
              <w:rPr>
                <w:rFonts w:hint="default" w:ascii="Times New Roman" w:hAnsi="Times New Roman" w:cs="Times New Roman"/>
                <w:b w:val="0"/>
                <w:bCs/>
                <w:color w:val="auto"/>
                <w:sz w:val="24"/>
                <w:szCs w:val="24"/>
                <w:highlight w:val="none"/>
                <w:lang w:val="en-US" w:eastAsia="zh-CN"/>
              </w:rPr>
              <w:t>本项目运营期的噪声主要来源于生产设备运行产生的噪声，其源强为65-90dB（A）。</w:t>
            </w:r>
          </w:p>
          <w:p w14:paraId="32394629">
            <w:pPr>
              <w:keepNext w:val="0"/>
              <w:keepLines w:val="0"/>
              <w:pageBreakBefore w:val="0"/>
              <w:widowControl w:val="0"/>
              <w:kinsoku/>
              <w:wordWrap/>
              <w:overflowPunct/>
              <w:topLinePunct w:val="0"/>
              <w:autoSpaceDE/>
              <w:autoSpaceDN/>
              <w:bidi w:val="0"/>
              <w:adjustRightInd w:val="0"/>
              <w:snapToGrid w:val="0"/>
              <w:spacing w:line="360" w:lineRule="auto"/>
              <w:ind w:right="0"/>
              <w:textAlignment w:val="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lang w:val="en-US" w:eastAsia="zh-CN"/>
              </w:rPr>
              <w:t>2.4</w:t>
            </w:r>
            <w:r>
              <w:rPr>
                <w:rFonts w:hint="default" w:ascii="Times New Roman" w:hAnsi="Times New Roman" w:cs="Times New Roman"/>
                <w:b/>
                <w:bCs w:val="0"/>
                <w:color w:val="auto"/>
                <w:sz w:val="24"/>
                <w:szCs w:val="24"/>
                <w:highlight w:val="none"/>
              </w:rPr>
              <w:t>固体废物</w:t>
            </w:r>
          </w:p>
          <w:p w14:paraId="5583BFBA">
            <w:pPr>
              <w:pStyle w:val="5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（1）一般固体废物</w:t>
            </w:r>
          </w:p>
          <w:p w14:paraId="309BE0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jc w:val="both"/>
              <w:textAlignment w:val="auto"/>
              <w:rPr>
                <w:rFonts w:hint="default" w:ascii="Times New Roman" w:hAnsi="Times New Roman" w:eastAsia="宋体" w:cs="Times New Roman"/>
                <w:snapToGrid w:val="0"/>
                <w:color w:val="auto"/>
                <w:kern w:val="2"/>
                <w:sz w:val="24"/>
                <w:szCs w:val="24"/>
                <w:highlight w:val="none"/>
                <w:lang w:val="en-US" w:eastAsia="zh-CN" w:bidi="ar-SA"/>
              </w:rPr>
            </w:pPr>
            <w:r>
              <w:rPr>
                <w:rFonts w:hint="default" w:ascii="Times New Roman" w:hAnsi="Times New Roman" w:eastAsia="宋体" w:cs="Times New Roman"/>
                <w:snapToGrid w:val="0"/>
                <w:color w:val="auto"/>
                <w:kern w:val="2"/>
                <w:sz w:val="24"/>
                <w:szCs w:val="24"/>
                <w:highlight w:val="none"/>
                <w:lang w:val="en-US" w:eastAsia="zh-CN" w:bidi="ar-SA"/>
              </w:rPr>
              <w:t>本项目生产固废主要包括一般不合格产品、切割的边角料。</w:t>
            </w:r>
          </w:p>
          <w:p w14:paraId="30281C10">
            <w:pPr>
              <w:pStyle w:val="5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snapToGrid w:val="0"/>
                <w:color w:val="auto"/>
                <w:kern w:val="2"/>
                <w:sz w:val="24"/>
                <w:szCs w:val="24"/>
                <w:highlight w:val="none"/>
                <w:lang w:val="en-US" w:eastAsia="zh-CN" w:bidi="ar-SA"/>
              </w:rPr>
              <w:t>（2）危险废物</w:t>
            </w:r>
          </w:p>
          <w:p w14:paraId="69DEFB72">
            <w:pPr>
              <w:pStyle w:val="55"/>
              <w:keepNext w:val="0"/>
              <w:keepLines w:val="0"/>
              <w:pageBreakBefore w:val="0"/>
              <w:widowControl w:val="0"/>
              <w:kinsoku/>
              <w:wordWrap/>
              <w:overflowPunct/>
              <w:topLinePunct w:val="0"/>
              <w:autoSpaceDE/>
              <w:autoSpaceDN/>
              <w:bidi w:val="0"/>
              <w:adjustRightInd/>
              <w:snapToGrid w:val="0"/>
              <w:spacing w:line="360" w:lineRule="auto"/>
              <w:ind w:left="0" w:leftChars="0" w:right="0" w:firstLine="480" w:firstLineChars="200"/>
              <w:jc w:val="both"/>
              <w:textAlignment w:val="auto"/>
              <w:rPr>
                <w:rFonts w:hint="default" w:ascii="Times New Roman" w:hAnsi="Times New Roman" w:eastAsia="宋体" w:cs="Times New Roman"/>
                <w:b w:val="0"/>
                <w:bCs/>
                <w:snapToGrid w:val="0"/>
                <w:color w:val="auto"/>
                <w:kern w:val="2"/>
                <w:sz w:val="24"/>
                <w:szCs w:val="24"/>
                <w:highlight w:val="none"/>
                <w:lang w:val="en-US" w:eastAsia="zh-CN" w:bidi="ar-SA"/>
              </w:rPr>
            </w:pPr>
            <w:r>
              <w:rPr>
                <w:rFonts w:hint="default" w:ascii="Times New Roman" w:hAnsi="Times New Roman" w:eastAsia="宋体" w:cs="Times New Roman"/>
                <w:b w:val="0"/>
                <w:bCs/>
                <w:color w:val="auto"/>
                <w:sz w:val="24"/>
                <w:szCs w:val="24"/>
                <w:highlight w:val="none"/>
                <w:lang w:val="en-US" w:eastAsia="zh-CN"/>
              </w:rPr>
              <w:t>废活性炭：</w:t>
            </w:r>
            <w:r>
              <w:rPr>
                <w:rFonts w:hint="default" w:ascii="Times New Roman" w:hAnsi="Times New Roman" w:cs="Times New Roman"/>
                <w:b w:val="0"/>
                <w:bCs/>
                <w:color w:val="auto"/>
                <w:sz w:val="24"/>
                <w:highlight w:val="none"/>
                <w:lang w:val="en-US" w:eastAsia="zh-CN"/>
              </w:rPr>
              <w:t>本项目生产工序产生的VOCs（以非甲烷总烃计）采用活性炭吸附，脱附后进入催化燃烧装置进行处理，活性炭吸附饱和后需进行更换，将会产生废活性炭。</w:t>
            </w:r>
          </w:p>
          <w:p w14:paraId="653C8950">
            <w:pPr>
              <w:pStyle w:val="55"/>
              <w:keepNext w:val="0"/>
              <w:keepLines w:val="0"/>
              <w:pageBreakBefore w:val="0"/>
              <w:widowControl w:val="0"/>
              <w:kinsoku/>
              <w:wordWrap/>
              <w:overflowPunct/>
              <w:topLinePunct w:val="0"/>
              <w:autoSpaceDE/>
              <w:autoSpaceDN/>
              <w:bidi w:val="0"/>
              <w:adjustRightInd/>
              <w:snapToGrid w:val="0"/>
              <w:spacing w:line="360" w:lineRule="auto"/>
              <w:ind w:left="0" w:leftChars="0" w:right="0"/>
              <w:jc w:val="both"/>
              <w:textAlignment w:val="auto"/>
              <w:rPr>
                <w:rFonts w:hint="default" w:ascii="Times New Roman" w:hAnsi="Times New Roman" w:cs="Times New Roman"/>
                <w:color w:val="auto"/>
                <w:highlight w:val="none"/>
                <w:lang w:eastAsia="zh-CN"/>
              </w:rPr>
            </w:pPr>
            <w:r>
              <w:rPr>
                <w:rFonts w:hint="default" w:ascii="Times New Roman" w:hAnsi="Times New Roman" w:eastAsia="宋体" w:cs="Times New Roman"/>
                <w:b w:val="0"/>
                <w:bCs/>
                <w:color w:val="auto"/>
                <w:sz w:val="24"/>
                <w:szCs w:val="24"/>
                <w:highlight w:val="none"/>
                <w:lang w:val="en-US" w:eastAsia="zh-CN"/>
              </w:rPr>
              <w:t>废机油：本项目生产过程中机械设备维护产生的废机油属于危险废物。</w:t>
            </w:r>
          </w:p>
        </w:tc>
      </w:tr>
      <w:tr w14:paraId="0061C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54" w:type="dxa"/>
            <w:tcBorders>
              <w:tl2br w:val="nil"/>
              <w:tr2bl w:val="nil"/>
            </w:tcBorders>
            <w:noWrap w:val="0"/>
            <w:vAlign w:val="center"/>
          </w:tcPr>
          <w:p w14:paraId="6C5825E8">
            <w:pPr>
              <w:pStyle w:val="22"/>
              <w:keepLines w:val="0"/>
              <w:pageBreakBefore w:val="0"/>
              <w:kinsoku/>
              <w:wordWrap/>
              <w:overflowPunct/>
              <w:topLinePunct w:val="0"/>
              <w:bidi w:val="0"/>
              <w:adjustRightInd w:val="0"/>
              <w:snapToGrid w:val="0"/>
              <w:spacing w:before="0" w:beforeAutospacing="0" w:after="0" w:afterAutospacing="0"/>
              <w:ind w:left="0" w:leftChars="0" w:right="0"/>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2"/>
                <w:sz w:val="24"/>
                <w:szCs w:val="24"/>
                <w:highlight w:val="none"/>
              </w:rPr>
              <w:t>与项目有关的原有环境污染问题</w:t>
            </w:r>
          </w:p>
        </w:tc>
        <w:tc>
          <w:tcPr>
            <w:tcW w:w="8068" w:type="dxa"/>
            <w:tcBorders>
              <w:tl2br w:val="nil"/>
              <w:tr2bl w:val="nil"/>
            </w:tcBorders>
            <w:noWrap w:val="0"/>
            <w:vAlign w:val="center"/>
          </w:tcPr>
          <w:p w14:paraId="3F929E4F">
            <w:pPr>
              <w:keepNext w:val="0"/>
              <w:keepLines w:val="0"/>
              <w:pageBreakBefore w:val="0"/>
              <w:widowControl w:val="0"/>
              <w:kinsoku/>
              <w:wordWrap/>
              <w:overflowPunct/>
              <w:topLinePunct w:val="0"/>
              <w:bidi w:val="0"/>
              <w:spacing w:line="360" w:lineRule="auto"/>
              <w:ind w:right="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原有项目环保手续履行情况</w:t>
            </w:r>
          </w:p>
          <w:p w14:paraId="7197AC72">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经实地调查，本项目建设</w:t>
            </w:r>
            <w:r>
              <w:rPr>
                <w:rFonts w:hint="default" w:ascii="Times New Roman" w:hAnsi="Times New Roman" w:eastAsia="宋体" w:cs="Times New Roman"/>
                <w:color w:val="auto"/>
                <w:sz w:val="24"/>
                <w:szCs w:val="24"/>
                <w:highlight w:val="none"/>
                <w:lang w:eastAsia="zh-CN"/>
              </w:rPr>
              <w:t>地点</w:t>
            </w:r>
            <w:r>
              <w:rPr>
                <w:rFonts w:hint="default" w:ascii="Times New Roman" w:hAnsi="Times New Roman" w:eastAsia="宋体" w:cs="Times New Roman"/>
                <w:color w:val="auto"/>
                <w:sz w:val="24"/>
                <w:szCs w:val="24"/>
                <w:highlight w:val="none"/>
              </w:rPr>
              <w:t>位于</w:t>
            </w:r>
            <w:r>
              <w:rPr>
                <w:rFonts w:hint="default" w:ascii="Times New Roman" w:hAnsi="Times New Roman" w:eastAsia="宋体" w:cs="Times New Roman"/>
                <w:color w:val="auto"/>
                <w:sz w:val="24"/>
                <w:szCs w:val="24"/>
                <w:highlight w:val="none"/>
                <w:lang w:val="en-US" w:eastAsia="zh-CN"/>
              </w:rPr>
              <w:t>昌吉市六工镇</w:t>
            </w:r>
            <w:r>
              <w:rPr>
                <w:rFonts w:hint="default" w:ascii="Times New Roman" w:hAnsi="Times New Roman" w:eastAsia="宋体" w:cs="Times New Roman"/>
                <w:color w:val="auto"/>
                <w:sz w:val="24"/>
                <w:szCs w:val="24"/>
                <w:highlight w:val="none"/>
              </w:rPr>
              <w:t>新疆凯狮威塑业有限责任公司</w:t>
            </w:r>
            <w:r>
              <w:rPr>
                <w:rFonts w:hint="default" w:ascii="Times New Roman" w:hAnsi="Times New Roman" w:eastAsia="宋体" w:cs="Times New Roman"/>
                <w:color w:val="auto"/>
                <w:sz w:val="24"/>
                <w:szCs w:val="24"/>
                <w:highlight w:val="none"/>
                <w:lang w:val="en-US" w:eastAsia="zh-CN"/>
              </w:rPr>
              <w:t>厂区内</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项目选址为</w:t>
            </w:r>
            <w:r>
              <w:rPr>
                <w:rFonts w:hint="default" w:ascii="Times New Roman" w:hAnsi="Times New Roman" w:eastAsia="宋体" w:cs="Times New Roman"/>
                <w:color w:val="auto"/>
                <w:sz w:val="24"/>
                <w:szCs w:val="24"/>
                <w:highlight w:val="none"/>
              </w:rPr>
              <w:t>新疆凯狮威塑业有限责任公司</w:t>
            </w:r>
            <w:r>
              <w:rPr>
                <w:rFonts w:hint="default" w:ascii="Times New Roman" w:hAnsi="Times New Roman" w:eastAsia="宋体" w:cs="Times New Roman"/>
                <w:color w:val="auto"/>
                <w:sz w:val="24"/>
                <w:szCs w:val="24"/>
                <w:highlight w:val="none"/>
                <w:lang w:val="en-US" w:eastAsia="zh-CN"/>
              </w:rPr>
              <w:t>内西北侧未利用空地。</w:t>
            </w:r>
          </w:p>
          <w:p w14:paraId="3316E0BE">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2010年，新疆凯狮威塑业有限责任公司以《新疆凯狮威塑业有限责任公司节水管材建设项目环境影响报告表的批复》（昌市环管字﹝2010﹞178号）通过原昌吉市环境保护局审批。</w:t>
            </w:r>
          </w:p>
          <w:p w14:paraId="586AC209">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2014年，新疆凯狮威塑业有限责任公司以《关于新疆凯狮威塑业有限责任公司节水管材建设项目环境保护验收的意见》（昌市环验函字﹝2014﹞083号）通过竣工环保验收。</w:t>
            </w:r>
          </w:p>
          <w:p w14:paraId="38C468F8">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2018年12月19日，</w:t>
            </w:r>
            <w:r>
              <w:rPr>
                <w:rFonts w:hint="default" w:ascii="Times New Roman" w:hAnsi="Times New Roman" w:eastAsia="宋体" w:cs="Times New Roman"/>
                <w:color w:val="auto"/>
                <w:sz w:val="24"/>
                <w:szCs w:val="24"/>
                <w:highlight w:val="none"/>
              </w:rPr>
              <w:t>新疆凯狮威塑业有限责任公司</w:t>
            </w:r>
            <w:r>
              <w:rPr>
                <w:rFonts w:hint="default" w:ascii="Times New Roman" w:hAnsi="Times New Roman" w:eastAsia="宋体" w:cs="Times New Roman"/>
                <w:color w:val="auto"/>
                <w:sz w:val="24"/>
                <w:szCs w:val="24"/>
                <w:highlight w:val="none"/>
                <w:lang w:val="en-US" w:eastAsia="zh-CN"/>
              </w:rPr>
              <w:t>以《关于</w:t>
            </w:r>
            <w:r>
              <w:rPr>
                <w:rFonts w:hint="default" w:ascii="Times New Roman" w:hAnsi="Times New Roman" w:eastAsia="宋体" w:cs="Times New Roman"/>
                <w:color w:val="auto"/>
                <w:sz w:val="24"/>
                <w:szCs w:val="24"/>
                <w:highlight w:val="none"/>
              </w:rPr>
              <w:t>新疆凯狮威塑业有限责任公司</w:t>
            </w:r>
            <w:r>
              <w:rPr>
                <w:rFonts w:hint="default" w:ascii="Times New Roman" w:hAnsi="Times New Roman" w:eastAsia="宋体" w:cs="Times New Roman"/>
                <w:color w:val="auto"/>
                <w:sz w:val="24"/>
                <w:szCs w:val="24"/>
                <w:highlight w:val="none"/>
                <w:lang w:val="en-US" w:eastAsia="zh-CN"/>
              </w:rPr>
              <w:t>增加建设PE生产线项目环境影响报告表的批复》（昌市环管字﹝2018﹞14号）通过原昌吉市环境保护局审批。</w:t>
            </w:r>
          </w:p>
          <w:p w14:paraId="3D89F831">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2019年8月，</w:t>
            </w:r>
            <w:r>
              <w:rPr>
                <w:rFonts w:hint="default" w:ascii="Times New Roman" w:hAnsi="Times New Roman" w:eastAsia="宋体" w:cs="Times New Roman"/>
                <w:color w:val="auto"/>
                <w:sz w:val="24"/>
                <w:szCs w:val="24"/>
                <w:highlight w:val="none"/>
              </w:rPr>
              <w:t>新疆凯狮威塑业有限责任公司</w:t>
            </w:r>
            <w:r>
              <w:rPr>
                <w:rFonts w:hint="default" w:ascii="Times New Roman" w:hAnsi="Times New Roman" w:eastAsia="宋体" w:cs="Times New Roman"/>
                <w:color w:val="auto"/>
                <w:sz w:val="24"/>
                <w:szCs w:val="24"/>
                <w:highlight w:val="none"/>
                <w:lang w:val="en-US" w:eastAsia="zh-CN"/>
              </w:rPr>
              <w:t>对该项目开展自主验收，并通过验收合格。</w:t>
            </w:r>
          </w:p>
          <w:p w14:paraId="443535D8">
            <w:pPr>
              <w:keepLines w:val="0"/>
              <w:pageBreakBefore w:val="0"/>
              <w:kinsoku/>
              <w:wordWrap/>
              <w:overflowPunct/>
              <w:topLinePunct w:val="0"/>
              <w:bidi w:val="0"/>
              <w:spacing w:line="360" w:lineRule="auto"/>
              <w:ind w:left="0" w:leftChars="0" w:right="0"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2023年5月25日</w:t>
            </w:r>
            <w:r>
              <w:rPr>
                <w:rFonts w:hint="default" w:ascii="Times New Roman" w:hAnsi="Times New Roman" w:cs="Times New Roman"/>
                <w:color w:val="auto"/>
                <w:sz w:val="24"/>
                <w:szCs w:val="24"/>
                <w:highlight w:val="none"/>
                <w:lang w:val="en-US" w:eastAsia="zh-CN"/>
              </w:rPr>
              <w:t>取得</w:t>
            </w:r>
            <w:r>
              <w:rPr>
                <w:rFonts w:hint="default" w:ascii="Times New Roman" w:hAnsi="Times New Roman" w:cs="Times New Roman"/>
                <w:color w:val="auto"/>
                <w:sz w:val="24"/>
                <w:szCs w:val="36"/>
                <w:highlight w:val="none"/>
              </w:rPr>
              <w:t>关于对</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新疆凯狮威塑业有限责任公司残膜回收造粒项目</w:t>
            </w:r>
            <w:r>
              <w:rPr>
                <w:rFonts w:hint="default" w:ascii="Times New Roman" w:hAnsi="Times New Roman" w:cs="Times New Roman"/>
                <w:color w:val="auto"/>
                <w:sz w:val="24"/>
                <w:szCs w:val="24"/>
                <w:highlight w:val="none"/>
              </w:rPr>
              <w:t>环境影响报告书》的批复，</w:t>
            </w:r>
            <w:r>
              <w:rPr>
                <w:rFonts w:hint="default" w:ascii="Times New Roman" w:hAnsi="Times New Roman" w:cs="Times New Roman"/>
                <w:color w:val="auto"/>
                <w:sz w:val="24"/>
                <w:szCs w:val="24"/>
                <w:highlight w:val="none"/>
                <w:lang w:eastAsia="zh-CN"/>
              </w:rPr>
              <w:t>昌州环评〔2023〕73号</w:t>
            </w:r>
            <w:r>
              <w:rPr>
                <w:rFonts w:hint="default" w:ascii="Times New Roman" w:hAnsi="Times New Roman" w:cs="Times New Roman"/>
                <w:color w:val="auto"/>
                <w:sz w:val="24"/>
                <w:szCs w:val="24"/>
                <w:highlight w:val="none"/>
              </w:rPr>
              <w:t>；</w:t>
            </w:r>
          </w:p>
          <w:p w14:paraId="707EF812">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2023年12月31日</w:t>
            </w:r>
            <w:r>
              <w:rPr>
                <w:rFonts w:hint="default" w:ascii="Times New Roman" w:hAnsi="Times New Roman" w:cs="Times New Roman"/>
                <w:color w:val="auto"/>
                <w:sz w:val="24"/>
                <w:szCs w:val="24"/>
                <w:highlight w:val="none"/>
                <w:lang w:val="en-US" w:eastAsia="zh-CN"/>
              </w:rPr>
              <w:t>取得</w:t>
            </w:r>
            <w:r>
              <w:rPr>
                <w:rFonts w:hint="default" w:ascii="Times New Roman" w:hAnsi="Times New Roman" w:cs="Times New Roman"/>
                <w:color w:val="auto"/>
                <w:sz w:val="24"/>
                <w:szCs w:val="36"/>
                <w:highlight w:val="none"/>
              </w:rPr>
              <w:t>对</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新疆凯狮威塑业有限责任公司残膜回收造粒项目</w:t>
            </w:r>
            <w:r>
              <w:rPr>
                <w:rFonts w:hint="default" w:ascii="Times New Roman" w:hAnsi="Times New Roman" w:cs="Times New Roman"/>
                <w:color w:val="auto"/>
                <w:sz w:val="24"/>
                <w:szCs w:val="24"/>
                <w:highlight w:val="none"/>
              </w:rPr>
              <w:t>环境影响报告书》</w:t>
            </w:r>
            <w:r>
              <w:rPr>
                <w:rFonts w:hint="default" w:ascii="Times New Roman" w:hAnsi="Times New Roman" w:eastAsia="宋体" w:cs="Times New Roman"/>
                <w:color w:val="auto"/>
                <w:sz w:val="24"/>
                <w:szCs w:val="24"/>
                <w:highlight w:val="none"/>
                <w:lang w:val="en-US" w:eastAsia="zh-CN"/>
              </w:rPr>
              <w:t>开展自主验收，并通过验收合格。</w:t>
            </w:r>
          </w:p>
          <w:p w14:paraId="44F46149">
            <w:pPr>
              <w:keepNext w:val="0"/>
              <w:keepLines w:val="0"/>
              <w:pageBreakBefore w:val="0"/>
              <w:widowControl w:val="0"/>
              <w:kinsoku/>
              <w:wordWrap/>
              <w:overflowPunct/>
              <w:topLinePunct w:val="0"/>
              <w:bidi w:val="0"/>
              <w:spacing w:line="360"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新疆凯狮威塑业有限责任公司</w:t>
            </w:r>
            <w:r>
              <w:rPr>
                <w:rFonts w:hint="default" w:ascii="Times New Roman" w:hAnsi="Times New Roman" w:eastAsia="宋体" w:cs="Times New Roman"/>
                <w:color w:val="auto"/>
                <w:sz w:val="24"/>
                <w:szCs w:val="24"/>
                <w:highlight w:val="none"/>
                <w:lang w:val="en-US" w:eastAsia="zh-CN"/>
              </w:rPr>
              <w:t>于2020年6月8日在全国排污许可证管理信息平台进行登记，2020年10月27日进行变更，最终取得登记回执，登记编号为92652301556466017A001X。</w:t>
            </w:r>
          </w:p>
          <w:p w14:paraId="6BC74855">
            <w:pPr>
              <w:adjustRightInd/>
              <w:snapToGrid/>
              <w:spacing w:after="0" w:line="360" w:lineRule="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rPr>
              <w:t>2.2</w:t>
            </w:r>
            <w:r>
              <w:rPr>
                <w:rFonts w:hint="default" w:ascii="Times New Roman" w:hAnsi="Times New Roman" w:cs="Times New Roman"/>
                <w:b/>
                <w:color w:val="auto"/>
                <w:sz w:val="24"/>
                <w:szCs w:val="24"/>
                <w:highlight w:val="none"/>
                <w:lang w:val="en-US" w:eastAsia="zh-CN"/>
              </w:rPr>
              <w:t>现有</w:t>
            </w:r>
            <w:r>
              <w:rPr>
                <w:rFonts w:hint="default" w:ascii="Times New Roman" w:hAnsi="Times New Roman" w:eastAsia="宋体" w:cs="Times New Roman"/>
                <w:b/>
                <w:color w:val="auto"/>
                <w:sz w:val="24"/>
                <w:szCs w:val="24"/>
                <w:highlight w:val="none"/>
                <w:lang w:val="en-US" w:eastAsia="zh-CN"/>
              </w:rPr>
              <w:t>工程</w:t>
            </w:r>
            <w:r>
              <w:rPr>
                <w:rFonts w:hint="default" w:ascii="Times New Roman" w:hAnsi="Times New Roman" w:eastAsia="宋体" w:cs="Times New Roman"/>
                <w:b/>
                <w:color w:val="auto"/>
                <w:sz w:val="24"/>
                <w:szCs w:val="24"/>
                <w:highlight w:val="none"/>
              </w:rPr>
              <w:t>建设</w:t>
            </w:r>
            <w:r>
              <w:rPr>
                <w:rFonts w:hint="default" w:ascii="Times New Roman" w:hAnsi="Times New Roman" w:eastAsia="宋体" w:cs="Times New Roman"/>
                <w:b/>
                <w:color w:val="auto"/>
                <w:sz w:val="24"/>
                <w:szCs w:val="24"/>
                <w:highlight w:val="none"/>
                <w:lang w:val="en-US" w:eastAsia="zh-CN"/>
              </w:rPr>
              <w:t>情况</w:t>
            </w:r>
          </w:p>
          <w:p w14:paraId="6BEE6559">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auto"/>
              <w:rPr>
                <w:rFonts w:hint="default" w:ascii="Times New Roman" w:hAnsi="Times New Roman" w:eastAsia="宋体" w:cs="Times New Roman"/>
                <w:b/>
                <w:bCs/>
                <w:color w:val="auto"/>
                <w:kern w:val="2"/>
                <w:sz w:val="24"/>
                <w:szCs w:val="24"/>
                <w:highlight w:val="none"/>
                <w:lang w:val="en-US" w:eastAsia="zh-CN"/>
              </w:rPr>
            </w:pPr>
            <w:r>
              <w:rPr>
                <w:rFonts w:hint="default" w:ascii="Times New Roman" w:hAnsi="Times New Roman" w:eastAsia="宋体" w:cs="Times New Roman"/>
                <w:b/>
                <w:bCs/>
                <w:color w:val="auto"/>
                <w:kern w:val="2"/>
                <w:sz w:val="24"/>
                <w:szCs w:val="24"/>
                <w:highlight w:val="none"/>
                <w:lang w:val="en-US" w:eastAsia="zh-CN"/>
              </w:rPr>
              <w:t>2.2.1</w:t>
            </w:r>
            <w:r>
              <w:rPr>
                <w:rFonts w:hint="default" w:ascii="Times New Roman" w:hAnsi="Times New Roman" w:cs="Times New Roman"/>
                <w:b/>
                <w:bCs/>
                <w:color w:val="auto"/>
                <w:sz w:val="24"/>
                <w:szCs w:val="24"/>
                <w:highlight w:val="none"/>
                <w:lang w:val="en-US" w:eastAsia="zh-CN"/>
              </w:rPr>
              <w:t>现有</w:t>
            </w:r>
            <w:r>
              <w:rPr>
                <w:rFonts w:hint="default" w:ascii="Times New Roman" w:hAnsi="Times New Roman" w:eastAsia="宋体" w:cs="Times New Roman"/>
                <w:b/>
                <w:bCs/>
                <w:color w:val="auto"/>
                <w:sz w:val="24"/>
                <w:szCs w:val="24"/>
                <w:highlight w:val="none"/>
                <w:lang w:val="en-US" w:eastAsia="zh-CN"/>
              </w:rPr>
              <w:t>工程</w:t>
            </w:r>
            <w:r>
              <w:rPr>
                <w:rFonts w:hint="default" w:ascii="Times New Roman" w:hAnsi="Times New Roman" w:eastAsia="宋体" w:cs="Times New Roman"/>
                <w:b/>
                <w:bCs/>
                <w:color w:val="auto"/>
                <w:sz w:val="24"/>
                <w:szCs w:val="24"/>
                <w:highlight w:val="none"/>
              </w:rPr>
              <w:t>建设</w:t>
            </w:r>
            <w:r>
              <w:rPr>
                <w:rFonts w:hint="default" w:ascii="Times New Roman" w:hAnsi="Times New Roman" w:eastAsia="宋体" w:cs="Times New Roman"/>
                <w:b/>
                <w:bCs/>
                <w:color w:val="auto"/>
                <w:sz w:val="24"/>
                <w:szCs w:val="24"/>
                <w:highlight w:val="none"/>
                <w:lang w:val="en-US" w:eastAsia="zh-CN"/>
              </w:rPr>
              <w:t>内容</w:t>
            </w:r>
          </w:p>
          <w:p w14:paraId="163A949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新疆凯狮威塑业有限责任公司</w:t>
            </w:r>
            <w:r>
              <w:rPr>
                <w:rFonts w:hint="default" w:ascii="Times New Roman" w:hAnsi="Times New Roman" w:cs="Times New Roman"/>
                <w:color w:val="auto"/>
                <w:sz w:val="24"/>
                <w:szCs w:val="24"/>
                <w:highlight w:val="none"/>
                <w:lang w:val="en-US" w:eastAsia="zh-CN"/>
              </w:rPr>
              <w:t>成立于2010年，占地面积40000m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val="en-US" w:eastAsia="zh-CN"/>
              </w:rPr>
              <w:t>，建设生产车间3栋，</w:t>
            </w:r>
            <w:r>
              <w:rPr>
                <w:rFonts w:hint="default" w:ascii="Times New Roman" w:hAnsi="Times New Roman" w:eastAsia="宋体" w:cs="Times New Roman"/>
                <w:color w:val="auto"/>
                <w:sz w:val="24"/>
                <w:szCs w:val="24"/>
                <w:highlight w:val="none"/>
                <w:lang w:val="en-US" w:eastAsia="zh-CN"/>
              </w:rPr>
              <w:t>原料库房、成品库房各1栋，现有项目建设规模为：6条PVC管生产线，年产PVC管1100t；PE农膜生产线13条，年产PE农膜2000t；PE管生产线6条，年产PE管1000t/a，造粒生产线4条，项目建成后年加工废旧塑料5000t</w:t>
            </w:r>
            <w:r>
              <w:rPr>
                <w:rFonts w:hint="default" w:ascii="Times New Roman" w:hAnsi="Times New Roman" w:cs="Times New Roman"/>
                <w:color w:val="auto"/>
                <w:sz w:val="24"/>
                <w:szCs w:val="24"/>
                <w:highlight w:val="none"/>
                <w:lang w:val="en-US" w:eastAsia="zh-CN"/>
              </w:rPr>
              <w:t>/a，生产的再生颗粒全部外售</w:t>
            </w:r>
            <w:r>
              <w:rPr>
                <w:rFonts w:hint="default" w:ascii="Times New Roman" w:hAnsi="Times New Roman" w:eastAsia="宋体" w:cs="Times New Roman"/>
                <w:color w:val="auto"/>
                <w:sz w:val="24"/>
                <w:szCs w:val="24"/>
                <w:highlight w:val="none"/>
                <w:lang w:val="en-US" w:eastAsia="zh-CN"/>
              </w:rPr>
              <w:t>。</w:t>
            </w:r>
          </w:p>
          <w:p w14:paraId="327B56D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现有项目组成见下表。</w:t>
            </w:r>
          </w:p>
          <w:p w14:paraId="732442FF">
            <w:pPr>
              <w:pStyle w:val="31"/>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
                <w:bCs/>
                <w:snapToGrid w:val="0"/>
                <w:color w:val="auto"/>
                <w:sz w:val="21"/>
                <w:szCs w:val="21"/>
                <w:highlight w:val="none"/>
                <w:lang w:val="en-US" w:eastAsia="zh-CN" w:bidi="ar-SA"/>
              </w:rPr>
              <w:t>表</w:t>
            </w:r>
            <w:r>
              <w:rPr>
                <w:rFonts w:hint="eastAsia" w:cs="Times New Roman"/>
                <w:b/>
                <w:bCs/>
                <w:snapToGrid w:val="0"/>
                <w:color w:val="auto"/>
                <w:sz w:val="21"/>
                <w:szCs w:val="21"/>
                <w:highlight w:val="none"/>
                <w:lang w:val="en-US" w:eastAsia="zh-CN" w:bidi="ar-SA"/>
              </w:rPr>
              <w:t>2-5</w:t>
            </w:r>
            <w:r>
              <w:rPr>
                <w:rFonts w:hint="default" w:ascii="Times New Roman" w:hAnsi="Times New Roman" w:eastAsia="宋体" w:cs="Times New Roman"/>
                <w:b/>
                <w:bCs/>
                <w:snapToGrid w:val="0"/>
                <w:color w:val="auto"/>
                <w:sz w:val="21"/>
                <w:szCs w:val="21"/>
                <w:highlight w:val="none"/>
                <w:lang w:val="en-US" w:eastAsia="zh-CN" w:bidi="ar-SA"/>
              </w:rPr>
              <w:t xml:space="preserve">   项目组成表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544"/>
              <w:gridCol w:w="940"/>
              <w:gridCol w:w="4031"/>
              <w:gridCol w:w="1595"/>
            </w:tblGrid>
            <w:tr w14:paraId="0B65B8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tcBorders>
                    <w:bottom w:val="single" w:color="auto" w:sz="12" w:space="0"/>
                  </w:tcBorders>
                  <w:noWrap w:val="0"/>
                  <w:vAlign w:val="center"/>
                </w:tcPr>
                <w:p w14:paraId="5D92AB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类别</w:t>
                  </w:r>
                </w:p>
              </w:tc>
              <w:tc>
                <w:tcPr>
                  <w:tcW w:w="1484" w:type="dxa"/>
                  <w:gridSpan w:val="2"/>
                  <w:tcBorders>
                    <w:bottom w:val="single" w:color="auto" w:sz="12" w:space="0"/>
                  </w:tcBorders>
                  <w:noWrap w:val="0"/>
                  <w:vAlign w:val="center"/>
                </w:tcPr>
                <w:p w14:paraId="6FF8F4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项目</w:t>
                  </w:r>
                </w:p>
              </w:tc>
              <w:tc>
                <w:tcPr>
                  <w:tcW w:w="4032" w:type="dxa"/>
                  <w:tcBorders>
                    <w:bottom w:val="single" w:color="auto" w:sz="12" w:space="0"/>
                  </w:tcBorders>
                  <w:noWrap w:val="0"/>
                  <w:vAlign w:val="center"/>
                </w:tcPr>
                <w:p w14:paraId="40E41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建设内容</w:t>
                  </w:r>
                </w:p>
              </w:tc>
              <w:tc>
                <w:tcPr>
                  <w:tcW w:w="1595" w:type="dxa"/>
                  <w:tcBorders>
                    <w:bottom w:val="single" w:color="auto" w:sz="12" w:space="0"/>
                  </w:tcBorders>
                  <w:noWrap w:val="0"/>
                  <w:vAlign w:val="center"/>
                </w:tcPr>
                <w:p w14:paraId="3FDF0B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备注</w:t>
                  </w:r>
                </w:p>
              </w:tc>
            </w:tr>
            <w:tr w14:paraId="157E65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tcBorders>
                    <w:top w:val="single" w:color="auto" w:sz="12" w:space="0"/>
                    <w:tl2br w:val="nil"/>
                    <w:tr2bl w:val="nil"/>
                  </w:tcBorders>
                  <w:noWrap w:val="0"/>
                  <w:vAlign w:val="center"/>
                </w:tcPr>
                <w:p w14:paraId="57F984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主体工程</w:t>
                  </w:r>
                </w:p>
              </w:tc>
              <w:tc>
                <w:tcPr>
                  <w:tcW w:w="1484" w:type="dxa"/>
                  <w:gridSpan w:val="2"/>
                  <w:tcBorders>
                    <w:top w:val="single" w:color="auto" w:sz="12" w:space="0"/>
                    <w:tl2br w:val="nil"/>
                    <w:tr2bl w:val="nil"/>
                  </w:tcBorders>
                  <w:noWrap w:val="0"/>
                  <w:vAlign w:val="center"/>
                </w:tcPr>
                <w:p w14:paraId="603967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PVC管车间</w:t>
                  </w:r>
                </w:p>
              </w:tc>
              <w:tc>
                <w:tcPr>
                  <w:tcW w:w="4032" w:type="dxa"/>
                  <w:tcBorders>
                    <w:top w:val="single" w:color="auto" w:sz="12" w:space="0"/>
                    <w:tl2br w:val="nil"/>
                    <w:tr2bl w:val="nil"/>
                  </w:tcBorders>
                  <w:noWrap w:val="0"/>
                  <w:vAlign w:val="center"/>
                </w:tcPr>
                <w:p w14:paraId="5770876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建筑面积1000m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，年产PVC管1100t</w:t>
                  </w:r>
                </w:p>
              </w:tc>
              <w:tc>
                <w:tcPr>
                  <w:tcW w:w="1595" w:type="dxa"/>
                  <w:tcBorders>
                    <w:top w:val="single" w:color="auto" w:sz="12" w:space="0"/>
                    <w:tl2br w:val="nil"/>
                    <w:tr2bl w:val="nil"/>
                  </w:tcBorders>
                  <w:noWrap w:val="0"/>
                  <w:vAlign w:val="center"/>
                </w:tcPr>
                <w:p w14:paraId="680942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2010年建设</w:t>
                  </w:r>
                </w:p>
              </w:tc>
            </w:tr>
            <w:tr w14:paraId="41F8B9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621233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tcBorders>
                    <w:tl2br w:val="nil"/>
                    <w:tr2bl w:val="nil"/>
                  </w:tcBorders>
                  <w:noWrap w:val="0"/>
                  <w:vAlign w:val="center"/>
                </w:tcPr>
                <w:p w14:paraId="72CCF3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PE农膜车间</w:t>
                  </w:r>
                </w:p>
              </w:tc>
              <w:tc>
                <w:tcPr>
                  <w:tcW w:w="4032" w:type="dxa"/>
                  <w:tcBorders>
                    <w:tl2br w:val="nil"/>
                    <w:tr2bl w:val="nil"/>
                  </w:tcBorders>
                  <w:noWrap w:val="0"/>
                  <w:vAlign w:val="center"/>
                </w:tcPr>
                <w:p w14:paraId="7E52816F">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建筑面积1000m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，年产PE农膜2000t</w:t>
                  </w:r>
                </w:p>
              </w:tc>
              <w:tc>
                <w:tcPr>
                  <w:tcW w:w="1595" w:type="dxa"/>
                  <w:tcBorders>
                    <w:tl2br w:val="nil"/>
                    <w:tr2bl w:val="nil"/>
                  </w:tcBorders>
                  <w:noWrap w:val="0"/>
                  <w:vAlign w:val="center"/>
                </w:tcPr>
                <w:p w14:paraId="24541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2018年建设</w:t>
                  </w:r>
                </w:p>
              </w:tc>
            </w:tr>
            <w:tr w14:paraId="35A6B8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2" w:type="dxa"/>
                  <w:vMerge w:val="continue"/>
                  <w:tcBorders>
                    <w:tl2br w:val="nil"/>
                    <w:tr2bl w:val="nil"/>
                  </w:tcBorders>
                  <w:noWrap w:val="0"/>
                  <w:vAlign w:val="center"/>
                </w:tcPr>
                <w:p w14:paraId="0A79D4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tcBorders>
                    <w:tl2br w:val="nil"/>
                    <w:tr2bl w:val="nil"/>
                  </w:tcBorders>
                  <w:noWrap w:val="0"/>
                  <w:vAlign w:val="center"/>
                </w:tcPr>
                <w:p w14:paraId="6A82EC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PE管车间</w:t>
                  </w:r>
                </w:p>
              </w:tc>
              <w:tc>
                <w:tcPr>
                  <w:tcW w:w="4032" w:type="dxa"/>
                  <w:tcBorders>
                    <w:tl2br w:val="nil"/>
                    <w:tr2bl w:val="nil"/>
                  </w:tcBorders>
                  <w:noWrap w:val="0"/>
                  <w:vAlign w:val="center"/>
                </w:tcPr>
                <w:p w14:paraId="598170E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建筑面积1000m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，年产PE管1000t</w:t>
                  </w:r>
                </w:p>
              </w:tc>
              <w:tc>
                <w:tcPr>
                  <w:tcW w:w="1595" w:type="dxa"/>
                  <w:tcBorders>
                    <w:tl2br w:val="nil"/>
                    <w:tr2bl w:val="nil"/>
                  </w:tcBorders>
                  <w:noWrap w:val="0"/>
                  <w:vAlign w:val="center"/>
                </w:tcPr>
                <w:p w14:paraId="39AE70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2018年建设</w:t>
                  </w:r>
                </w:p>
              </w:tc>
            </w:tr>
            <w:tr w14:paraId="6E10B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742" w:type="dxa"/>
                  <w:vMerge w:val="continue"/>
                  <w:tcBorders>
                    <w:tl2br w:val="nil"/>
                    <w:tr2bl w:val="nil"/>
                  </w:tcBorders>
                  <w:noWrap w:val="0"/>
                  <w:vAlign w:val="center"/>
                </w:tcPr>
                <w:p w14:paraId="5FC26D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tcBorders>
                    <w:tl2br w:val="nil"/>
                    <w:tr2bl w:val="nil"/>
                  </w:tcBorders>
                  <w:noWrap w:val="0"/>
                  <w:vAlign w:val="center"/>
                </w:tcPr>
                <w:p w14:paraId="7457F7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造粒车间</w:t>
                  </w:r>
                </w:p>
              </w:tc>
              <w:tc>
                <w:tcPr>
                  <w:tcW w:w="4032" w:type="dxa"/>
                  <w:tcBorders>
                    <w:tl2br w:val="nil"/>
                    <w:tr2bl w:val="nil"/>
                  </w:tcBorders>
                  <w:noWrap w:val="0"/>
                  <w:vAlign w:val="center"/>
                </w:tcPr>
                <w:p w14:paraId="5545ADF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造粒生产线4条，项目建成后年加工废旧塑料5000t</w:t>
                  </w:r>
                </w:p>
              </w:tc>
              <w:tc>
                <w:tcPr>
                  <w:tcW w:w="1595" w:type="dxa"/>
                  <w:tcBorders>
                    <w:tl2br w:val="nil"/>
                    <w:tr2bl w:val="nil"/>
                  </w:tcBorders>
                  <w:noWrap w:val="0"/>
                  <w:vAlign w:val="center"/>
                </w:tcPr>
                <w:p w14:paraId="6CBF9A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2023年建设</w:t>
                  </w:r>
                </w:p>
              </w:tc>
            </w:tr>
            <w:tr w14:paraId="16AB5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2" w:type="dxa"/>
                  <w:vMerge w:val="restart"/>
                  <w:tcBorders>
                    <w:tl2br w:val="nil"/>
                    <w:tr2bl w:val="nil"/>
                  </w:tcBorders>
                  <w:noWrap w:val="0"/>
                  <w:vAlign w:val="center"/>
                </w:tcPr>
                <w:p w14:paraId="00FA39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辅助工程</w:t>
                  </w:r>
                </w:p>
              </w:tc>
              <w:tc>
                <w:tcPr>
                  <w:tcW w:w="1484" w:type="dxa"/>
                  <w:gridSpan w:val="2"/>
                  <w:tcBorders>
                    <w:tl2br w:val="nil"/>
                    <w:tr2bl w:val="nil"/>
                  </w:tcBorders>
                  <w:noWrap w:val="0"/>
                  <w:vAlign w:val="center"/>
                </w:tcPr>
                <w:p w14:paraId="485771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原料库房</w:t>
                  </w:r>
                </w:p>
              </w:tc>
              <w:tc>
                <w:tcPr>
                  <w:tcW w:w="4032" w:type="dxa"/>
                  <w:tcBorders>
                    <w:tl2br w:val="nil"/>
                    <w:tr2bl w:val="nil"/>
                  </w:tcBorders>
                  <w:noWrap w:val="0"/>
                  <w:vAlign w:val="center"/>
                </w:tcPr>
                <w:p w14:paraId="38F048E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建筑面积500m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，原材料仓储</w:t>
                  </w:r>
                </w:p>
              </w:tc>
              <w:tc>
                <w:tcPr>
                  <w:tcW w:w="1595" w:type="dxa"/>
                  <w:tcBorders>
                    <w:tl2br w:val="nil"/>
                    <w:tr2bl w:val="nil"/>
                  </w:tcBorders>
                  <w:noWrap w:val="0"/>
                  <w:vAlign w:val="center"/>
                </w:tcPr>
                <w:p w14:paraId="31CA25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2010年建设</w:t>
                  </w:r>
                </w:p>
              </w:tc>
            </w:tr>
            <w:tr w14:paraId="499EB9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5DA1AD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tcBorders>
                    <w:tl2br w:val="nil"/>
                    <w:tr2bl w:val="nil"/>
                  </w:tcBorders>
                  <w:noWrap w:val="0"/>
                  <w:vAlign w:val="center"/>
                </w:tcPr>
                <w:p w14:paraId="40312E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成品库房</w:t>
                  </w:r>
                </w:p>
              </w:tc>
              <w:tc>
                <w:tcPr>
                  <w:tcW w:w="4032" w:type="dxa"/>
                  <w:tcBorders>
                    <w:tl2br w:val="nil"/>
                    <w:tr2bl w:val="nil"/>
                  </w:tcBorders>
                  <w:noWrap w:val="0"/>
                  <w:vAlign w:val="center"/>
                </w:tcPr>
                <w:p w14:paraId="7955528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建筑面积1000m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，产品临时仓储</w:t>
                  </w:r>
                </w:p>
              </w:tc>
              <w:tc>
                <w:tcPr>
                  <w:tcW w:w="1595" w:type="dxa"/>
                  <w:tcBorders>
                    <w:tl2br w:val="nil"/>
                    <w:tr2bl w:val="nil"/>
                  </w:tcBorders>
                  <w:noWrap w:val="0"/>
                  <w:vAlign w:val="center"/>
                </w:tcPr>
                <w:p w14:paraId="14D58D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2010年建设</w:t>
                  </w:r>
                </w:p>
              </w:tc>
            </w:tr>
            <w:tr w14:paraId="020B73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46E603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tcBorders>
                    <w:tl2br w:val="nil"/>
                    <w:tr2bl w:val="nil"/>
                  </w:tcBorders>
                  <w:noWrap w:val="0"/>
                  <w:vAlign w:val="center"/>
                </w:tcPr>
                <w:p w14:paraId="4E6DDA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办公室</w:t>
                  </w:r>
                </w:p>
              </w:tc>
              <w:tc>
                <w:tcPr>
                  <w:tcW w:w="4032" w:type="dxa"/>
                  <w:tcBorders>
                    <w:tl2br w:val="nil"/>
                    <w:tr2bl w:val="nil"/>
                  </w:tcBorders>
                  <w:noWrap w:val="0"/>
                  <w:vAlign w:val="center"/>
                </w:tcPr>
                <w:p w14:paraId="2DB62A7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建筑面积1000m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，人员办公</w:t>
                  </w:r>
                </w:p>
              </w:tc>
              <w:tc>
                <w:tcPr>
                  <w:tcW w:w="1595" w:type="dxa"/>
                  <w:tcBorders>
                    <w:tl2br w:val="nil"/>
                    <w:tr2bl w:val="nil"/>
                  </w:tcBorders>
                  <w:noWrap w:val="0"/>
                  <w:vAlign w:val="center"/>
                </w:tcPr>
                <w:p w14:paraId="1047CE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2010年建设</w:t>
                  </w:r>
                </w:p>
              </w:tc>
            </w:tr>
            <w:tr w14:paraId="3C1A07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78FFEE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tcBorders>
                    <w:tl2br w:val="nil"/>
                    <w:tr2bl w:val="nil"/>
                  </w:tcBorders>
                  <w:noWrap w:val="0"/>
                  <w:vAlign w:val="center"/>
                </w:tcPr>
                <w:p w14:paraId="28E115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宿舍</w:t>
                  </w:r>
                </w:p>
              </w:tc>
              <w:tc>
                <w:tcPr>
                  <w:tcW w:w="4032" w:type="dxa"/>
                  <w:tcBorders>
                    <w:tl2br w:val="nil"/>
                    <w:tr2bl w:val="nil"/>
                  </w:tcBorders>
                  <w:noWrap w:val="0"/>
                  <w:vAlign w:val="center"/>
                </w:tcPr>
                <w:p w14:paraId="689BF25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建筑面积200m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vertAlign w:val="baseline"/>
                      <w:lang w:val="en-US" w:eastAsia="zh-CN"/>
                    </w:rPr>
                    <w:t>，职工住宿</w:t>
                  </w:r>
                </w:p>
              </w:tc>
              <w:tc>
                <w:tcPr>
                  <w:tcW w:w="1595" w:type="dxa"/>
                  <w:tcBorders>
                    <w:tl2br w:val="nil"/>
                    <w:tr2bl w:val="nil"/>
                  </w:tcBorders>
                  <w:noWrap w:val="0"/>
                  <w:vAlign w:val="center"/>
                </w:tcPr>
                <w:p w14:paraId="5A1D58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2010年建设</w:t>
                  </w:r>
                </w:p>
              </w:tc>
            </w:tr>
            <w:tr w14:paraId="48DD0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tcBorders>
                    <w:tl2br w:val="nil"/>
                    <w:tr2bl w:val="nil"/>
                  </w:tcBorders>
                  <w:noWrap w:val="0"/>
                  <w:vAlign w:val="center"/>
                </w:tcPr>
                <w:p w14:paraId="5DE2B7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公用工程</w:t>
                  </w:r>
                </w:p>
              </w:tc>
              <w:tc>
                <w:tcPr>
                  <w:tcW w:w="1484" w:type="dxa"/>
                  <w:gridSpan w:val="2"/>
                  <w:tcBorders>
                    <w:tl2br w:val="nil"/>
                    <w:tr2bl w:val="nil"/>
                  </w:tcBorders>
                  <w:noWrap w:val="0"/>
                  <w:vAlign w:val="center"/>
                </w:tcPr>
                <w:p w14:paraId="23C6F92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供电工程</w:t>
                  </w:r>
                </w:p>
              </w:tc>
              <w:tc>
                <w:tcPr>
                  <w:tcW w:w="4032" w:type="dxa"/>
                  <w:tcBorders>
                    <w:tl2br w:val="nil"/>
                    <w:tr2bl w:val="nil"/>
                  </w:tcBorders>
                  <w:noWrap w:val="0"/>
                  <w:vAlign w:val="center"/>
                </w:tcPr>
                <w:p w14:paraId="5696A65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接六工镇电网</w:t>
                  </w:r>
                </w:p>
              </w:tc>
              <w:tc>
                <w:tcPr>
                  <w:tcW w:w="1595" w:type="dxa"/>
                  <w:tcBorders>
                    <w:tl2br w:val="nil"/>
                    <w:tr2bl w:val="nil"/>
                  </w:tcBorders>
                  <w:noWrap w:val="0"/>
                  <w:vAlign w:val="center"/>
                </w:tcPr>
                <w:p w14:paraId="5B0983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2010年建设</w:t>
                  </w:r>
                </w:p>
              </w:tc>
            </w:tr>
            <w:tr w14:paraId="222C9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27C277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tcBorders>
                    <w:tl2br w:val="nil"/>
                    <w:tr2bl w:val="nil"/>
                  </w:tcBorders>
                  <w:noWrap w:val="0"/>
                  <w:vAlign w:val="center"/>
                </w:tcPr>
                <w:p w14:paraId="0AE4CC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供热工程</w:t>
                  </w:r>
                </w:p>
              </w:tc>
              <w:tc>
                <w:tcPr>
                  <w:tcW w:w="4032" w:type="dxa"/>
                  <w:tcBorders>
                    <w:tl2br w:val="nil"/>
                    <w:tr2bl w:val="nil"/>
                  </w:tcBorders>
                  <w:noWrap w:val="0"/>
                  <w:vAlign w:val="center"/>
                </w:tcPr>
                <w:p w14:paraId="6FB918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车间不需供暖，生活供暖采用电采暖</w:t>
                  </w:r>
                </w:p>
              </w:tc>
              <w:tc>
                <w:tcPr>
                  <w:tcW w:w="1595" w:type="dxa"/>
                  <w:tcBorders>
                    <w:tl2br w:val="nil"/>
                    <w:tr2bl w:val="nil"/>
                  </w:tcBorders>
                  <w:noWrap w:val="0"/>
                  <w:vAlign w:val="center"/>
                </w:tcPr>
                <w:p w14:paraId="47BF25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2010年建设</w:t>
                  </w:r>
                </w:p>
              </w:tc>
            </w:tr>
            <w:tr w14:paraId="7FF103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497681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tcBorders>
                    <w:tl2br w:val="nil"/>
                    <w:tr2bl w:val="nil"/>
                  </w:tcBorders>
                  <w:noWrap w:val="0"/>
                  <w:vAlign w:val="center"/>
                </w:tcPr>
                <w:p w14:paraId="1EF3DB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供水工程</w:t>
                  </w:r>
                </w:p>
              </w:tc>
              <w:tc>
                <w:tcPr>
                  <w:tcW w:w="4032" w:type="dxa"/>
                  <w:tcBorders>
                    <w:tl2br w:val="nil"/>
                    <w:tr2bl w:val="nil"/>
                  </w:tcBorders>
                  <w:noWrap w:val="0"/>
                  <w:vAlign w:val="center"/>
                </w:tcPr>
                <w:p w14:paraId="25E5F9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接六工镇自来水</w:t>
                  </w:r>
                </w:p>
              </w:tc>
              <w:tc>
                <w:tcPr>
                  <w:tcW w:w="1595" w:type="dxa"/>
                  <w:tcBorders>
                    <w:tl2br w:val="nil"/>
                    <w:tr2bl w:val="nil"/>
                  </w:tcBorders>
                  <w:noWrap w:val="0"/>
                  <w:vAlign w:val="center"/>
                </w:tcPr>
                <w:p w14:paraId="38BCC0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2010年建设</w:t>
                  </w:r>
                </w:p>
              </w:tc>
            </w:tr>
            <w:tr w14:paraId="0719FC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251E54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tcBorders>
                    <w:tl2br w:val="nil"/>
                    <w:tr2bl w:val="nil"/>
                  </w:tcBorders>
                  <w:noWrap w:val="0"/>
                  <w:vAlign w:val="center"/>
                </w:tcPr>
                <w:p w14:paraId="5E9BCB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排水工程</w:t>
                  </w:r>
                </w:p>
              </w:tc>
              <w:tc>
                <w:tcPr>
                  <w:tcW w:w="4032" w:type="dxa"/>
                  <w:tcBorders>
                    <w:tl2br w:val="nil"/>
                    <w:tr2bl w:val="nil"/>
                  </w:tcBorders>
                  <w:noWrap w:val="0"/>
                  <w:vAlign w:val="center"/>
                </w:tcPr>
                <w:p w14:paraId="5A4F90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生产用水为冷却水不排放，生活污水</w:t>
                  </w:r>
                </w:p>
              </w:tc>
              <w:tc>
                <w:tcPr>
                  <w:tcW w:w="1595" w:type="dxa"/>
                  <w:tcBorders>
                    <w:tl2br w:val="nil"/>
                    <w:tr2bl w:val="nil"/>
                  </w:tcBorders>
                  <w:noWrap w:val="0"/>
                  <w:vAlign w:val="center"/>
                </w:tcPr>
                <w:p w14:paraId="5427B5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2010年建设</w:t>
                  </w:r>
                </w:p>
              </w:tc>
            </w:tr>
            <w:tr w14:paraId="32E4D0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restart"/>
                  <w:tcBorders>
                    <w:tl2br w:val="nil"/>
                    <w:tr2bl w:val="nil"/>
                  </w:tcBorders>
                  <w:noWrap w:val="0"/>
                  <w:vAlign w:val="center"/>
                </w:tcPr>
                <w:p w14:paraId="6419E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环保工程</w:t>
                  </w:r>
                </w:p>
              </w:tc>
              <w:tc>
                <w:tcPr>
                  <w:tcW w:w="544" w:type="dxa"/>
                  <w:vMerge w:val="restart"/>
                  <w:tcBorders>
                    <w:tl2br w:val="nil"/>
                    <w:tr2bl w:val="nil"/>
                  </w:tcBorders>
                  <w:noWrap w:val="0"/>
                  <w:vAlign w:val="center"/>
                </w:tcPr>
                <w:p w14:paraId="3E366D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废气</w:t>
                  </w:r>
                </w:p>
              </w:tc>
              <w:tc>
                <w:tcPr>
                  <w:tcW w:w="940" w:type="dxa"/>
                  <w:tcBorders>
                    <w:tl2br w:val="nil"/>
                    <w:tr2bl w:val="nil"/>
                  </w:tcBorders>
                  <w:noWrap w:val="0"/>
                  <w:vAlign w:val="center"/>
                </w:tcPr>
                <w:p w14:paraId="4F33FA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PVC管废气</w:t>
                  </w:r>
                </w:p>
              </w:tc>
              <w:tc>
                <w:tcPr>
                  <w:tcW w:w="4032" w:type="dxa"/>
                  <w:tcBorders>
                    <w:tl2br w:val="nil"/>
                    <w:tr2bl w:val="nil"/>
                  </w:tcBorders>
                  <w:noWrap w:val="0"/>
                  <w:vAlign w:val="center"/>
                </w:tcPr>
                <w:p w14:paraId="613546D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现有PVC管生产车间，PVC原料（粉料）投料采用封闭措施收集，粉尘以无组织形式扩散。熔融挤出废气采用集气罩+光氧催化处理后经15m高排气筒排放，排气筒编号为G</w:t>
                  </w:r>
                  <w:r>
                    <w:rPr>
                      <w:rFonts w:hint="default" w:ascii="Times New Roman" w:hAnsi="Times New Roman" w:eastAsia="宋体" w:cs="Times New Roman"/>
                      <w:bCs/>
                      <w:color w:val="auto"/>
                      <w:sz w:val="21"/>
                      <w:szCs w:val="21"/>
                      <w:highlight w:val="none"/>
                      <w:vertAlign w:val="subscript"/>
                      <w:lang w:val="en-US" w:eastAsia="zh-CN"/>
                    </w:rPr>
                    <w:t>1现有</w:t>
                  </w:r>
                  <w:r>
                    <w:rPr>
                      <w:rFonts w:hint="default" w:ascii="Times New Roman" w:hAnsi="Times New Roman" w:eastAsia="宋体" w:cs="Times New Roman"/>
                      <w:bCs/>
                      <w:color w:val="auto"/>
                      <w:sz w:val="21"/>
                      <w:szCs w:val="21"/>
                      <w:highlight w:val="none"/>
                      <w:vertAlign w:val="baseline"/>
                      <w:lang w:val="en-US" w:eastAsia="zh-CN"/>
                    </w:rPr>
                    <w:t>。</w:t>
                  </w:r>
                </w:p>
              </w:tc>
              <w:tc>
                <w:tcPr>
                  <w:tcW w:w="1595" w:type="dxa"/>
                  <w:tcBorders>
                    <w:tl2br w:val="nil"/>
                    <w:tr2bl w:val="nil"/>
                  </w:tcBorders>
                  <w:noWrap w:val="0"/>
                  <w:vAlign w:val="center"/>
                </w:tcPr>
                <w:p w14:paraId="1C278A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2018年建设</w:t>
                  </w:r>
                </w:p>
              </w:tc>
            </w:tr>
            <w:tr w14:paraId="73AE5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2C49B4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544" w:type="dxa"/>
                  <w:vMerge w:val="continue"/>
                  <w:tcBorders>
                    <w:tl2br w:val="nil"/>
                    <w:tr2bl w:val="nil"/>
                  </w:tcBorders>
                  <w:noWrap w:val="0"/>
                  <w:vAlign w:val="center"/>
                </w:tcPr>
                <w:p w14:paraId="7E3E6B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940" w:type="dxa"/>
                  <w:tcBorders>
                    <w:tl2br w:val="nil"/>
                    <w:tr2bl w:val="nil"/>
                  </w:tcBorders>
                  <w:noWrap w:val="0"/>
                  <w:vAlign w:val="center"/>
                </w:tcPr>
                <w:p w14:paraId="6EF521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PE农膜废气</w:t>
                  </w:r>
                </w:p>
              </w:tc>
              <w:tc>
                <w:tcPr>
                  <w:tcW w:w="4032" w:type="dxa"/>
                  <w:tcBorders>
                    <w:tl2br w:val="nil"/>
                    <w:tr2bl w:val="nil"/>
                  </w:tcBorders>
                  <w:noWrap w:val="0"/>
                  <w:vAlign w:val="center"/>
                </w:tcPr>
                <w:p w14:paraId="039B603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现有PE农膜车间仅设置8条农膜生产线，另外5条农膜生产线设置在PE管生产车间内，现有项目分别在这</w:t>
                  </w:r>
                  <w:r>
                    <w:rPr>
                      <w:rFonts w:hint="default" w:ascii="Times New Roman" w:hAnsi="Times New Roman" w:cs="Times New Roman"/>
                      <w:bCs/>
                      <w:color w:val="auto"/>
                      <w:sz w:val="21"/>
                      <w:szCs w:val="21"/>
                      <w:highlight w:val="none"/>
                      <w:vertAlign w:val="baseline"/>
                      <w:lang w:val="en-US" w:eastAsia="zh-CN"/>
                    </w:rPr>
                    <w:t>两个</w:t>
                  </w:r>
                  <w:r>
                    <w:rPr>
                      <w:rFonts w:hint="default" w:ascii="Times New Roman" w:hAnsi="Times New Roman" w:eastAsia="宋体" w:cs="Times New Roman"/>
                      <w:bCs/>
                      <w:color w:val="auto"/>
                      <w:sz w:val="21"/>
                      <w:szCs w:val="21"/>
                      <w:highlight w:val="none"/>
                      <w:vertAlign w:val="baseline"/>
                      <w:lang w:val="en-US" w:eastAsia="zh-CN"/>
                    </w:rPr>
                    <w:t>车间各设置一套废气处理装置（集气罩+光氧催化），经15m高排气筒排放，排气筒编号分别为G</w:t>
                  </w:r>
                  <w:r>
                    <w:rPr>
                      <w:rFonts w:hint="default" w:ascii="Times New Roman" w:hAnsi="Times New Roman" w:eastAsia="宋体" w:cs="Times New Roman"/>
                      <w:bCs/>
                      <w:color w:val="auto"/>
                      <w:sz w:val="21"/>
                      <w:szCs w:val="21"/>
                      <w:highlight w:val="none"/>
                      <w:vertAlign w:val="subscript"/>
                      <w:lang w:val="en-US" w:eastAsia="zh-CN"/>
                    </w:rPr>
                    <w:t>2现有</w:t>
                  </w:r>
                  <w:r>
                    <w:rPr>
                      <w:rFonts w:hint="default" w:ascii="Times New Roman" w:hAnsi="Times New Roman" w:eastAsia="宋体" w:cs="Times New Roman"/>
                      <w:bCs/>
                      <w:color w:val="auto"/>
                      <w:sz w:val="21"/>
                      <w:szCs w:val="21"/>
                      <w:highlight w:val="none"/>
                      <w:vertAlign w:val="baseline"/>
                      <w:lang w:val="en-US" w:eastAsia="zh-CN"/>
                    </w:rPr>
                    <w:t>、G</w:t>
                  </w:r>
                  <w:r>
                    <w:rPr>
                      <w:rFonts w:hint="default" w:ascii="Times New Roman" w:hAnsi="Times New Roman" w:eastAsia="宋体" w:cs="Times New Roman"/>
                      <w:bCs/>
                      <w:color w:val="auto"/>
                      <w:sz w:val="21"/>
                      <w:szCs w:val="21"/>
                      <w:highlight w:val="none"/>
                      <w:vertAlign w:val="subscript"/>
                      <w:lang w:val="en-US" w:eastAsia="zh-CN"/>
                    </w:rPr>
                    <w:t>3现有</w:t>
                  </w:r>
                  <w:r>
                    <w:rPr>
                      <w:rFonts w:hint="default" w:ascii="Times New Roman" w:hAnsi="Times New Roman" w:eastAsia="宋体" w:cs="Times New Roman"/>
                      <w:bCs/>
                      <w:color w:val="auto"/>
                      <w:sz w:val="21"/>
                      <w:szCs w:val="21"/>
                      <w:highlight w:val="none"/>
                      <w:vertAlign w:val="baseline"/>
                      <w:lang w:val="en-US" w:eastAsia="zh-CN"/>
                    </w:rPr>
                    <w:t>。</w:t>
                  </w:r>
                </w:p>
              </w:tc>
              <w:tc>
                <w:tcPr>
                  <w:tcW w:w="1595" w:type="dxa"/>
                  <w:tcBorders>
                    <w:tl2br w:val="nil"/>
                    <w:tr2bl w:val="nil"/>
                  </w:tcBorders>
                  <w:noWrap w:val="0"/>
                  <w:vAlign w:val="center"/>
                </w:tcPr>
                <w:p w14:paraId="5898C1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2018年建设</w:t>
                  </w:r>
                </w:p>
              </w:tc>
            </w:tr>
            <w:tr w14:paraId="259DAC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5BAFB9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544" w:type="dxa"/>
                  <w:vMerge w:val="continue"/>
                  <w:tcBorders>
                    <w:tl2br w:val="nil"/>
                    <w:tr2bl w:val="nil"/>
                  </w:tcBorders>
                  <w:noWrap w:val="0"/>
                  <w:vAlign w:val="center"/>
                </w:tcPr>
                <w:p w14:paraId="5DB71F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940" w:type="dxa"/>
                  <w:tcBorders>
                    <w:tl2br w:val="nil"/>
                    <w:tr2bl w:val="nil"/>
                  </w:tcBorders>
                  <w:noWrap w:val="0"/>
                  <w:vAlign w:val="center"/>
                </w:tcPr>
                <w:p w14:paraId="2F6FAC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PE管废气</w:t>
                  </w:r>
                </w:p>
              </w:tc>
              <w:tc>
                <w:tcPr>
                  <w:tcW w:w="4032" w:type="dxa"/>
                  <w:tcBorders>
                    <w:tl2br w:val="nil"/>
                    <w:tr2bl w:val="nil"/>
                  </w:tcBorders>
                  <w:noWrap w:val="0"/>
                  <w:vAlign w:val="center"/>
                </w:tcPr>
                <w:p w14:paraId="116ED5AC">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现有PE管熔融挤出废气采用集气罩+光氧催化处理后经15m高排气筒排放。排气筒编号为G</w:t>
                  </w:r>
                  <w:r>
                    <w:rPr>
                      <w:rFonts w:hint="default" w:ascii="Times New Roman" w:hAnsi="Times New Roman" w:eastAsia="宋体" w:cs="Times New Roman"/>
                      <w:bCs/>
                      <w:color w:val="auto"/>
                      <w:sz w:val="21"/>
                      <w:szCs w:val="21"/>
                      <w:highlight w:val="none"/>
                      <w:vertAlign w:val="subscript"/>
                      <w:lang w:val="en-US" w:eastAsia="zh-CN"/>
                    </w:rPr>
                    <w:t>4现有</w:t>
                  </w:r>
                  <w:r>
                    <w:rPr>
                      <w:rFonts w:hint="default" w:ascii="Times New Roman" w:hAnsi="Times New Roman" w:eastAsia="宋体" w:cs="Times New Roman"/>
                      <w:bCs/>
                      <w:color w:val="auto"/>
                      <w:sz w:val="21"/>
                      <w:szCs w:val="21"/>
                      <w:highlight w:val="none"/>
                      <w:vertAlign w:val="baseline"/>
                      <w:lang w:val="en-US" w:eastAsia="zh-CN"/>
                    </w:rPr>
                    <w:t>。</w:t>
                  </w:r>
                </w:p>
              </w:tc>
              <w:tc>
                <w:tcPr>
                  <w:tcW w:w="1595" w:type="dxa"/>
                  <w:tcBorders>
                    <w:tl2br w:val="nil"/>
                    <w:tr2bl w:val="nil"/>
                  </w:tcBorders>
                  <w:noWrap w:val="0"/>
                  <w:vAlign w:val="center"/>
                </w:tcPr>
                <w:p w14:paraId="0AC3D7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2018年建设</w:t>
                  </w:r>
                </w:p>
              </w:tc>
            </w:tr>
            <w:tr w14:paraId="5651B3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6944A1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tcBorders>
                    <w:tl2br w:val="nil"/>
                    <w:tr2bl w:val="nil"/>
                  </w:tcBorders>
                  <w:noWrap w:val="0"/>
                  <w:vAlign w:val="center"/>
                </w:tcPr>
                <w:p w14:paraId="41CAEA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生活污水</w:t>
                  </w:r>
                </w:p>
              </w:tc>
              <w:tc>
                <w:tcPr>
                  <w:tcW w:w="4032" w:type="dxa"/>
                  <w:tcBorders>
                    <w:tl2br w:val="nil"/>
                    <w:tr2bl w:val="nil"/>
                  </w:tcBorders>
                  <w:noWrap w:val="0"/>
                  <w:vAlign w:val="center"/>
                </w:tcPr>
                <w:p w14:paraId="576F582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生活污水通过场内污水管网进入镇区污水管网。</w:t>
                  </w:r>
                </w:p>
              </w:tc>
              <w:tc>
                <w:tcPr>
                  <w:tcW w:w="1595" w:type="dxa"/>
                  <w:tcBorders>
                    <w:tl2br w:val="nil"/>
                    <w:tr2bl w:val="nil"/>
                  </w:tcBorders>
                  <w:noWrap w:val="0"/>
                  <w:vAlign w:val="center"/>
                </w:tcPr>
                <w:p w14:paraId="42B36E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2018年建设</w:t>
                  </w:r>
                </w:p>
              </w:tc>
            </w:tr>
            <w:tr w14:paraId="67A9D4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694C0D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vMerge w:val="restart"/>
                  <w:tcBorders>
                    <w:tl2br w:val="nil"/>
                    <w:tr2bl w:val="nil"/>
                  </w:tcBorders>
                  <w:noWrap w:val="0"/>
                  <w:vAlign w:val="center"/>
                </w:tcPr>
                <w:p w14:paraId="4AAD4D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固废</w:t>
                  </w:r>
                </w:p>
              </w:tc>
              <w:tc>
                <w:tcPr>
                  <w:tcW w:w="4032" w:type="dxa"/>
                  <w:tcBorders>
                    <w:tl2br w:val="nil"/>
                    <w:tr2bl w:val="nil"/>
                  </w:tcBorders>
                  <w:noWrap w:val="0"/>
                  <w:vAlign w:val="center"/>
                </w:tcPr>
                <w:p w14:paraId="5383AC4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次品、废料销售给废品收购单位</w:t>
                  </w:r>
                </w:p>
              </w:tc>
              <w:tc>
                <w:tcPr>
                  <w:tcW w:w="1595" w:type="dxa"/>
                  <w:tcBorders>
                    <w:tl2br w:val="nil"/>
                    <w:tr2bl w:val="nil"/>
                  </w:tcBorders>
                  <w:noWrap w:val="0"/>
                  <w:vAlign w:val="center"/>
                </w:tcPr>
                <w:p w14:paraId="20A463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14:paraId="2D597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3C24E1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vMerge w:val="continue"/>
                  <w:tcBorders>
                    <w:tl2br w:val="nil"/>
                    <w:tr2bl w:val="nil"/>
                  </w:tcBorders>
                  <w:noWrap w:val="0"/>
                  <w:vAlign w:val="center"/>
                </w:tcPr>
                <w:p w14:paraId="4834F3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4032" w:type="dxa"/>
                  <w:tcBorders>
                    <w:tl2br w:val="nil"/>
                    <w:tr2bl w:val="nil"/>
                  </w:tcBorders>
                  <w:noWrap w:val="0"/>
                  <w:vAlign w:val="center"/>
                </w:tcPr>
                <w:p w14:paraId="2DF6878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生活垃圾交环卫部门处理</w:t>
                  </w:r>
                </w:p>
              </w:tc>
              <w:tc>
                <w:tcPr>
                  <w:tcW w:w="1595" w:type="dxa"/>
                  <w:tcBorders>
                    <w:tl2br w:val="nil"/>
                    <w:tr2bl w:val="nil"/>
                  </w:tcBorders>
                  <w:noWrap w:val="0"/>
                  <w:vAlign w:val="center"/>
                </w:tcPr>
                <w:p w14:paraId="77FCBE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w:t>
                  </w:r>
                </w:p>
              </w:tc>
            </w:tr>
            <w:tr w14:paraId="7E943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2" w:type="dxa"/>
                  <w:vMerge w:val="continue"/>
                  <w:tcBorders>
                    <w:tl2br w:val="nil"/>
                    <w:tr2bl w:val="nil"/>
                  </w:tcBorders>
                  <w:noWrap w:val="0"/>
                  <w:vAlign w:val="center"/>
                </w:tcPr>
                <w:p w14:paraId="0A7D3F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1484" w:type="dxa"/>
                  <w:gridSpan w:val="2"/>
                  <w:vMerge w:val="continue"/>
                  <w:tcBorders>
                    <w:tl2br w:val="nil"/>
                    <w:tr2bl w:val="nil"/>
                  </w:tcBorders>
                  <w:noWrap w:val="0"/>
                  <w:vAlign w:val="center"/>
                </w:tcPr>
                <w:p w14:paraId="72415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c>
                <w:tcPr>
                  <w:tcW w:w="4032" w:type="dxa"/>
                  <w:tcBorders>
                    <w:tl2br w:val="nil"/>
                    <w:tr2bl w:val="nil"/>
                  </w:tcBorders>
                  <w:noWrap w:val="0"/>
                  <w:vAlign w:val="center"/>
                </w:tcPr>
                <w:p w14:paraId="5AA5913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建设5m</w:t>
                  </w:r>
                  <w:r>
                    <w:rPr>
                      <w:rFonts w:hint="default" w:ascii="Times New Roman" w:hAnsi="Times New Roman" w:eastAsia="宋体" w:cs="Times New Roman"/>
                      <w:bCs/>
                      <w:color w:val="auto"/>
                      <w:sz w:val="21"/>
                      <w:szCs w:val="21"/>
                      <w:highlight w:val="none"/>
                      <w:vertAlign w:val="superscript"/>
                      <w:lang w:val="en-US" w:eastAsia="zh-CN"/>
                    </w:rPr>
                    <w:t>3</w:t>
                  </w:r>
                  <w:r>
                    <w:rPr>
                      <w:rFonts w:hint="default" w:ascii="Times New Roman" w:hAnsi="Times New Roman" w:eastAsia="宋体" w:cs="Times New Roman"/>
                      <w:bCs/>
                      <w:color w:val="auto"/>
                      <w:sz w:val="21"/>
                      <w:szCs w:val="21"/>
                      <w:highlight w:val="none"/>
                      <w:vertAlign w:val="baseline"/>
                      <w:lang w:val="en-US" w:eastAsia="zh-CN"/>
                    </w:rPr>
                    <w:t>危险废物暂存间，用于暂存废气活性炭，定期委托资质单位处理</w:t>
                  </w:r>
                </w:p>
              </w:tc>
              <w:tc>
                <w:tcPr>
                  <w:tcW w:w="1595" w:type="dxa"/>
                  <w:tcBorders>
                    <w:tl2br w:val="nil"/>
                    <w:tr2bl w:val="nil"/>
                  </w:tcBorders>
                  <w:noWrap w:val="0"/>
                  <w:vAlign w:val="center"/>
                </w:tcPr>
                <w:p w14:paraId="1AFBCF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2018年建设</w:t>
                  </w:r>
                </w:p>
              </w:tc>
            </w:tr>
          </w:tbl>
          <w:p w14:paraId="628E3925">
            <w:pPr>
              <w:pStyle w:val="68"/>
              <w:widowControl/>
              <w:adjustRightInd/>
              <w:snapToGrid/>
              <w:spacing w:after="0"/>
              <w:rPr>
                <w:rFonts w:hint="default" w:ascii="Times New Roman" w:hAnsi="Times New Roman" w:eastAsia="宋体" w:cs="Times New Roman"/>
                <w:color w:val="auto"/>
                <w:sz w:val="21"/>
                <w:highlight w:val="none"/>
              </w:rPr>
            </w:pPr>
          </w:p>
          <w:p w14:paraId="31B03C0D">
            <w:pPr>
              <w:pStyle w:val="68"/>
              <w:widowControl/>
              <w:adjustRightInd/>
              <w:snapToGrid/>
              <w:spacing w:after="0"/>
              <w:rPr>
                <w:rFonts w:hint="default" w:ascii="Times New Roman" w:hAnsi="Times New Roman" w:eastAsia="宋体" w:cs="Times New Roman"/>
                <w:color w:val="auto"/>
                <w:sz w:val="21"/>
                <w:highlight w:val="none"/>
                <w:lang w:val="en-US" w:eastAsia="zh-CN"/>
              </w:rPr>
            </w:pPr>
            <w:r>
              <w:rPr>
                <w:rFonts w:hint="default" w:ascii="Times New Roman" w:hAnsi="Times New Roman" w:eastAsia="宋体" w:cs="Times New Roman"/>
                <w:color w:val="auto"/>
                <w:sz w:val="21"/>
                <w:highlight w:val="none"/>
              </w:rPr>
              <w:t>表</w:t>
            </w:r>
            <w:r>
              <w:rPr>
                <w:rFonts w:hint="default" w:ascii="Times New Roman" w:hAnsi="Times New Roman" w:eastAsia="宋体" w:cs="Times New Roman"/>
                <w:color w:val="auto"/>
                <w:sz w:val="21"/>
                <w:highlight w:val="none"/>
                <w:lang w:val="en-US" w:eastAsia="zh-CN"/>
              </w:rPr>
              <w:t>2-6</w:t>
            </w:r>
            <w:r>
              <w:rPr>
                <w:rFonts w:hint="default" w:ascii="Times New Roman" w:hAnsi="Times New Roman" w:eastAsia="宋体" w:cs="Times New Roman"/>
                <w:color w:val="auto"/>
                <w:sz w:val="21"/>
                <w:highlight w:val="none"/>
              </w:rPr>
              <w:t xml:space="preserve">    </w:t>
            </w:r>
            <w:r>
              <w:rPr>
                <w:rFonts w:hint="default" w:ascii="Times New Roman" w:hAnsi="Times New Roman" w:cs="Times New Roman"/>
                <w:color w:val="auto"/>
                <w:sz w:val="21"/>
                <w:highlight w:val="none"/>
                <w:lang w:val="en-US" w:eastAsia="zh-CN"/>
              </w:rPr>
              <w:t>现有</w:t>
            </w:r>
            <w:r>
              <w:rPr>
                <w:rFonts w:hint="default" w:ascii="Times New Roman" w:hAnsi="Times New Roman" w:eastAsia="宋体" w:cs="Times New Roman"/>
                <w:color w:val="auto"/>
                <w:sz w:val="21"/>
                <w:highlight w:val="none"/>
                <w:lang w:val="en-US" w:eastAsia="zh-CN"/>
              </w:rPr>
              <w:t>工程</w:t>
            </w:r>
            <w:r>
              <w:rPr>
                <w:rFonts w:hint="default" w:ascii="Times New Roman" w:hAnsi="Times New Roman" w:cs="Times New Roman"/>
                <w:color w:val="auto"/>
                <w:sz w:val="21"/>
                <w:highlight w:val="none"/>
                <w:lang w:val="en-US" w:eastAsia="zh-CN"/>
              </w:rPr>
              <w:t>产能</w:t>
            </w:r>
            <w:r>
              <w:rPr>
                <w:rFonts w:hint="default" w:ascii="Times New Roman" w:hAnsi="Times New Roman" w:eastAsia="宋体" w:cs="Times New Roman"/>
                <w:color w:val="auto"/>
                <w:sz w:val="21"/>
                <w:highlight w:val="none"/>
                <w:lang w:val="en-US" w:eastAsia="zh-CN"/>
              </w:rPr>
              <w:t>情况</w:t>
            </w:r>
          </w:p>
          <w:tbl>
            <w:tblPr>
              <w:tblStyle w:val="25"/>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2507"/>
              <w:gridCol w:w="2279"/>
              <w:gridCol w:w="1679"/>
            </w:tblGrid>
            <w:tr w14:paraId="6DDCF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tcBorders>
                    <w:bottom w:val="single" w:color="auto" w:sz="12" w:space="0"/>
                  </w:tcBorders>
                  <w:vAlign w:val="center"/>
                </w:tcPr>
                <w:p w14:paraId="09CEEB9D">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项目名称</w:t>
                  </w:r>
                </w:p>
              </w:tc>
              <w:tc>
                <w:tcPr>
                  <w:tcW w:w="1612" w:type="pct"/>
                  <w:tcBorders>
                    <w:bottom w:val="single" w:color="auto" w:sz="12" w:space="0"/>
                  </w:tcBorders>
                  <w:vAlign w:val="center"/>
                </w:tcPr>
                <w:p w14:paraId="7137AEE0">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环评阶段建设概况</w:t>
                  </w:r>
                </w:p>
              </w:tc>
              <w:tc>
                <w:tcPr>
                  <w:tcW w:w="1465" w:type="pct"/>
                  <w:tcBorders>
                    <w:bottom w:val="single" w:color="auto" w:sz="12" w:space="0"/>
                  </w:tcBorders>
                  <w:vAlign w:val="center"/>
                </w:tcPr>
                <w:p w14:paraId="5D408693">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验收阶段建设情况</w:t>
                  </w:r>
                </w:p>
              </w:tc>
              <w:tc>
                <w:tcPr>
                  <w:tcW w:w="1080" w:type="pct"/>
                  <w:tcBorders>
                    <w:bottom w:val="single" w:color="auto" w:sz="12" w:space="0"/>
                  </w:tcBorders>
                  <w:vAlign w:val="center"/>
                </w:tcPr>
                <w:p w14:paraId="52BC5B65">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cs="Times New Roman"/>
                      <w:b/>
                      <w:bCs/>
                      <w:i w:val="0"/>
                      <w:iCs w:val="0"/>
                      <w:color w:val="auto"/>
                      <w:kern w:val="0"/>
                      <w:sz w:val="21"/>
                      <w:szCs w:val="21"/>
                      <w:highlight w:val="none"/>
                      <w:u w:val="none"/>
                      <w:lang w:val="en-US" w:eastAsia="zh-CN" w:bidi="ar"/>
                    </w:rPr>
                    <w:t>备注</w:t>
                  </w:r>
                </w:p>
              </w:tc>
            </w:tr>
            <w:tr w14:paraId="763811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vMerge w:val="restart"/>
                  <w:tcBorders>
                    <w:top w:val="single" w:color="auto" w:sz="12" w:space="0"/>
                    <w:tl2br w:val="nil"/>
                    <w:tr2bl w:val="nil"/>
                  </w:tcBorders>
                  <w:vAlign w:val="center"/>
                </w:tcPr>
                <w:p w14:paraId="3691BDD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现有项目产能</w:t>
                  </w:r>
                </w:p>
              </w:tc>
              <w:tc>
                <w:tcPr>
                  <w:tcW w:w="1612" w:type="pct"/>
                  <w:tcBorders>
                    <w:top w:val="single" w:color="auto" w:sz="12" w:space="0"/>
                    <w:tl2br w:val="nil"/>
                    <w:tr2bl w:val="nil"/>
                  </w:tcBorders>
                  <w:vAlign w:val="center"/>
                </w:tcPr>
                <w:p w14:paraId="286DBBD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6条PVC管生产线，年产PVC管1100t/a</w:t>
                  </w:r>
                </w:p>
              </w:tc>
              <w:tc>
                <w:tcPr>
                  <w:tcW w:w="1465" w:type="pct"/>
                  <w:tcBorders>
                    <w:top w:val="single" w:color="auto" w:sz="12" w:space="0"/>
                    <w:tl2br w:val="nil"/>
                    <w:tr2bl w:val="nil"/>
                  </w:tcBorders>
                  <w:vAlign w:val="center"/>
                </w:tcPr>
                <w:p w14:paraId="5D85E70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6条PVC管生产线，年产PVC管1100t/a</w:t>
                  </w:r>
                </w:p>
              </w:tc>
              <w:tc>
                <w:tcPr>
                  <w:tcW w:w="1080" w:type="pct"/>
                  <w:tcBorders>
                    <w:top w:val="single" w:color="auto" w:sz="12" w:space="0"/>
                    <w:tl2br w:val="nil"/>
                    <w:tr2bl w:val="nil"/>
                  </w:tcBorders>
                  <w:vAlign w:val="center"/>
                </w:tcPr>
                <w:p w14:paraId="2C2E4FCE">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已停产，不再生产</w:t>
                  </w:r>
                </w:p>
              </w:tc>
            </w:tr>
            <w:tr w14:paraId="76BCDC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vMerge w:val="continue"/>
                  <w:tcBorders>
                    <w:tl2br w:val="nil"/>
                    <w:tr2bl w:val="nil"/>
                  </w:tcBorders>
                  <w:vAlign w:val="center"/>
                </w:tcPr>
                <w:p w14:paraId="5062C31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612" w:type="pct"/>
                  <w:tcBorders>
                    <w:tl2br w:val="nil"/>
                    <w:tr2bl w:val="nil"/>
                  </w:tcBorders>
                  <w:vAlign w:val="center"/>
                </w:tcPr>
                <w:p w14:paraId="6B1F8D05">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13条PE农膜生产线，年产PE农膜2000t</w:t>
                  </w:r>
                </w:p>
              </w:tc>
              <w:tc>
                <w:tcPr>
                  <w:tcW w:w="1465" w:type="pct"/>
                  <w:tcBorders>
                    <w:tl2br w:val="nil"/>
                    <w:tr2bl w:val="nil"/>
                  </w:tcBorders>
                  <w:vAlign w:val="center"/>
                </w:tcPr>
                <w:p w14:paraId="1DE559E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13条PE农膜生产线，年产PE农膜2000t</w:t>
                  </w:r>
                </w:p>
              </w:tc>
              <w:tc>
                <w:tcPr>
                  <w:tcW w:w="1080" w:type="pct"/>
                  <w:tcBorders>
                    <w:tl2br w:val="nil"/>
                    <w:tr2bl w:val="nil"/>
                  </w:tcBorders>
                  <w:vAlign w:val="center"/>
                </w:tcPr>
                <w:p w14:paraId="410C9975">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现有工程</w:t>
                  </w:r>
                </w:p>
              </w:tc>
            </w:tr>
            <w:tr w14:paraId="427C8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41" w:type="pct"/>
                  <w:vMerge w:val="continue"/>
                  <w:tcBorders>
                    <w:tl2br w:val="nil"/>
                    <w:tr2bl w:val="nil"/>
                  </w:tcBorders>
                  <w:vAlign w:val="center"/>
                </w:tcPr>
                <w:p w14:paraId="22BADE7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612" w:type="pct"/>
                  <w:tcBorders>
                    <w:tl2br w:val="nil"/>
                    <w:tr2bl w:val="nil"/>
                  </w:tcBorders>
                  <w:vAlign w:val="center"/>
                </w:tcPr>
                <w:p w14:paraId="336B255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6条PE管生产线，年产PE管1000t</w:t>
                  </w:r>
                </w:p>
              </w:tc>
              <w:tc>
                <w:tcPr>
                  <w:tcW w:w="1465" w:type="pct"/>
                  <w:tcBorders>
                    <w:tl2br w:val="nil"/>
                    <w:tr2bl w:val="nil"/>
                  </w:tcBorders>
                  <w:vAlign w:val="center"/>
                </w:tcPr>
                <w:p w14:paraId="239DA1F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6条PE管生产线，年产PE管1000t</w:t>
                  </w:r>
                </w:p>
              </w:tc>
              <w:tc>
                <w:tcPr>
                  <w:tcW w:w="1080" w:type="pct"/>
                  <w:tcBorders>
                    <w:tl2br w:val="nil"/>
                    <w:tr2bl w:val="nil"/>
                  </w:tcBorders>
                  <w:vAlign w:val="center"/>
                </w:tcPr>
                <w:p w14:paraId="53C86234">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现有工程</w:t>
                  </w:r>
                </w:p>
              </w:tc>
            </w:tr>
            <w:tr w14:paraId="6D28A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41" w:type="pct"/>
                  <w:tcBorders>
                    <w:tl2br w:val="nil"/>
                    <w:tr2bl w:val="nil"/>
                  </w:tcBorders>
                  <w:vAlign w:val="center"/>
                </w:tcPr>
                <w:p w14:paraId="30AB855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废塑料再生造粒项目</w:t>
                  </w:r>
                </w:p>
              </w:tc>
              <w:tc>
                <w:tcPr>
                  <w:tcW w:w="1612" w:type="pct"/>
                  <w:tcBorders>
                    <w:tl2br w:val="nil"/>
                    <w:tr2bl w:val="nil"/>
                  </w:tcBorders>
                  <w:vAlign w:val="center"/>
                </w:tcPr>
                <w:p w14:paraId="24F7E8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条造粒生产线</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年</w:t>
                  </w:r>
                  <w:r>
                    <w:rPr>
                      <w:rFonts w:hint="default" w:ascii="Times New Roman" w:hAnsi="Times New Roman" w:eastAsia="宋体" w:cs="Times New Roman"/>
                      <w:color w:val="auto"/>
                      <w:highlight w:val="none"/>
                      <w:lang w:val="en-US" w:eastAsia="zh-CN"/>
                    </w:rPr>
                    <w:t>加工废旧塑料50</w:t>
                  </w:r>
                  <w:r>
                    <w:rPr>
                      <w:rFonts w:hint="default" w:ascii="Times New Roman" w:hAnsi="Times New Roman" w:eastAsia="宋体" w:cs="Times New Roman"/>
                      <w:color w:val="auto"/>
                      <w:highlight w:val="none"/>
                      <w:lang w:eastAsia="zh-CN"/>
                    </w:rPr>
                    <w:t>00t</w:t>
                  </w:r>
                </w:p>
              </w:tc>
              <w:tc>
                <w:tcPr>
                  <w:tcW w:w="1465" w:type="pct"/>
                  <w:tcBorders>
                    <w:tl2br w:val="nil"/>
                    <w:tr2bl w:val="nil"/>
                  </w:tcBorders>
                  <w:vAlign w:val="center"/>
                </w:tcPr>
                <w:p w14:paraId="479C8D2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条造粒生产线</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lang w:eastAsia="zh-CN"/>
                    </w:rPr>
                    <w:t>年</w:t>
                  </w:r>
                  <w:r>
                    <w:rPr>
                      <w:rFonts w:hint="default" w:ascii="Times New Roman" w:hAnsi="Times New Roman" w:eastAsia="宋体" w:cs="Times New Roman"/>
                      <w:color w:val="auto"/>
                      <w:highlight w:val="none"/>
                      <w:lang w:val="en-US" w:eastAsia="zh-CN"/>
                    </w:rPr>
                    <w:t>加工废旧塑料50</w:t>
                  </w:r>
                  <w:r>
                    <w:rPr>
                      <w:rFonts w:hint="default" w:ascii="Times New Roman" w:hAnsi="Times New Roman" w:eastAsia="宋体" w:cs="Times New Roman"/>
                      <w:color w:val="auto"/>
                      <w:highlight w:val="none"/>
                      <w:lang w:eastAsia="zh-CN"/>
                    </w:rPr>
                    <w:t>00t</w:t>
                  </w:r>
                </w:p>
              </w:tc>
              <w:tc>
                <w:tcPr>
                  <w:tcW w:w="1080" w:type="pct"/>
                  <w:tcBorders>
                    <w:tl2br w:val="nil"/>
                    <w:tr2bl w:val="nil"/>
                  </w:tcBorders>
                  <w:vAlign w:val="center"/>
                </w:tcPr>
                <w:p w14:paraId="2670EC4C">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highlight w:val="none"/>
                      <w:lang w:val="en-US" w:eastAsia="zh-CN"/>
                    </w:rPr>
                    <w:t>现有工程，生产的造粒产品均外售</w:t>
                  </w:r>
                </w:p>
              </w:tc>
            </w:tr>
          </w:tbl>
          <w:p w14:paraId="4D8333F8">
            <w:pPr>
              <w:bidi w:val="0"/>
              <w:spacing w:line="360" w:lineRule="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2.2.2</w:t>
            </w:r>
            <w:r>
              <w:rPr>
                <w:rFonts w:hint="default" w:ascii="Times New Roman" w:hAnsi="Times New Roman" w:cs="Times New Roman"/>
                <w:b/>
                <w:bCs/>
                <w:color w:val="auto"/>
                <w:sz w:val="24"/>
                <w:szCs w:val="24"/>
                <w:highlight w:val="none"/>
                <w:lang w:val="en-US" w:eastAsia="zh-CN"/>
              </w:rPr>
              <w:t>现有</w:t>
            </w:r>
            <w:r>
              <w:rPr>
                <w:rFonts w:hint="default" w:ascii="Times New Roman" w:hAnsi="Times New Roman" w:eastAsia="宋体" w:cs="Times New Roman"/>
                <w:b/>
                <w:bCs/>
                <w:color w:val="auto"/>
                <w:sz w:val="24"/>
                <w:szCs w:val="24"/>
                <w:highlight w:val="none"/>
                <w:lang w:val="en-US" w:eastAsia="zh-CN"/>
              </w:rPr>
              <w:t>工程生产设备</w:t>
            </w:r>
          </w:p>
          <w:p w14:paraId="3EBFDF44">
            <w:pPr>
              <w:adjustRightInd/>
              <w:snapToGrid/>
              <w:spacing w:after="0" w:line="360" w:lineRule="auto"/>
              <w:ind w:firstLine="480" w:firstLineChars="200"/>
              <w:jc w:val="left"/>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lang w:val="en-US" w:eastAsia="zh-CN"/>
              </w:rPr>
              <w:t>工程</w:t>
            </w:r>
            <w:r>
              <w:rPr>
                <w:rFonts w:hint="default" w:ascii="Times New Roman" w:hAnsi="Times New Roman" w:eastAsia="宋体" w:cs="Times New Roman"/>
                <w:color w:val="auto"/>
                <w:sz w:val="24"/>
                <w:szCs w:val="24"/>
                <w:highlight w:val="none"/>
              </w:rPr>
              <w:t>主要设备一览表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见表</w:t>
            </w:r>
            <w:r>
              <w:rPr>
                <w:rFonts w:hint="default" w:ascii="Times New Roman" w:hAnsi="Times New Roman" w:eastAsia="宋体"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w:t>
            </w:r>
          </w:p>
          <w:p w14:paraId="2559762F">
            <w:pPr>
              <w:pStyle w:val="68"/>
              <w:widowControl/>
              <w:adjustRightInd/>
              <w:snapToGrid/>
              <w:spacing w:after="0" w:line="240" w:lineRule="auto"/>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表</w:t>
            </w:r>
            <w:r>
              <w:rPr>
                <w:rFonts w:hint="default" w:ascii="Times New Roman" w:hAnsi="Times New Roman" w:eastAsia="宋体" w:cs="Times New Roman"/>
                <w:color w:val="auto"/>
                <w:sz w:val="21"/>
                <w:highlight w:val="none"/>
                <w:lang w:val="en-US" w:eastAsia="zh-CN"/>
              </w:rPr>
              <w:t>2-7</w:t>
            </w:r>
            <w:r>
              <w:rPr>
                <w:rFonts w:hint="default" w:ascii="Times New Roman" w:hAnsi="Times New Roman" w:eastAsia="宋体" w:cs="Times New Roman"/>
                <w:color w:val="auto"/>
                <w:sz w:val="21"/>
                <w:highlight w:val="none"/>
              </w:rPr>
              <w:t xml:space="preserve">   项目主要设备一览表</w:t>
            </w:r>
          </w:p>
          <w:tbl>
            <w:tblPr>
              <w:tblStyle w:val="25"/>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3"/>
              <w:gridCol w:w="4372"/>
              <w:gridCol w:w="1213"/>
              <w:gridCol w:w="1284"/>
            </w:tblGrid>
            <w:tr w14:paraId="0A04E5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26" w:type="pct"/>
                  <w:tcBorders>
                    <w:bottom w:val="single" w:color="auto" w:sz="12" w:space="0"/>
                  </w:tcBorders>
                  <w:noWrap w:val="0"/>
                  <w:vAlign w:val="center"/>
                </w:tcPr>
                <w:p w14:paraId="3DD643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序号</w:t>
                  </w:r>
                </w:p>
              </w:tc>
              <w:tc>
                <w:tcPr>
                  <w:tcW w:w="2784" w:type="pct"/>
                  <w:tcBorders>
                    <w:bottom w:val="single" w:color="auto" w:sz="12" w:space="0"/>
                  </w:tcBorders>
                  <w:noWrap w:val="0"/>
                  <w:vAlign w:val="center"/>
                </w:tcPr>
                <w:p w14:paraId="46B4F6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设备名称</w:t>
                  </w:r>
                </w:p>
              </w:tc>
              <w:tc>
                <w:tcPr>
                  <w:tcW w:w="772" w:type="pct"/>
                  <w:tcBorders>
                    <w:bottom w:val="single" w:color="auto" w:sz="12" w:space="0"/>
                  </w:tcBorders>
                  <w:noWrap w:val="0"/>
                  <w:vAlign w:val="center"/>
                </w:tcPr>
                <w:p w14:paraId="4809DE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数量</w:t>
                  </w:r>
                </w:p>
              </w:tc>
              <w:tc>
                <w:tcPr>
                  <w:tcW w:w="817" w:type="pct"/>
                  <w:tcBorders>
                    <w:bottom w:val="single" w:color="auto" w:sz="12" w:space="0"/>
                  </w:tcBorders>
                  <w:noWrap w:val="0"/>
                  <w:vAlign w:val="center"/>
                </w:tcPr>
                <w:p w14:paraId="6D5297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备注</w:t>
                  </w:r>
                </w:p>
              </w:tc>
            </w:tr>
            <w:tr w14:paraId="5EB9F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26" w:type="pct"/>
                  <w:tcBorders>
                    <w:top w:val="single" w:color="auto" w:sz="12" w:space="0"/>
                    <w:tl2br w:val="nil"/>
                    <w:tr2bl w:val="nil"/>
                  </w:tcBorders>
                  <w:noWrap w:val="0"/>
                  <w:vAlign w:val="center"/>
                </w:tcPr>
                <w:p w14:paraId="1EA808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2784" w:type="pct"/>
                  <w:tcBorders>
                    <w:top w:val="single" w:color="auto" w:sz="12" w:space="0"/>
                    <w:tl2br w:val="nil"/>
                    <w:tr2bl w:val="nil"/>
                  </w:tcBorders>
                  <w:noWrap w:val="0"/>
                  <w:vAlign w:val="center"/>
                </w:tcPr>
                <w:p w14:paraId="5B2E22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S190单螺旋挤出生产线</w:t>
                  </w:r>
                </w:p>
              </w:tc>
              <w:tc>
                <w:tcPr>
                  <w:tcW w:w="772" w:type="pct"/>
                  <w:tcBorders>
                    <w:top w:val="single" w:color="auto" w:sz="12" w:space="0"/>
                    <w:tl2br w:val="nil"/>
                    <w:tr2bl w:val="nil"/>
                  </w:tcBorders>
                  <w:noWrap w:val="0"/>
                  <w:vAlign w:val="center"/>
                </w:tcPr>
                <w:p w14:paraId="610AEA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3套</w:t>
                  </w:r>
                </w:p>
              </w:tc>
              <w:tc>
                <w:tcPr>
                  <w:tcW w:w="817" w:type="pct"/>
                  <w:vMerge w:val="restart"/>
                  <w:tcBorders>
                    <w:top w:val="single" w:color="auto" w:sz="12" w:space="0"/>
                    <w:tl2br w:val="nil"/>
                    <w:tr2bl w:val="nil"/>
                  </w:tcBorders>
                  <w:noWrap w:val="0"/>
                  <w:vAlign w:val="center"/>
                </w:tcPr>
                <w:p w14:paraId="5DEB27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2010年建设PVC管装置</w:t>
                  </w:r>
                </w:p>
              </w:tc>
            </w:tr>
            <w:tr w14:paraId="2194E1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626" w:type="pct"/>
                  <w:tcBorders>
                    <w:tl2br w:val="nil"/>
                    <w:tr2bl w:val="nil"/>
                  </w:tcBorders>
                  <w:noWrap w:val="0"/>
                  <w:vAlign w:val="center"/>
                </w:tcPr>
                <w:p w14:paraId="2EE288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val="0"/>
                      <w:color w:val="auto"/>
                      <w:sz w:val="21"/>
                      <w:szCs w:val="21"/>
                      <w:highlight w:val="none"/>
                      <w:vertAlign w:val="baseline"/>
                      <w:lang w:val="en-US" w:eastAsia="zh-CN" w:bidi="ar-SA"/>
                    </w:rPr>
                  </w:pPr>
                  <w:r>
                    <w:rPr>
                      <w:rFonts w:hint="default" w:ascii="Times New Roman" w:hAnsi="Times New Roman" w:cs="Times New Roman"/>
                      <w:bCs/>
                      <w:snapToGrid w:val="0"/>
                      <w:color w:val="auto"/>
                      <w:sz w:val="21"/>
                      <w:szCs w:val="21"/>
                      <w:highlight w:val="none"/>
                      <w:vertAlign w:val="baseline"/>
                      <w:lang w:val="en-US" w:eastAsia="zh-CN" w:bidi="ar-SA"/>
                    </w:rPr>
                    <w:t>2</w:t>
                  </w:r>
                </w:p>
              </w:tc>
              <w:tc>
                <w:tcPr>
                  <w:tcW w:w="2784" w:type="pct"/>
                  <w:tcBorders>
                    <w:tl2br w:val="nil"/>
                    <w:tr2bl w:val="nil"/>
                  </w:tcBorders>
                  <w:noWrap w:val="0"/>
                  <w:vAlign w:val="center"/>
                </w:tcPr>
                <w:p w14:paraId="7499FA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S165单螺旋挤出生产线</w:t>
                  </w:r>
                </w:p>
              </w:tc>
              <w:tc>
                <w:tcPr>
                  <w:tcW w:w="772" w:type="pct"/>
                  <w:tcBorders>
                    <w:tl2br w:val="nil"/>
                    <w:tr2bl w:val="nil"/>
                  </w:tcBorders>
                  <w:noWrap w:val="0"/>
                  <w:vAlign w:val="center"/>
                </w:tcPr>
                <w:p w14:paraId="635F2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3套</w:t>
                  </w:r>
                </w:p>
              </w:tc>
              <w:tc>
                <w:tcPr>
                  <w:tcW w:w="817" w:type="pct"/>
                  <w:vMerge w:val="continue"/>
                  <w:tcBorders>
                    <w:tl2br w:val="nil"/>
                    <w:tr2bl w:val="nil"/>
                  </w:tcBorders>
                  <w:noWrap w:val="0"/>
                  <w:vAlign w:val="center"/>
                </w:tcPr>
                <w:p w14:paraId="248F7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0453FD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3908A0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auto"/>
                      <w:sz w:val="21"/>
                      <w:szCs w:val="21"/>
                      <w:highlight w:val="none"/>
                      <w:vertAlign w:val="baseline"/>
                      <w:lang w:val="en-US" w:eastAsia="zh-CN" w:bidi="ar-SA"/>
                    </w:rPr>
                  </w:pPr>
                  <w:r>
                    <w:rPr>
                      <w:rFonts w:hint="default" w:ascii="Times New Roman" w:hAnsi="Times New Roman" w:cs="Times New Roman"/>
                      <w:bCs/>
                      <w:snapToGrid w:val="0"/>
                      <w:color w:val="auto"/>
                      <w:sz w:val="21"/>
                      <w:szCs w:val="21"/>
                      <w:highlight w:val="none"/>
                      <w:vertAlign w:val="baseline"/>
                      <w:lang w:val="en-US" w:eastAsia="zh-CN" w:bidi="ar-SA"/>
                    </w:rPr>
                    <w:t>3</w:t>
                  </w:r>
                </w:p>
              </w:tc>
              <w:tc>
                <w:tcPr>
                  <w:tcW w:w="2784" w:type="pct"/>
                  <w:tcBorders>
                    <w:tl2br w:val="nil"/>
                    <w:tr2bl w:val="nil"/>
                  </w:tcBorders>
                  <w:noWrap w:val="0"/>
                  <w:vAlign w:val="center"/>
                </w:tcPr>
                <w:p w14:paraId="2F4BE1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废气净化装置（光氧）</w:t>
                  </w:r>
                </w:p>
              </w:tc>
              <w:tc>
                <w:tcPr>
                  <w:tcW w:w="772" w:type="pct"/>
                  <w:tcBorders>
                    <w:tl2br w:val="nil"/>
                    <w:tr2bl w:val="nil"/>
                  </w:tcBorders>
                  <w:noWrap w:val="0"/>
                  <w:vAlign w:val="center"/>
                </w:tcPr>
                <w:p w14:paraId="4EC70C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1套</w:t>
                  </w:r>
                </w:p>
              </w:tc>
              <w:tc>
                <w:tcPr>
                  <w:tcW w:w="817" w:type="pct"/>
                  <w:vMerge w:val="continue"/>
                  <w:tcBorders>
                    <w:tl2br w:val="nil"/>
                    <w:tr2bl w:val="nil"/>
                  </w:tcBorders>
                  <w:noWrap w:val="0"/>
                  <w:vAlign w:val="center"/>
                </w:tcPr>
                <w:p w14:paraId="0EC59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p>
              </w:tc>
            </w:tr>
            <w:tr w14:paraId="5E9E07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7D4103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val="0"/>
                      <w:color w:val="auto"/>
                      <w:sz w:val="21"/>
                      <w:szCs w:val="21"/>
                      <w:highlight w:val="none"/>
                      <w:vertAlign w:val="baseline"/>
                      <w:lang w:val="en-US" w:eastAsia="zh-CN" w:bidi="ar-SA"/>
                    </w:rPr>
                  </w:pPr>
                  <w:r>
                    <w:rPr>
                      <w:rFonts w:hint="default" w:ascii="Times New Roman" w:hAnsi="Times New Roman" w:cs="Times New Roman"/>
                      <w:bCs/>
                      <w:snapToGrid w:val="0"/>
                      <w:color w:val="auto"/>
                      <w:sz w:val="21"/>
                      <w:szCs w:val="21"/>
                      <w:highlight w:val="none"/>
                      <w:vertAlign w:val="baseline"/>
                      <w:lang w:val="en-US" w:eastAsia="zh-CN" w:bidi="ar-SA"/>
                    </w:rPr>
                    <w:t>4</w:t>
                  </w:r>
                </w:p>
              </w:tc>
              <w:tc>
                <w:tcPr>
                  <w:tcW w:w="2784" w:type="pct"/>
                  <w:tcBorders>
                    <w:tl2br w:val="nil"/>
                    <w:tr2bl w:val="nil"/>
                  </w:tcBorders>
                  <w:noWrap w:val="0"/>
                  <w:vAlign w:val="center"/>
                </w:tcPr>
                <w:p w14:paraId="451105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PE管注塑生产线</w:t>
                  </w:r>
                </w:p>
              </w:tc>
              <w:tc>
                <w:tcPr>
                  <w:tcW w:w="772" w:type="pct"/>
                  <w:tcBorders>
                    <w:tl2br w:val="nil"/>
                    <w:tr2bl w:val="nil"/>
                  </w:tcBorders>
                  <w:noWrap w:val="0"/>
                  <w:vAlign w:val="center"/>
                </w:tcPr>
                <w:p w14:paraId="596770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6套</w:t>
                  </w:r>
                </w:p>
              </w:tc>
              <w:tc>
                <w:tcPr>
                  <w:tcW w:w="817" w:type="pct"/>
                  <w:vMerge w:val="restart"/>
                  <w:tcBorders>
                    <w:tl2br w:val="nil"/>
                    <w:tr2bl w:val="nil"/>
                  </w:tcBorders>
                  <w:noWrap w:val="0"/>
                  <w:vAlign w:val="center"/>
                </w:tcPr>
                <w:p w14:paraId="5744EB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2018年建设PE农膜及PE管装置</w:t>
                  </w:r>
                </w:p>
              </w:tc>
            </w:tr>
            <w:tr w14:paraId="21742E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7B45DF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val="0"/>
                      <w:color w:val="auto"/>
                      <w:sz w:val="21"/>
                      <w:szCs w:val="21"/>
                      <w:highlight w:val="none"/>
                      <w:vertAlign w:val="baseline"/>
                      <w:lang w:val="en-US" w:eastAsia="zh-CN" w:bidi="ar-SA"/>
                    </w:rPr>
                  </w:pPr>
                  <w:r>
                    <w:rPr>
                      <w:rFonts w:hint="default" w:ascii="Times New Roman" w:hAnsi="Times New Roman" w:cs="Times New Roman"/>
                      <w:bCs/>
                      <w:snapToGrid w:val="0"/>
                      <w:color w:val="auto"/>
                      <w:sz w:val="21"/>
                      <w:szCs w:val="21"/>
                      <w:highlight w:val="none"/>
                      <w:vertAlign w:val="baseline"/>
                      <w:lang w:val="en-US" w:eastAsia="zh-CN" w:bidi="ar-SA"/>
                    </w:rPr>
                    <w:t>5</w:t>
                  </w:r>
                </w:p>
              </w:tc>
              <w:tc>
                <w:tcPr>
                  <w:tcW w:w="2784" w:type="pct"/>
                  <w:tcBorders>
                    <w:tl2br w:val="nil"/>
                    <w:tr2bl w:val="nil"/>
                  </w:tcBorders>
                  <w:noWrap w:val="0"/>
                  <w:vAlign w:val="center"/>
                </w:tcPr>
                <w:p w14:paraId="40430C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PC75型单螺旋挤出生产线</w:t>
                  </w:r>
                </w:p>
              </w:tc>
              <w:tc>
                <w:tcPr>
                  <w:tcW w:w="772" w:type="pct"/>
                  <w:tcBorders>
                    <w:tl2br w:val="nil"/>
                    <w:tr2bl w:val="nil"/>
                  </w:tcBorders>
                  <w:noWrap w:val="0"/>
                  <w:vAlign w:val="center"/>
                </w:tcPr>
                <w:p w14:paraId="01CCDE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4套</w:t>
                  </w:r>
                </w:p>
              </w:tc>
              <w:tc>
                <w:tcPr>
                  <w:tcW w:w="817" w:type="pct"/>
                  <w:vMerge w:val="continue"/>
                  <w:tcBorders>
                    <w:tl2br w:val="nil"/>
                    <w:tr2bl w:val="nil"/>
                  </w:tcBorders>
                  <w:noWrap w:val="0"/>
                  <w:vAlign w:val="center"/>
                </w:tcPr>
                <w:p w14:paraId="6563F5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r w14:paraId="1E4161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2D5A3B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w:t>
                  </w:r>
                </w:p>
              </w:tc>
              <w:tc>
                <w:tcPr>
                  <w:tcW w:w="2784" w:type="pct"/>
                  <w:tcBorders>
                    <w:tl2br w:val="nil"/>
                    <w:tr2bl w:val="nil"/>
                  </w:tcBorders>
                  <w:noWrap w:val="0"/>
                  <w:vAlign w:val="center"/>
                </w:tcPr>
                <w:p w14:paraId="7B9718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PC65型单螺旋挤出生产线</w:t>
                  </w:r>
                </w:p>
              </w:tc>
              <w:tc>
                <w:tcPr>
                  <w:tcW w:w="772" w:type="pct"/>
                  <w:tcBorders>
                    <w:tl2br w:val="nil"/>
                    <w:tr2bl w:val="nil"/>
                  </w:tcBorders>
                  <w:noWrap w:val="0"/>
                  <w:vAlign w:val="center"/>
                </w:tcPr>
                <w:p w14:paraId="45115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9套</w:t>
                  </w:r>
                </w:p>
              </w:tc>
              <w:tc>
                <w:tcPr>
                  <w:tcW w:w="817" w:type="pct"/>
                  <w:vMerge w:val="continue"/>
                  <w:tcBorders>
                    <w:tl2br w:val="nil"/>
                    <w:tr2bl w:val="nil"/>
                  </w:tcBorders>
                  <w:noWrap w:val="0"/>
                  <w:vAlign w:val="center"/>
                </w:tcPr>
                <w:p w14:paraId="492BAB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r w14:paraId="449BC3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24EBDA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val="0"/>
                      <w:color w:val="auto"/>
                      <w:sz w:val="21"/>
                      <w:szCs w:val="21"/>
                      <w:highlight w:val="none"/>
                      <w:vertAlign w:val="baseline"/>
                      <w:lang w:val="en-US" w:eastAsia="zh-CN" w:bidi="ar-SA"/>
                    </w:rPr>
                  </w:pPr>
                  <w:r>
                    <w:rPr>
                      <w:rFonts w:hint="default" w:ascii="Times New Roman" w:hAnsi="Times New Roman" w:cs="Times New Roman"/>
                      <w:bCs/>
                      <w:snapToGrid w:val="0"/>
                      <w:color w:val="auto"/>
                      <w:sz w:val="21"/>
                      <w:szCs w:val="21"/>
                      <w:highlight w:val="none"/>
                      <w:vertAlign w:val="baseline"/>
                      <w:lang w:val="en-US" w:eastAsia="zh-CN" w:bidi="ar-SA"/>
                    </w:rPr>
                    <w:t>7</w:t>
                  </w:r>
                </w:p>
              </w:tc>
              <w:tc>
                <w:tcPr>
                  <w:tcW w:w="2784" w:type="pct"/>
                  <w:tcBorders>
                    <w:tl2br w:val="nil"/>
                    <w:tr2bl w:val="nil"/>
                  </w:tcBorders>
                  <w:noWrap w:val="0"/>
                  <w:vAlign w:val="center"/>
                </w:tcPr>
                <w:p w14:paraId="46240F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牵引机</w:t>
                  </w:r>
                </w:p>
              </w:tc>
              <w:tc>
                <w:tcPr>
                  <w:tcW w:w="772" w:type="pct"/>
                  <w:tcBorders>
                    <w:tl2br w:val="nil"/>
                    <w:tr2bl w:val="nil"/>
                  </w:tcBorders>
                  <w:noWrap w:val="0"/>
                  <w:vAlign w:val="center"/>
                </w:tcPr>
                <w:p w14:paraId="4BC805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26台</w:t>
                  </w:r>
                </w:p>
              </w:tc>
              <w:tc>
                <w:tcPr>
                  <w:tcW w:w="817" w:type="pct"/>
                  <w:vMerge w:val="continue"/>
                  <w:tcBorders>
                    <w:tl2br w:val="nil"/>
                    <w:tr2bl w:val="nil"/>
                  </w:tcBorders>
                  <w:noWrap w:val="0"/>
                  <w:vAlign w:val="center"/>
                </w:tcPr>
                <w:p w14:paraId="173924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r w14:paraId="3915E2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20E644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val="0"/>
                      <w:color w:val="auto"/>
                      <w:sz w:val="21"/>
                      <w:szCs w:val="21"/>
                      <w:highlight w:val="none"/>
                      <w:vertAlign w:val="baseline"/>
                      <w:lang w:val="en-US" w:eastAsia="zh-CN" w:bidi="ar-SA"/>
                    </w:rPr>
                  </w:pPr>
                  <w:r>
                    <w:rPr>
                      <w:rFonts w:hint="default" w:ascii="Times New Roman" w:hAnsi="Times New Roman" w:cs="Times New Roman"/>
                      <w:bCs/>
                      <w:snapToGrid w:val="0"/>
                      <w:color w:val="auto"/>
                      <w:sz w:val="21"/>
                      <w:szCs w:val="21"/>
                      <w:highlight w:val="none"/>
                      <w:vertAlign w:val="baseline"/>
                      <w:lang w:val="en-US" w:eastAsia="zh-CN" w:bidi="ar-SA"/>
                    </w:rPr>
                    <w:t>8</w:t>
                  </w:r>
                </w:p>
              </w:tc>
              <w:tc>
                <w:tcPr>
                  <w:tcW w:w="2784" w:type="pct"/>
                  <w:tcBorders>
                    <w:tl2br w:val="nil"/>
                    <w:tr2bl w:val="nil"/>
                  </w:tcBorders>
                  <w:noWrap w:val="0"/>
                  <w:vAlign w:val="center"/>
                </w:tcPr>
                <w:p w14:paraId="67EAAA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收卷机</w:t>
                  </w:r>
                </w:p>
              </w:tc>
              <w:tc>
                <w:tcPr>
                  <w:tcW w:w="772" w:type="pct"/>
                  <w:tcBorders>
                    <w:tl2br w:val="nil"/>
                    <w:tr2bl w:val="nil"/>
                  </w:tcBorders>
                  <w:noWrap w:val="0"/>
                  <w:vAlign w:val="center"/>
                </w:tcPr>
                <w:p w14:paraId="6E882E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13台</w:t>
                  </w:r>
                </w:p>
              </w:tc>
              <w:tc>
                <w:tcPr>
                  <w:tcW w:w="817" w:type="pct"/>
                  <w:vMerge w:val="continue"/>
                  <w:tcBorders>
                    <w:tl2br w:val="nil"/>
                    <w:tr2bl w:val="nil"/>
                  </w:tcBorders>
                  <w:noWrap w:val="0"/>
                  <w:vAlign w:val="center"/>
                </w:tcPr>
                <w:p w14:paraId="0AB096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r w14:paraId="0B3367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13E9F9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w:t>
                  </w:r>
                </w:p>
              </w:tc>
              <w:tc>
                <w:tcPr>
                  <w:tcW w:w="2784" w:type="pct"/>
                  <w:tcBorders>
                    <w:tl2br w:val="nil"/>
                    <w:tr2bl w:val="nil"/>
                  </w:tcBorders>
                  <w:noWrap w:val="0"/>
                  <w:vAlign w:val="center"/>
                </w:tcPr>
                <w:p w14:paraId="542CAC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snapToGrid w:val="0"/>
                      <w:color w:val="auto"/>
                      <w:sz w:val="21"/>
                      <w:szCs w:val="21"/>
                      <w:highlight w:val="none"/>
                      <w:vertAlign w:val="baseline"/>
                      <w:lang w:val="en-US" w:eastAsia="zh-CN" w:bidi="ar-SA"/>
                    </w:rPr>
                  </w:pPr>
                  <w:r>
                    <w:rPr>
                      <w:rFonts w:hint="default" w:ascii="Times New Roman" w:hAnsi="Times New Roman" w:eastAsia="宋体" w:cs="Times New Roman"/>
                      <w:bCs/>
                      <w:color w:val="auto"/>
                      <w:sz w:val="21"/>
                      <w:szCs w:val="21"/>
                      <w:highlight w:val="none"/>
                      <w:vertAlign w:val="baseline"/>
                      <w:lang w:val="en-US" w:eastAsia="zh-CN"/>
                    </w:rPr>
                    <w:t>废气净化装置（光氧）</w:t>
                  </w:r>
                </w:p>
              </w:tc>
              <w:tc>
                <w:tcPr>
                  <w:tcW w:w="772" w:type="pct"/>
                  <w:tcBorders>
                    <w:tl2br w:val="nil"/>
                    <w:tr2bl w:val="nil"/>
                  </w:tcBorders>
                  <w:noWrap w:val="0"/>
                  <w:vAlign w:val="center"/>
                </w:tcPr>
                <w:p w14:paraId="47EC90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Cs/>
                      <w:snapToGrid w:val="0"/>
                      <w:color w:val="auto"/>
                      <w:sz w:val="21"/>
                      <w:szCs w:val="21"/>
                      <w:highlight w:val="none"/>
                      <w:vertAlign w:val="baseline"/>
                      <w:lang w:val="en-US" w:eastAsia="zh-CN" w:bidi="ar-SA"/>
                    </w:rPr>
                  </w:pPr>
                  <w:r>
                    <w:rPr>
                      <w:rFonts w:hint="default" w:ascii="Times New Roman" w:hAnsi="Times New Roman" w:cs="Times New Roman"/>
                      <w:color w:val="auto"/>
                      <w:sz w:val="21"/>
                      <w:szCs w:val="21"/>
                      <w:highlight w:val="none"/>
                      <w:vertAlign w:val="baseline"/>
                      <w:lang w:val="en-US" w:eastAsia="zh-CN"/>
                    </w:rPr>
                    <w:t>3套</w:t>
                  </w:r>
                </w:p>
              </w:tc>
              <w:tc>
                <w:tcPr>
                  <w:tcW w:w="817" w:type="pct"/>
                  <w:vMerge w:val="continue"/>
                  <w:tcBorders>
                    <w:tl2br w:val="nil"/>
                    <w:tr2bl w:val="nil"/>
                  </w:tcBorders>
                  <w:noWrap w:val="0"/>
                  <w:vAlign w:val="center"/>
                </w:tcPr>
                <w:p w14:paraId="0A65CC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r w14:paraId="096C93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442BE7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c>
                <w:tcPr>
                  <w:tcW w:w="2784" w:type="pct"/>
                  <w:tcBorders>
                    <w:tl2br w:val="nil"/>
                    <w:tr2bl w:val="nil"/>
                  </w:tcBorders>
                  <w:shd w:val="clear" w:color="auto" w:fill="auto"/>
                  <w:noWrap w:val="0"/>
                  <w:vAlign w:val="center"/>
                </w:tcPr>
                <w:p w14:paraId="73B53E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rPr>
                    <w:t>塑料回收造粒机组</w:t>
                  </w:r>
                </w:p>
              </w:tc>
              <w:tc>
                <w:tcPr>
                  <w:tcW w:w="772" w:type="pct"/>
                  <w:tcBorders>
                    <w:tl2br w:val="nil"/>
                    <w:tr2bl w:val="nil"/>
                  </w:tcBorders>
                  <w:shd w:val="clear" w:color="auto" w:fill="auto"/>
                  <w:noWrap w:val="0"/>
                  <w:vAlign w:val="center"/>
                </w:tcPr>
                <w:p w14:paraId="533DA0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4</w:t>
                  </w:r>
                  <w:r>
                    <w:rPr>
                      <w:rFonts w:hint="default" w:ascii="Times New Roman" w:hAnsi="Times New Roman" w:cs="Times New Roman"/>
                      <w:color w:val="auto"/>
                      <w:sz w:val="21"/>
                      <w:szCs w:val="21"/>
                      <w:highlight w:val="none"/>
                      <w:vertAlign w:val="baseline"/>
                      <w:lang w:val="en-US" w:eastAsia="zh-CN"/>
                    </w:rPr>
                    <w:t>套</w:t>
                  </w:r>
                </w:p>
              </w:tc>
              <w:tc>
                <w:tcPr>
                  <w:tcW w:w="817" w:type="pct"/>
                  <w:vMerge w:val="restart"/>
                  <w:tcBorders>
                    <w:tl2br w:val="nil"/>
                    <w:tr2bl w:val="nil"/>
                  </w:tcBorders>
                  <w:noWrap w:val="0"/>
                  <w:vAlign w:val="center"/>
                </w:tcPr>
                <w:p w14:paraId="7AAF39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2023年建设</w:t>
                  </w:r>
                  <w:r>
                    <w:rPr>
                      <w:rFonts w:hint="default" w:ascii="Times New Roman" w:hAnsi="Times New Roman" w:eastAsia="宋体" w:cs="Times New Roman"/>
                      <w:i w:val="0"/>
                      <w:iCs w:val="0"/>
                      <w:color w:val="auto"/>
                      <w:kern w:val="0"/>
                      <w:sz w:val="21"/>
                      <w:szCs w:val="21"/>
                      <w:highlight w:val="none"/>
                      <w:u w:val="none"/>
                      <w:lang w:val="en-US" w:eastAsia="zh-CN" w:bidi="ar"/>
                    </w:rPr>
                    <w:t>废塑料再生造粒项目</w:t>
                  </w:r>
                </w:p>
              </w:tc>
            </w:tr>
            <w:tr w14:paraId="2C129D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7CC269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w:t>
                  </w:r>
                </w:p>
              </w:tc>
              <w:tc>
                <w:tcPr>
                  <w:tcW w:w="2784" w:type="pct"/>
                  <w:tcBorders>
                    <w:tl2br w:val="nil"/>
                    <w:tr2bl w:val="nil"/>
                  </w:tcBorders>
                  <w:shd w:val="clear" w:color="auto" w:fill="auto"/>
                  <w:noWrap w:val="0"/>
                  <w:vAlign w:val="center"/>
                </w:tcPr>
                <w:p w14:paraId="16F0A2C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湿式破碎机</w:t>
                  </w:r>
                </w:p>
              </w:tc>
              <w:tc>
                <w:tcPr>
                  <w:tcW w:w="772" w:type="pct"/>
                  <w:tcBorders>
                    <w:tl2br w:val="nil"/>
                    <w:tr2bl w:val="nil"/>
                  </w:tcBorders>
                  <w:shd w:val="clear" w:color="auto" w:fill="auto"/>
                  <w:noWrap w:val="0"/>
                  <w:vAlign w:val="center"/>
                </w:tcPr>
                <w:p w14:paraId="37324A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2台</w:t>
                  </w:r>
                </w:p>
              </w:tc>
              <w:tc>
                <w:tcPr>
                  <w:tcW w:w="817" w:type="pct"/>
                  <w:vMerge w:val="continue"/>
                  <w:tcBorders>
                    <w:tl2br w:val="nil"/>
                    <w:tr2bl w:val="nil"/>
                  </w:tcBorders>
                  <w:noWrap w:val="0"/>
                  <w:vAlign w:val="center"/>
                </w:tcPr>
                <w:p w14:paraId="3532FA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r w14:paraId="53C5C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4F8002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w:t>
                  </w:r>
                </w:p>
              </w:tc>
              <w:tc>
                <w:tcPr>
                  <w:tcW w:w="2784" w:type="pct"/>
                  <w:tcBorders>
                    <w:tl2br w:val="nil"/>
                    <w:tr2bl w:val="nil"/>
                  </w:tcBorders>
                  <w:shd w:val="clear" w:color="auto" w:fill="auto"/>
                  <w:noWrap w:val="0"/>
                  <w:vAlign w:val="center"/>
                </w:tcPr>
                <w:p w14:paraId="50DB39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清洗水槽</w:t>
                  </w:r>
                </w:p>
              </w:tc>
              <w:tc>
                <w:tcPr>
                  <w:tcW w:w="772" w:type="pct"/>
                  <w:tcBorders>
                    <w:tl2br w:val="nil"/>
                    <w:tr2bl w:val="nil"/>
                  </w:tcBorders>
                  <w:shd w:val="clear" w:color="auto" w:fill="auto"/>
                  <w:noWrap w:val="0"/>
                  <w:vAlign w:val="center"/>
                </w:tcPr>
                <w:p w14:paraId="052F22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2台</w:t>
                  </w:r>
                </w:p>
              </w:tc>
              <w:tc>
                <w:tcPr>
                  <w:tcW w:w="817" w:type="pct"/>
                  <w:vMerge w:val="continue"/>
                  <w:tcBorders>
                    <w:tl2br w:val="nil"/>
                    <w:tr2bl w:val="nil"/>
                  </w:tcBorders>
                  <w:noWrap w:val="0"/>
                  <w:vAlign w:val="center"/>
                </w:tcPr>
                <w:p w14:paraId="200BA4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r w14:paraId="4BB510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31AE11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13</w:t>
                  </w:r>
                </w:p>
              </w:tc>
              <w:tc>
                <w:tcPr>
                  <w:tcW w:w="2784" w:type="pct"/>
                  <w:tcBorders>
                    <w:tl2br w:val="nil"/>
                    <w:tr2bl w:val="nil"/>
                  </w:tcBorders>
                  <w:shd w:val="clear" w:color="auto" w:fill="auto"/>
                  <w:noWrap w:val="0"/>
                  <w:vAlign w:val="center"/>
                </w:tcPr>
                <w:p w14:paraId="2044CD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清洗绞龙</w:t>
                  </w:r>
                </w:p>
              </w:tc>
              <w:tc>
                <w:tcPr>
                  <w:tcW w:w="772" w:type="pct"/>
                  <w:tcBorders>
                    <w:tl2br w:val="nil"/>
                    <w:tr2bl w:val="nil"/>
                  </w:tcBorders>
                  <w:shd w:val="clear" w:color="auto" w:fill="auto"/>
                  <w:noWrap w:val="0"/>
                  <w:vAlign w:val="center"/>
                </w:tcPr>
                <w:p w14:paraId="6F2B2C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cs="Times New Roman"/>
                      <w:color w:val="auto"/>
                      <w:sz w:val="21"/>
                      <w:szCs w:val="21"/>
                      <w:highlight w:val="none"/>
                      <w:vertAlign w:val="baseline"/>
                      <w:lang w:val="en-US" w:eastAsia="zh-CN"/>
                    </w:rPr>
                    <w:t>套</w:t>
                  </w:r>
                </w:p>
              </w:tc>
              <w:tc>
                <w:tcPr>
                  <w:tcW w:w="817" w:type="pct"/>
                  <w:vMerge w:val="continue"/>
                  <w:tcBorders>
                    <w:tl2br w:val="nil"/>
                    <w:tr2bl w:val="nil"/>
                  </w:tcBorders>
                  <w:noWrap w:val="0"/>
                  <w:vAlign w:val="center"/>
                </w:tcPr>
                <w:p w14:paraId="3D2175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r w14:paraId="36BFFC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08D3B8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w:t>
                  </w:r>
                </w:p>
              </w:tc>
              <w:tc>
                <w:tcPr>
                  <w:tcW w:w="2784" w:type="pct"/>
                  <w:tcBorders>
                    <w:tl2br w:val="nil"/>
                    <w:tr2bl w:val="nil"/>
                  </w:tcBorders>
                  <w:shd w:val="clear" w:color="auto" w:fill="auto"/>
                  <w:noWrap w:val="0"/>
                  <w:vAlign w:val="center"/>
                </w:tcPr>
                <w:p w14:paraId="04D6D49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沉淀池</w:t>
                  </w:r>
                </w:p>
              </w:tc>
              <w:tc>
                <w:tcPr>
                  <w:tcW w:w="772" w:type="pct"/>
                  <w:tcBorders>
                    <w:tl2br w:val="nil"/>
                    <w:tr2bl w:val="nil"/>
                  </w:tcBorders>
                  <w:shd w:val="clear" w:color="auto" w:fill="auto"/>
                  <w:noWrap w:val="0"/>
                  <w:vAlign w:val="center"/>
                </w:tcPr>
                <w:p w14:paraId="4F143E8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1座</w:t>
                  </w:r>
                </w:p>
              </w:tc>
              <w:tc>
                <w:tcPr>
                  <w:tcW w:w="817" w:type="pct"/>
                  <w:vMerge w:val="continue"/>
                  <w:tcBorders>
                    <w:tl2br w:val="nil"/>
                    <w:tr2bl w:val="nil"/>
                  </w:tcBorders>
                  <w:noWrap w:val="0"/>
                  <w:vAlign w:val="center"/>
                </w:tcPr>
                <w:p w14:paraId="5CAF1B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r w14:paraId="128069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tcBorders>
                    <w:tl2br w:val="nil"/>
                    <w:tr2bl w:val="nil"/>
                  </w:tcBorders>
                  <w:noWrap w:val="0"/>
                  <w:vAlign w:val="center"/>
                </w:tcPr>
                <w:p w14:paraId="708B94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w:t>
                  </w:r>
                </w:p>
              </w:tc>
              <w:tc>
                <w:tcPr>
                  <w:tcW w:w="2784" w:type="pct"/>
                  <w:tcBorders>
                    <w:tl2br w:val="nil"/>
                    <w:tr2bl w:val="nil"/>
                  </w:tcBorders>
                  <w:shd w:val="clear" w:color="auto" w:fill="auto"/>
                  <w:noWrap w:val="0"/>
                  <w:vAlign w:val="center"/>
                </w:tcPr>
                <w:p w14:paraId="19FE69C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color w:val="auto"/>
                      <w:kern w:val="2"/>
                      <w:sz w:val="21"/>
                      <w:szCs w:val="21"/>
                      <w:highlight w:val="none"/>
                      <w:lang w:val="en-US" w:eastAsia="zh-CN" w:bidi="ar-SA"/>
                    </w:rPr>
                    <w:t>二级活性炭吸附装置</w:t>
                  </w:r>
                </w:p>
              </w:tc>
              <w:tc>
                <w:tcPr>
                  <w:tcW w:w="772" w:type="pct"/>
                  <w:tcBorders>
                    <w:tl2br w:val="nil"/>
                    <w:tr2bl w:val="nil"/>
                  </w:tcBorders>
                  <w:shd w:val="clear" w:color="auto" w:fill="auto"/>
                  <w:noWrap w:val="0"/>
                  <w:vAlign w:val="center"/>
                </w:tcPr>
                <w:p w14:paraId="2475289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1台</w:t>
                  </w:r>
                </w:p>
              </w:tc>
              <w:tc>
                <w:tcPr>
                  <w:tcW w:w="817" w:type="pct"/>
                  <w:vMerge w:val="continue"/>
                  <w:tcBorders>
                    <w:tl2br w:val="nil"/>
                    <w:tr2bl w:val="nil"/>
                  </w:tcBorders>
                  <w:noWrap w:val="0"/>
                  <w:vAlign w:val="center"/>
                </w:tcPr>
                <w:p w14:paraId="3FC5C7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p>
              </w:tc>
            </w:tr>
          </w:tbl>
          <w:p w14:paraId="3EB51181">
            <w:pPr>
              <w:bidi w:val="0"/>
              <w:spacing w:line="360" w:lineRule="auto"/>
              <w:rPr>
                <w:rFonts w:hint="default" w:ascii="Times New Roman" w:hAnsi="Times New Roman" w:cs="Times New Roman"/>
                <w:b/>
                <w:bCs/>
                <w:color w:val="auto"/>
                <w:sz w:val="24"/>
                <w:szCs w:val="32"/>
                <w:highlight w:val="none"/>
              </w:rPr>
            </w:pPr>
            <w:r>
              <w:rPr>
                <w:rFonts w:hint="default" w:ascii="Times New Roman" w:hAnsi="Times New Roman" w:cs="Times New Roman"/>
                <w:b/>
                <w:bCs/>
                <w:color w:val="auto"/>
                <w:sz w:val="24"/>
                <w:szCs w:val="32"/>
                <w:highlight w:val="none"/>
                <w:lang w:val="en-US" w:eastAsia="zh-CN"/>
              </w:rPr>
              <w:t>2.2.3</w:t>
            </w:r>
            <w:r>
              <w:rPr>
                <w:rFonts w:hint="default" w:ascii="Times New Roman" w:hAnsi="Times New Roman" w:cs="Times New Roman"/>
                <w:b/>
                <w:color w:val="auto"/>
                <w:sz w:val="24"/>
                <w:highlight w:val="none"/>
                <w:lang w:val="en-US" w:eastAsia="zh-CN"/>
              </w:rPr>
              <w:t>现有工程</w:t>
            </w:r>
            <w:r>
              <w:rPr>
                <w:rFonts w:hint="default" w:ascii="Times New Roman" w:hAnsi="Times New Roman" w:cs="Times New Roman"/>
                <w:b/>
                <w:bCs/>
                <w:color w:val="auto"/>
                <w:sz w:val="24"/>
                <w:szCs w:val="32"/>
                <w:highlight w:val="none"/>
              </w:rPr>
              <w:t>原辅材料</w:t>
            </w:r>
            <w:r>
              <w:rPr>
                <w:rFonts w:hint="default" w:ascii="Times New Roman" w:hAnsi="Times New Roman" w:cs="Times New Roman"/>
                <w:b/>
                <w:bCs/>
                <w:color w:val="auto"/>
                <w:sz w:val="24"/>
                <w:szCs w:val="32"/>
                <w:highlight w:val="none"/>
                <w:lang w:val="en-US" w:eastAsia="zh-CN"/>
              </w:rPr>
              <w:t>及能源</w:t>
            </w:r>
            <w:r>
              <w:rPr>
                <w:rFonts w:hint="default" w:ascii="Times New Roman" w:hAnsi="Times New Roman" w:cs="Times New Roman"/>
                <w:b/>
                <w:bCs/>
                <w:color w:val="auto"/>
                <w:sz w:val="24"/>
                <w:szCs w:val="32"/>
                <w:highlight w:val="none"/>
              </w:rPr>
              <w:t>消耗</w:t>
            </w:r>
          </w:p>
          <w:p w14:paraId="7432567E">
            <w:pPr>
              <w:adjustRightInd/>
              <w:snapToGrid/>
              <w:spacing w:after="0" w:line="360" w:lineRule="auto"/>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cs="Times New Roman"/>
                <w:snapToGrid w:val="0"/>
                <w:color w:val="auto"/>
                <w:sz w:val="24"/>
                <w:szCs w:val="24"/>
                <w:highlight w:val="none"/>
                <w:lang w:val="en-US" w:eastAsia="zh-CN"/>
              </w:rPr>
              <w:t>现有</w:t>
            </w:r>
            <w:r>
              <w:rPr>
                <w:rFonts w:hint="default" w:ascii="Times New Roman" w:hAnsi="Times New Roman" w:eastAsia="宋体" w:cs="Times New Roman"/>
                <w:snapToGrid w:val="0"/>
                <w:color w:val="auto"/>
                <w:sz w:val="24"/>
                <w:szCs w:val="24"/>
                <w:highlight w:val="none"/>
                <w:lang w:val="en-US" w:eastAsia="zh-CN"/>
              </w:rPr>
              <w:t>工程</w:t>
            </w:r>
            <w:r>
              <w:rPr>
                <w:rFonts w:hint="default" w:ascii="Times New Roman" w:hAnsi="Times New Roman" w:eastAsia="宋体" w:cs="Times New Roman"/>
                <w:snapToGrid w:val="0"/>
                <w:color w:val="auto"/>
                <w:sz w:val="24"/>
                <w:szCs w:val="24"/>
                <w:highlight w:val="none"/>
              </w:rPr>
              <w:t>运营期间原</w:t>
            </w:r>
            <w:r>
              <w:rPr>
                <w:rFonts w:hint="default" w:ascii="Times New Roman" w:hAnsi="Times New Roman" w:eastAsia="宋体" w:cs="Times New Roman"/>
                <w:snapToGrid w:val="0"/>
                <w:color w:val="auto"/>
                <w:sz w:val="24"/>
                <w:szCs w:val="24"/>
                <w:highlight w:val="none"/>
                <w:lang w:eastAsia="zh-CN"/>
              </w:rPr>
              <w:t>辅</w:t>
            </w:r>
            <w:r>
              <w:rPr>
                <w:rFonts w:hint="default" w:ascii="Times New Roman" w:hAnsi="Times New Roman" w:eastAsia="宋体" w:cs="Times New Roman"/>
                <w:snapToGrid w:val="0"/>
                <w:color w:val="auto"/>
                <w:sz w:val="24"/>
                <w:szCs w:val="24"/>
                <w:highlight w:val="none"/>
              </w:rPr>
              <w:t>料</w:t>
            </w:r>
            <w:r>
              <w:rPr>
                <w:rFonts w:hint="default" w:ascii="Times New Roman" w:hAnsi="Times New Roman" w:eastAsia="宋体" w:cs="Times New Roman"/>
                <w:snapToGrid w:val="0"/>
                <w:color w:val="auto"/>
                <w:sz w:val="24"/>
                <w:szCs w:val="24"/>
                <w:highlight w:val="none"/>
                <w:lang w:val="en-US" w:eastAsia="zh-CN"/>
              </w:rPr>
              <w:t>及能源</w:t>
            </w:r>
            <w:r>
              <w:rPr>
                <w:rFonts w:hint="default" w:ascii="Times New Roman" w:hAnsi="Times New Roman" w:eastAsia="宋体" w:cs="Times New Roman"/>
                <w:snapToGrid w:val="0"/>
                <w:color w:val="auto"/>
                <w:sz w:val="24"/>
                <w:szCs w:val="24"/>
                <w:highlight w:val="none"/>
              </w:rPr>
              <w:t>消耗</w:t>
            </w:r>
            <w:r>
              <w:rPr>
                <w:rFonts w:hint="default" w:ascii="Times New Roman" w:hAnsi="Times New Roman" w:eastAsia="宋体" w:cs="Times New Roman"/>
                <w:snapToGrid w:val="0"/>
                <w:color w:val="auto"/>
                <w:sz w:val="24"/>
                <w:szCs w:val="24"/>
                <w:highlight w:val="none"/>
                <w:lang w:val="en-US" w:eastAsia="zh-CN"/>
              </w:rPr>
              <w:t>情况</w:t>
            </w:r>
            <w:r>
              <w:rPr>
                <w:rFonts w:hint="default" w:ascii="Times New Roman" w:hAnsi="Times New Roman" w:eastAsia="宋体" w:cs="Times New Roman"/>
                <w:snapToGrid w:val="0"/>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rPr>
              <w:t>见表</w:t>
            </w:r>
            <w:r>
              <w:rPr>
                <w:rFonts w:hint="default" w:ascii="Times New Roman" w:hAnsi="Times New Roman" w:eastAsia="宋体" w:cs="Times New Roman"/>
                <w:snapToGrid w:val="0"/>
                <w:color w:val="auto"/>
                <w:sz w:val="24"/>
                <w:szCs w:val="24"/>
                <w:highlight w:val="none"/>
                <w:lang w:val="en-US" w:eastAsia="zh-CN"/>
              </w:rPr>
              <w:t>2-8</w:t>
            </w:r>
            <w:r>
              <w:rPr>
                <w:rFonts w:hint="default" w:ascii="Times New Roman" w:hAnsi="Times New Roman" w:eastAsia="宋体" w:cs="Times New Roman"/>
                <w:snapToGrid w:val="0"/>
                <w:color w:val="auto"/>
                <w:sz w:val="24"/>
                <w:szCs w:val="24"/>
                <w:highlight w:val="none"/>
              </w:rPr>
              <w:t>。</w:t>
            </w:r>
          </w:p>
          <w:p w14:paraId="6C7CF60A">
            <w:pPr>
              <w:pStyle w:val="68"/>
              <w:widowControl/>
              <w:adjustRightInd/>
              <w:snapToGrid/>
              <w:spacing w:after="0"/>
              <w:rPr>
                <w:rFonts w:hint="default" w:ascii="Times New Roman" w:hAnsi="Times New Roman" w:eastAsia="宋体" w:cs="Times New Roman"/>
                <w:color w:val="auto"/>
                <w:sz w:val="21"/>
                <w:highlight w:val="none"/>
              </w:rPr>
            </w:pPr>
            <w:r>
              <w:rPr>
                <w:rFonts w:hint="default" w:ascii="Times New Roman" w:hAnsi="Times New Roman" w:eastAsia="宋体" w:cs="Times New Roman"/>
                <w:color w:val="auto"/>
                <w:sz w:val="21"/>
                <w:highlight w:val="none"/>
              </w:rPr>
              <w:t>表</w:t>
            </w:r>
            <w:r>
              <w:rPr>
                <w:rFonts w:hint="default" w:ascii="Times New Roman" w:hAnsi="Times New Roman" w:eastAsia="宋体" w:cs="Times New Roman"/>
                <w:color w:val="auto"/>
                <w:sz w:val="21"/>
                <w:highlight w:val="none"/>
                <w:lang w:val="en-US" w:eastAsia="zh-CN"/>
              </w:rPr>
              <w:t>2-8</w:t>
            </w:r>
            <w:r>
              <w:rPr>
                <w:rFonts w:hint="default" w:ascii="Times New Roman" w:hAnsi="Times New Roman" w:eastAsia="宋体" w:cs="Times New Roman"/>
                <w:color w:val="auto"/>
                <w:sz w:val="21"/>
                <w:highlight w:val="none"/>
              </w:rPr>
              <w:t xml:space="preserve">    原辅材料一览表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6"/>
              <w:gridCol w:w="3021"/>
              <w:gridCol w:w="3012"/>
            </w:tblGrid>
            <w:tr w14:paraId="00622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7" w:type="pct"/>
                  <w:tcBorders>
                    <w:tl2br w:val="nil"/>
                    <w:tr2bl w:val="nil"/>
                  </w:tcBorders>
                  <w:noWrap w:val="0"/>
                  <w:vAlign w:val="center"/>
                </w:tcPr>
                <w:p w14:paraId="3D85B2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序号</w:t>
                  </w:r>
                </w:p>
              </w:tc>
              <w:tc>
                <w:tcPr>
                  <w:tcW w:w="1924" w:type="pct"/>
                  <w:tcBorders>
                    <w:tl2br w:val="nil"/>
                    <w:tr2bl w:val="nil"/>
                  </w:tcBorders>
                  <w:noWrap w:val="0"/>
                  <w:vAlign w:val="center"/>
                </w:tcPr>
                <w:p w14:paraId="77BB46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主要原辅料名称</w:t>
                  </w:r>
                </w:p>
              </w:tc>
              <w:tc>
                <w:tcPr>
                  <w:tcW w:w="1918" w:type="pct"/>
                  <w:tcBorders>
                    <w:tl2br w:val="nil"/>
                    <w:tr2bl w:val="nil"/>
                  </w:tcBorders>
                  <w:noWrap w:val="0"/>
                  <w:vAlign w:val="center"/>
                </w:tcPr>
                <w:p w14:paraId="2F6900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b/>
                      <w:bCs w:val="0"/>
                      <w:color w:val="auto"/>
                      <w:sz w:val="21"/>
                      <w:szCs w:val="21"/>
                      <w:highlight w:val="none"/>
                      <w:vertAlign w:val="baseline"/>
                      <w:lang w:val="en-US" w:eastAsia="zh-CN"/>
                    </w:rPr>
                  </w:pPr>
                  <w:r>
                    <w:rPr>
                      <w:rFonts w:hint="default" w:ascii="Times New Roman" w:hAnsi="Times New Roman" w:cs="Times New Roman"/>
                      <w:b/>
                      <w:bCs w:val="0"/>
                      <w:color w:val="auto"/>
                      <w:sz w:val="21"/>
                      <w:szCs w:val="21"/>
                      <w:highlight w:val="none"/>
                      <w:vertAlign w:val="baseline"/>
                      <w:lang w:val="en-US" w:eastAsia="zh-CN"/>
                    </w:rPr>
                    <w:t>年需要量（吨）</w:t>
                  </w:r>
                </w:p>
              </w:tc>
            </w:tr>
            <w:tr w14:paraId="7F8EC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1157" w:type="pct"/>
                  <w:tcBorders>
                    <w:tl2br w:val="nil"/>
                    <w:tr2bl w:val="nil"/>
                  </w:tcBorders>
                  <w:noWrap w:val="0"/>
                  <w:vAlign w:val="center"/>
                </w:tcPr>
                <w:p w14:paraId="7B2EBD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924" w:type="pct"/>
                  <w:tcBorders>
                    <w:tl2br w:val="nil"/>
                    <w:tr2bl w:val="nil"/>
                  </w:tcBorders>
                  <w:noWrap w:val="0"/>
                  <w:vAlign w:val="center"/>
                </w:tcPr>
                <w:p w14:paraId="2B64DA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PVC树脂</w:t>
                  </w:r>
                </w:p>
              </w:tc>
              <w:tc>
                <w:tcPr>
                  <w:tcW w:w="1918" w:type="pct"/>
                  <w:tcBorders>
                    <w:tl2br w:val="nil"/>
                    <w:tr2bl w:val="nil"/>
                  </w:tcBorders>
                  <w:noWrap w:val="0"/>
                  <w:vAlign w:val="center"/>
                </w:tcPr>
                <w:p w14:paraId="193F9B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1000</w:t>
                  </w:r>
                </w:p>
              </w:tc>
            </w:tr>
            <w:tr w14:paraId="322589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57" w:type="pct"/>
                  <w:tcBorders>
                    <w:tl2br w:val="nil"/>
                    <w:tr2bl w:val="nil"/>
                  </w:tcBorders>
                  <w:noWrap w:val="0"/>
                  <w:vAlign w:val="center"/>
                </w:tcPr>
                <w:p w14:paraId="558411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2</w:t>
                  </w:r>
                </w:p>
              </w:tc>
              <w:tc>
                <w:tcPr>
                  <w:tcW w:w="1924" w:type="pct"/>
                  <w:tcBorders>
                    <w:tl2br w:val="nil"/>
                    <w:tr2bl w:val="nil"/>
                  </w:tcBorders>
                  <w:noWrap w:val="0"/>
                  <w:vAlign w:val="center"/>
                </w:tcPr>
                <w:p w14:paraId="5EFB39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vertAlign w:val="baseline"/>
                      <w:lang w:val="en-US" w:eastAsia="zh-CN"/>
                    </w:rPr>
                    <w:t>PVC树脂辅料（色母）</w:t>
                  </w:r>
                </w:p>
              </w:tc>
              <w:tc>
                <w:tcPr>
                  <w:tcW w:w="1918" w:type="pct"/>
                  <w:tcBorders>
                    <w:tl2br w:val="nil"/>
                    <w:tr2bl w:val="nil"/>
                  </w:tcBorders>
                  <w:noWrap w:val="0"/>
                  <w:vAlign w:val="center"/>
                </w:tcPr>
                <w:p w14:paraId="58E709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14:paraId="4BF70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7" w:type="pct"/>
                  <w:tcBorders>
                    <w:tl2br w:val="nil"/>
                    <w:tr2bl w:val="nil"/>
                  </w:tcBorders>
                  <w:noWrap w:val="0"/>
                  <w:vAlign w:val="center"/>
                </w:tcPr>
                <w:p w14:paraId="28892F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1924" w:type="pct"/>
                  <w:tcBorders>
                    <w:tl2br w:val="nil"/>
                    <w:tr2bl w:val="nil"/>
                  </w:tcBorders>
                  <w:noWrap w:val="0"/>
                  <w:vAlign w:val="center"/>
                </w:tcPr>
                <w:p w14:paraId="6F4876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PE高压线性颗粒料</w:t>
                  </w:r>
                </w:p>
              </w:tc>
              <w:tc>
                <w:tcPr>
                  <w:tcW w:w="1918" w:type="pct"/>
                  <w:tcBorders>
                    <w:tl2br w:val="nil"/>
                    <w:tr2bl w:val="nil"/>
                  </w:tcBorders>
                  <w:noWrap w:val="0"/>
                  <w:vAlign w:val="center"/>
                </w:tcPr>
                <w:p w14:paraId="71BC38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2970</w:t>
                  </w:r>
                </w:p>
              </w:tc>
            </w:tr>
            <w:tr w14:paraId="5EDCD5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7" w:type="pct"/>
                  <w:tcBorders>
                    <w:tl2br w:val="nil"/>
                    <w:tr2bl w:val="nil"/>
                  </w:tcBorders>
                  <w:noWrap w:val="0"/>
                  <w:vAlign w:val="center"/>
                </w:tcPr>
                <w:p w14:paraId="6980EB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1924" w:type="pct"/>
                  <w:tcBorders>
                    <w:tl2br w:val="nil"/>
                    <w:tr2bl w:val="nil"/>
                  </w:tcBorders>
                  <w:noWrap w:val="0"/>
                  <w:vAlign w:val="center"/>
                </w:tcPr>
                <w:p w14:paraId="460432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黑色母粒</w:t>
                  </w:r>
                </w:p>
              </w:tc>
              <w:tc>
                <w:tcPr>
                  <w:tcW w:w="1918" w:type="pct"/>
                  <w:tcBorders>
                    <w:tl2br w:val="nil"/>
                    <w:tr2bl w:val="nil"/>
                  </w:tcBorders>
                  <w:noWrap w:val="0"/>
                  <w:vAlign w:val="center"/>
                </w:tcPr>
                <w:p w14:paraId="2219A1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r>
            <w:tr w14:paraId="7C6E3D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57" w:type="pct"/>
                  <w:tcBorders>
                    <w:tl2br w:val="nil"/>
                    <w:tr2bl w:val="nil"/>
                  </w:tcBorders>
                  <w:noWrap w:val="0"/>
                  <w:vAlign w:val="center"/>
                </w:tcPr>
                <w:p w14:paraId="4FE7B3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1924" w:type="pct"/>
                  <w:tcBorders>
                    <w:tl2br w:val="nil"/>
                    <w:tr2bl w:val="nil"/>
                  </w:tcBorders>
                  <w:noWrap w:val="0"/>
                  <w:vAlign w:val="center"/>
                </w:tcPr>
                <w:p w14:paraId="7912D5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废旧塑料</w:t>
                  </w:r>
                </w:p>
              </w:tc>
              <w:tc>
                <w:tcPr>
                  <w:tcW w:w="1918" w:type="pct"/>
                  <w:tcBorders>
                    <w:tl2br w:val="nil"/>
                    <w:tr2bl w:val="nil"/>
                  </w:tcBorders>
                  <w:noWrap w:val="0"/>
                  <w:vAlign w:val="center"/>
                </w:tcPr>
                <w:p w14:paraId="45910F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5000</w:t>
                  </w:r>
                </w:p>
              </w:tc>
            </w:tr>
          </w:tbl>
          <w:p w14:paraId="20A11968">
            <w:pPr>
              <w:spacing w:line="360" w:lineRule="auto"/>
              <w:jc w:val="left"/>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2.2.4现有工程工艺流程及产排污环节</w:t>
            </w:r>
          </w:p>
          <w:p w14:paraId="1DFD200E">
            <w:pPr>
              <w:widowControl/>
              <w:adjustRightInd/>
              <w:snapToGrid/>
              <w:spacing w:after="0" w:line="360" w:lineRule="auto"/>
              <w:ind w:firstLine="480" w:firstLineChars="200"/>
              <w:rPr>
                <w:rFonts w:hint="default" w:ascii="Times New Roman" w:hAnsi="Times New Roman" w:eastAsia="宋体" w:cs="Times New Roman"/>
                <w:snapToGrid w:val="0"/>
                <w:color w:val="auto"/>
                <w:sz w:val="24"/>
                <w:szCs w:val="24"/>
                <w:highlight w:val="none"/>
              </w:rPr>
            </w:pPr>
            <w:r>
              <w:rPr>
                <w:rFonts w:hint="default" w:ascii="Times New Roman" w:hAnsi="Times New Roman" w:cs="Times New Roman"/>
                <w:snapToGrid w:val="0"/>
                <w:color w:val="auto"/>
                <w:sz w:val="24"/>
                <w:szCs w:val="24"/>
                <w:highlight w:val="none"/>
                <w:lang w:val="en-US" w:eastAsia="zh-CN"/>
              </w:rPr>
              <w:t>现有</w:t>
            </w:r>
            <w:r>
              <w:rPr>
                <w:rFonts w:hint="default" w:ascii="Times New Roman" w:hAnsi="Times New Roman" w:eastAsia="宋体" w:cs="Times New Roman"/>
                <w:snapToGrid w:val="0"/>
                <w:color w:val="auto"/>
                <w:sz w:val="24"/>
                <w:szCs w:val="24"/>
                <w:highlight w:val="none"/>
                <w:lang w:val="en-US" w:eastAsia="zh-CN"/>
              </w:rPr>
              <w:t>工程</w:t>
            </w:r>
            <w:r>
              <w:rPr>
                <w:rFonts w:hint="default" w:ascii="Times New Roman" w:hAnsi="Times New Roman" w:eastAsia="宋体" w:cs="Times New Roman"/>
                <w:snapToGrid w:val="0"/>
                <w:color w:val="auto"/>
                <w:sz w:val="24"/>
                <w:szCs w:val="24"/>
                <w:highlight w:val="none"/>
                <w:lang w:eastAsia="zh-CN"/>
              </w:rPr>
              <w:t>实际</w:t>
            </w:r>
            <w:r>
              <w:rPr>
                <w:rFonts w:hint="default" w:ascii="Times New Roman" w:hAnsi="Times New Roman" w:eastAsia="宋体" w:cs="Times New Roman"/>
                <w:snapToGrid w:val="0"/>
                <w:color w:val="auto"/>
                <w:sz w:val="24"/>
                <w:szCs w:val="24"/>
                <w:highlight w:val="none"/>
              </w:rPr>
              <w:t>运营后</w:t>
            </w:r>
            <w:r>
              <w:rPr>
                <w:rFonts w:hint="default" w:ascii="Times New Roman" w:hAnsi="Times New Roman" w:eastAsia="宋体" w:cs="Times New Roman"/>
                <w:snapToGrid w:val="0"/>
                <w:color w:val="auto"/>
                <w:sz w:val="24"/>
                <w:szCs w:val="24"/>
                <w:highlight w:val="none"/>
                <w:lang w:eastAsia="zh-CN"/>
              </w:rPr>
              <w:t>生产工艺与环评</w:t>
            </w:r>
            <w:r>
              <w:rPr>
                <w:rFonts w:hint="default" w:ascii="Times New Roman" w:hAnsi="Times New Roman" w:eastAsia="宋体" w:cs="Times New Roman"/>
                <w:snapToGrid w:val="0"/>
                <w:color w:val="auto"/>
                <w:sz w:val="24"/>
                <w:szCs w:val="24"/>
                <w:highlight w:val="none"/>
                <w:lang w:val="en-US" w:eastAsia="zh-CN"/>
              </w:rPr>
              <w:t>批复</w:t>
            </w:r>
            <w:r>
              <w:rPr>
                <w:rFonts w:hint="default" w:ascii="Times New Roman" w:hAnsi="Times New Roman" w:eastAsia="宋体" w:cs="Times New Roman"/>
                <w:snapToGrid w:val="0"/>
                <w:color w:val="auto"/>
                <w:sz w:val="24"/>
                <w:szCs w:val="24"/>
                <w:highlight w:val="none"/>
                <w:lang w:eastAsia="zh-CN"/>
              </w:rPr>
              <w:t>中一致，工艺</w:t>
            </w:r>
            <w:r>
              <w:rPr>
                <w:rFonts w:hint="default" w:ascii="Times New Roman" w:hAnsi="Times New Roman" w:eastAsia="宋体" w:cs="Times New Roman"/>
                <w:snapToGrid w:val="0"/>
                <w:color w:val="auto"/>
                <w:sz w:val="24"/>
                <w:szCs w:val="24"/>
                <w:highlight w:val="none"/>
              </w:rPr>
              <w:t>主要产污流程见图</w:t>
            </w:r>
            <w:r>
              <w:rPr>
                <w:rFonts w:hint="default" w:ascii="Times New Roman" w:hAnsi="Times New Roman" w:eastAsia="宋体" w:cs="Times New Roman"/>
                <w:snapToGrid w:val="0"/>
                <w:color w:val="auto"/>
                <w:sz w:val="24"/>
                <w:szCs w:val="24"/>
                <w:highlight w:val="none"/>
                <w:lang w:val="en-US" w:eastAsia="zh-CN"/>
              </w:rPr>
              <w:t>2-3</w:t>
            </w:r>
            <w:r>
              <w:rPr>
                <w:rFonts w:hint="default" w:ascii="Times New Roman" w:hAnsi="Times New Roman" w:eastAsia="宋体" w:cs="Times New Roman"/>
                <w:snapToGrid w:val="0"/>
                <w:color w:val="auto"/>
                <w:sz w:val="24"/>
                <w:szCs w:val="24"/>
                <w:highlight w:val="none"/>
                <w:lang w:eastAsia="zh-CN"/>
              </w:rPr>
              <w:t>、</w:t>
            </w:r>
            <w:r>
              <w:rPr>
                <w:rFonts w:hint="default" w:ascii="Times New Roman" w:hAnsi="Times New Roman" w:eastAsia="宋体" w:cs="Times New Roman"/>
                <w:snapToGrid w:val="0"/>
                <w:color w:val="auto"/>
                <w:sz w:val="24"/>
                <w:szCs w:val="24"/>
                <w:highlight w:val="none"/>
                <w:lang w:val="en-US" w:eastAsia="zh-CN"/>
              </w:rPr>
              <w:t>2-4</w:t>
            </w:r>
            <w:r>
              <w:rPr>
                <w:rFonts w:hint="default" w:ascii="Times New Roman" w:hAnsi="Times New Roman" w:eastAsia="宋体" w:cs="Times New Roman"/>
                <w:snapToGrid w:val="0"/>
                <w:color w:val="auto"/>
                <w:sz w:val="24"/>
                <w:szCs w:val="24"/>
                <w:highlight w:val="none"/>
              </w:rPr>
              <w:t>。</w:t>
            </w:r>
          </w:p>
          <w:p w14:paraId="568D8FAA">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PVC管生产工艺</w:t>
            </w:r>
          </w:p>
          <w:p w14:paraId="5B255ADE">
            <w:pPr>
              <w:keepNext w:val="0"/>
              <w:keepLines w:val="0"/>
              <w:pageBreakBefore w:val="0"/>
              <w:widowControl w:val="0"/>
              <w:kinsoku/>
              <w:wordWrap/>
              <w:overflowPunct/>
              <w:topLinePunct w:val="0"/>
              <w:bidi w:val="0"/>
              <w:spacing w:line="360" w:lineRule="auto"/>
              <w:ind w:left="0" w:leftChars="0" w:firstLine="0" w:firstLineChars="0"/>
              <w:jc w:val="center"/>
              <w:textAlignment w:val="auto"/>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drawing>
                <wp:inline distT="0" distB="0" distL="114300" distR="114300">
                  <wp:extent cx="4848860" cy="1513840"/>
                  <wp:effectExtent l="0" t="0" r="8890" b="10160"/>
                  <wp:docPr id="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
                          <pic:cNvPicPr>
                            <a:picLocks noChangeAspect="1"/>
                          </pic:cNvPicPr>
                        </pic:nvPicPr>
                        <pic:blipFill>
                          <a:blip r:embed="rId11"/>
                          <a:stretch>
                            <a:fillRect/>
                          </a:stretch>
                        </pic:blipFill>
                        <pic:spPr>
                          <a:xfrm>
                            <a:off x="0" y="0"/>
                            <a:ext cx="4848860" cy="1513840"/>
                          </a:xfrm>
                          <a:prstGeom prst="rect">
                            <a:avLst/>
                          </a:prstGeom>
                          <a:noFill/>
                          <a:ln>
                            <a:noFill/>
                          </a:ln>
                        </pic:spPr>
                      </pic:pic>
                    </a:graphicData>
                  </a:graphic>
                </wp:inline>
              </w:drawing>
            </w:r>
          </w:p>
          <w:p w14:paraId="18B5CE0B">
            <w:pPr>
              <w:keepNext w:val="0"/>
              <w:keepLines w:val="0"/>
              <w:pageBreakBefore w:val="0"/>
              <w:widowControl w:val="0"/>
              <w:kinsoku/>
              <w:wordWrap/>
              <w:overflowPunct/>
              <w:topLinePunct w:val="0"/>
              <w:bidi w:val="0"/>
              <w:spacing w:line="360" w:lineRule="auto"/>
              <w:ind w:firstLine="422" w:firstLineChars="200"/>
              <w:jc w:val="center"/>
              <w:textAlignment w:val="auto"/>
              <w:rPr>
                <w:rFonts w:hint="default" w:ascii="Times New Roman" w:hAnsi="Times New Roman" w:cs="Times New Roman"/>
                <w:color w:val="auto"/>
                <w:highlight w:val="none"/>
              </w:rPr>
            </w:pPr>
            <w:r>
              <w:rPr>
                <w:rFonts w:hint="default" w:ascii="Times New Roman" w:hAnsi="Times New Roman" w:eastAsia="宋体" w:cs="Times New Roman"/>
                <w:b/>
                <w:bCs/>
                <w:snapToGrid w:val="0"/>
                <w:color w:val="auto"/>
                <w:sz w:val="21"/>
                <w:szCs w:val="21"/>
                <w:highlight w:val="none"/>
                <w:lang w:val="en-US" w:eastAsia="zh-CN" w:bidi="ar-SA"/>
              </w:rPr>
              <w:t>图</w:t>
            </w:r>
            <w:r>
              <w:rPr>
                <w:rFonts w:hint="eastAsia" w:ascii="Times New Roman" w:hAnsi="Times New Roman" w:cs="Times New Roman"/>
                <w:b/>
                <w:bCs/>
                <w:snapToGrid w:val="0"/>
                <w:color w:val="auto"/>
                <w:sz w:val="21"/>
                <w:szCs w:val="21"/>
                <w:highlight w:val="none"/>
                <w:lang w:val="en-US" w:eastAsia="zh-CN" w:bidi="ar-SA"/>
              </w:rPr>
              <w:t>2-2</w:t>
            </w:r>
            <w:r>
              <w:rPr>
                <w:rFonts w:hint="default" w:ascii="Times New Roman" w:hAnsi="Times New Roman" w:eastAsia="宋体" w:cs="Times New Roman"/>
                <w:b/>
                <w:bCs/>
                <w:snapToGrid w:val="0"/>
                <w:color w:val="auto"/>
                <w:sz w:val="21"/>
                <w:szCs w:val="21"/>
                <w:highlight w:val="none"/>
                <w:lang w:val="en-US" w:eastAsia="zh-CN" w:bidi="ar-SA"/>
              </w:rPr>
              <w:t xml:space="preserve">   PVC管生产工艺流程</w:t>
            </w:r>
          </w:p>
          <w:p w14:paraId="5701D272">
            <w:pPr>
              <w:pStyle w:val="46"/>
              <w:numPr>
                <w:ilvl w:val="0"/>
                <w:numId w:val="0"/>
              </w:numPr>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商品聚氯乙烯树脂和母料按比例配料，经过混合后的原料到融化区，经220℃</w:t>
            </w:r>
            <w:r>
              <w:rPr>
                <w:rFonts w:hint="default" w:ascii="Times New Roman" w:hAnsi="Times New Roman" w:cs="Times New Roman"/>
                <w:bCs/>
                <w:color w:val="auto"/>
                <w:sz w:val="24"/>
                <w:szCs w:val="24"/>
                <w:highlight w:val="none"/>
                <w:lang w:val="en-US" w:eastAsia="zh-CN"/>
              </w:rPr>
              <w:t>熔化</w:t>
            </w:r>
            <w:r>
              <w:rPr>
                <w:rFonts w:hint="default" w:ascii="Times New Roman" w:hAnsi="Times New Roman" w:eastAsia="宋体" w:cs="Times New Roman"/>
                <w:bCs/>
                <w:color w:val="auto"/>
                <w:sz w:val="24"/>
                <w:szCs w:val="24"/>
                <w:highlight w:val="none"/>
                <w:lang w:val="en-US" w:eastAsia="zh-CN"/>
              </w:rPr>
              <w:t>后的物料到挤出区在模具的作用下挤出，通过循环冷却水冷却定型，成型后即得到产品。</w:t>
            </w:r>
          </w:p>
          <w:p w14:paraId="4CEEAA9C">
            <w:pPr>
              <w:pStyle w:val="46"/>
              <w:numPr>
                <w:ilvl w:val="0"/>
                <w:numId w:val="0"/>
              </w:numPr>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（2）农膜生产工艺</w:t>
            </w:r>
          </w:p>
          <w:p w14:paraId="4EB12E15">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color w:val="auto"/>
                <w:highlight w:val="none"/>
              </w:rPr>
              <w:drawing>
                <wp:inline distT="0" distB="0" distL="114300" distR="114300">
                  <wp:extent cx="4909185" cy="1767205"/>
                  <wp:effectExtent l="9525" t="9525" r="15240" b="1397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pic:cNvPicPr>
                        </pic:nvPicPr>
                        <pic:blipFill>
                          <a:blip r:embed="rId12"/>
                          <a:stretch>
                            <a:fillRect/>
                          </a:stretch>
                        </pic:blipFill>
                        <pic:spPr>
                          <a:xfrm>
                            <a:off x="0" y="0"/>
                            <a:ext cx="4909185" cy="1767205"/>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3B8D0F9D">
            <w:pPr>
              <w:pStyle w:val="31"/>
              <w:jc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snapToGrid w:val="0"/>
                <w:color w:val="auto"/>
                <w:sz w:val="21"/>
                <w:szCs w:val="21"/>
                <w:highlight w:val="none"/>
                <w:lang w:val="en-US" w:eastAsia="zh-CN" w:bidi="ar-SA"/>
              </w:rPr>
              <w:t>图</w:t>
            </w:r>
            <w:r>
              <w:rPr>
                <w:rFonts w:hint="eastAsia" w:cs="Times New Roman"/>
                <w:b/>
                <w:bCs/>
                <w:snapToGrid w:val="0"/>
                <w:color w:val="auto"/>
                <w:sz w:val="21"/>
                <w:szCs w:val="21"/>
                <w:highlight w:val="none"/>
                <w:lang w:val="en-US" w:eastAsia="zh-CN" w:bidi="ar-SA"/>
              </w:rPr>
              <w:t>2-3</w:t>
            </w:r>
            <w:r>
              <w:rPr>
                <w:rFonts w:hint="default" w:ascii="Times New Roman" w:hAnsi="Times New Roman" w:eastAsia="宋体" w:cs="Times New Roman"/>
                <w:b/>
                <w:bCs/>
                <w:snapToGrid w:val="0"/>
                <w:color w:val="auto"/>
                <w:sz w:val="21"/>
                <w:szCs w:val="21"/>
                <w:highlight w:val="none"/>
                <w:lang w:val="en-US" w:eastAsia="zh-CN" w:bidi="ar-SA"/>
              </w:rPr>
              <w:t xml:space="preserve">   农用地膜生产工艺流程</w:t>
            </w:r>
          </w:p>
          <w:p w14:paraId="3B3B665E">
            <w:pPr>
              <w:pStyle w:val="46"/>
              <w:numPr>
                <w:ilvl w:val="0"/>
                <w:numId w:val="0"/>
              </w:numPr>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（3）PE管生产工艺</w:t>
            </w:r>
          </w:p>
          <w:p w14:paraId="53F495A1">
            <w:pPr>
              <w:pStyle w:val="46"/>
              <w:numPr>
                <w:ilvl w:val="0"/>
                <w:numId w:val="0"/>
              </w:numPr>
              <w:ind w:firstLine="480" w:firstLineChars="200"/>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把聚乙烯树脂和母料按比例配料，经过混合后的原料到融化区，经220℃融化后的物料到吹塑区进行吹塑，吹制成所需宽度和厚度的地膜，再牵引切割收卷后包装成成品，经检验合格的产品入库。</w:t>
            </w:r>
          </w:p>
          <w:p w14:paraId="3AAEE1D8">
            <w:pPr>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color w:val="auto"/>
                <w:highlight w:val="none"/>
              </w:rPr>
              <w:drawing>
                <wp:inline distT="0" distB="0" distL="114300" distR="114300">
                  <wp:extent cx="4772025" cy="1701800"/>
                  <wp:effectExtent l="9525" t="9525" r="19050" b="2222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13"/>
                          <a:stretch>
                            <a:fillRect/>
                          </a:stretch>
                        </pic:blipFill>
                        <pic:spPr>
                          <a:xfrm>
                            <a:off x="0" y="0"/>
                            <a:ext cx="4772025" cy="1701800"/>
                          </a:xfrm>
                          <a:prstGeom prst="rect">
                            <a:avLst/>
                          </a:prstGeom>
                          <a:noFill/>
                          <a:ln w="9525" cap="flat" cmpd="sng">
                            <a:solidFill>
                              <a:srgbClr val="000000"/>
                            </a:solidFill>
                            <a:prstDash val="solid"/>
                            <a:miter/>
                            <a:headEnd type="none" w="med" len="med"/>
                            <a:tailEnd type="none" w="med" len="med"/>
                          </a:ln>
                        </pic:spPr>
                      </pic:pic>
                    </a:graphicData>
                  </a:graphic>
                </wp:inline>
              </w:drawing>
            </w:r>
          </w:p>
          <w:p w14:paraId="5C2C30B1">
            <w:pPr>
              <w:pStyle w:val="31"/>
              <w:jc w:val="center"/>
              <w:rPr>
                <w:rFonts w:hint="default" w:ascii="Times New Roman" w:hAnsi="Times New Roman" w:eastAsia="宋体" w:cs="Times New Roman"/>
                <w:b/>
                <w:bCs/>
                <w:snapToGrid w:val="0"/>
                <w:color w:val="auto"/>
                <w:sz w:val="21"/>
                <w:szCs w:val="21"/>
                <w:highlight w:val="none"/>
                <w:lang w:val="en-US" w:eastAsia="zh-CN" w:bidi="ar-SA"/>
              </w:rPr>
            </w:pPr>
            <w:r>
              <w:rPr>
                <w:rFonts w:hint="default" w:ascii="Times New Roman" w:hAnsi="Times New Roman" w:eastAsia="宋体" w:cs="Times New Roman"/>
                <w:b/>
                <w:bCs/>
                <w:snapToGrid w:val="0"/>
                <w:color w:val="auto"/>
                <w:sz w:val="21"/>
                <w:szCs w:val="21"/>
                <w:highlight w:val="none"/>
                <w:lang w:val="en-US" w:eastAsia="zh-CN" w:bidi="ar-SA"/>
              </w:rPr>
              <w:t>图</w:t>
            </w:r>
            <w:r>
              <w:rPr>
                <w:rFonts w:hint="eastAsia" w:cs="Times New Roman"/>
                <w:b/>
                <w:bCs/>
                <w:snapToGrid w:val="0"/>
                <w:color w:val="auto"/>
                <w:sz w:val="21"/>
                <w:szCs w:val="21"/>
                <w:highlight w:val="none"/>
                <w:lang w:val="en-US" w:eastAsia="zh-CN" w:bidi="ar-SA"/>
              </w:rPr>
              <w:t>2-4</w:t>
            </w:r>
            <w:r>
              <w:rPr>
                <w:rFonts w:hint="default" w:ascii="Times New Roman" w:hAnsi="Times New Roman" w:eastAsia="宋体" w:cs="Times New Roman"/>
                <w:b/>
                <w:bCs/>
                <w:snapToGrid w:val="0"/>
                <w:color w:val="auto"/>
                <w:sz w:val="21"/>
                <w:szCs w:val="21"/>
                <w:highlight w:val="none"/>
                <w:lang w:val="en-US" w:eastAsia="zh-CN" w:bidi="ar-SA"/>
              </w:rPr>
              <w:t xml:space="preserve">   PE管生产工艺流程</w:t>
            </w:r>
          </w:p>
          <w:p w14:paraId="495F6345">
            <w:pPr>
              <w:pStyle w:val="46"/>
              <w:numPr>
                <w:ilvl w:val="0"/>
                <w:numId w:val="0"/>
              </w:numPr>
              <w:ind w:firstLine="480" w:firstLineChars="200"/>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原料经过严格检验合格后，原辅料严格按比例称量、配料，投入高速混合机中进行搅拌捏合，物料在高速搅拌过程中被混合均匀，升温到160℃后，送到搅拌机继续升温至175℃为二级温区，三级温区为185℃-195℃，四级温区为200℃塑化，再到五级温区210℃时换网过滤，后又逐步至机头六级温区180℃挤出成型，七级冷却170℃定型，八级温区165℃定型成品后，成为成品。</w:t>
            </w:r>
          </w:p>
          <w:p w14:paraId="6123B265">
            <w:pPr>
              <w:keepNext w:val="0"/>
              <w:keepLines w:val="0"/>
              <w:pageBreakBefore w:val="0"/>
              <w:widowControl w:val="0"/>
              <w:kinsoku/>
              <w:wordWrap/>
              <w:overflowPunct/>
              <w:topLinePunct w:val="0"/>
              <w:autoSpaceDE/>
              <w:autoSpaceDN/>
              <w:bidi w:val="0"/>
              <w:adjustRightInd/>
              <w:snapToGrid w:val="0"/>
              <w:spacing w:after="0" w:line="360" w:lineRule="auto"/>
              <w:ind w:left="0" w:right="0" w:firstLine="482"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w:t>
            </w:r>
            <w:r>
              <w:rPr>
                <w:rFonts w:hint="default" w:ascii="Times New Roman" w:hAnsi="Times New Roman" w:cs="Times New Roman"/>
                <w:b/>
                <w:bCs/>
                <w:color w:val="auto"/>
                <w:kern w:val="2"/>
                <w:sz w:val="24"/>
                <w:szCs w:val="24"/>
                <w:highlight w:val="none"/>
                <w:lang w:val="en-US" w:eastAsia="zh-CN" w:bidi="ar-SA"/>
              </w:rPr>
              <w:t>4</w:t>
            </w:r>
            <w:r>
              <w:rPr>
                <w:rFonts w:hint="default" w:ascii="Times New Roman" w:hAnsi="Times New Roman" w:eastAsia="宋体" w:cs="Times New Roman"/>
                <w:b/>
                <w:bCs/>
                <w:color w:val="auto"/>
                <w:kern w:val="2"/>
                <w:sz w:val="24"/>
                <w:szCs w:val="24"/>
                <w:highlight w:val="none"/>
                <w:lang w:val="en-US" w:eastAsia="zh-CN" w:bidi="ar-SA"/>
              </w:rPr>
              <w:t>）废塑料再生造粒工艺及产排污环节</w:t>
            </w:r>
          </w:p>
          <w:p w14:paraId="42D9A0D4">
            <w:pPr>
              <w:widowControl w:val="0"/>
              <w:adjustRightInd/>
              <w:snapToGrid w:val="0"/>
              <w:spacing w:after="0" w:line="360" w:lineRule="auto"/>
              <w:jc w:val="center"/>
              <w:rPr>
                <w:rFonts w:hint="default" w:ascii="Times New Roman" w:hAnsi="Times New Roman" w:eastAsia="宋体" w:cs="Times New Roman"/>
                <w:color w:val="auto"/>
                <w:kern w:val="2"/>
                <w:sz w:val="24"/>
                <w:szCs w:val="24"/>
                <w:highlight w:val="none"/>
                <w:lang w:val="en-US" w:eastAsia="zh-CN"/>
              </w:rPr>
            </w:pPr>
            <w:r>
              <w:rPr>
                <w:rFonts w:hint="default" w:ascii="Times New Roman" w:hAnsi="Times New Roman" w:cs="Times New Roman"/>
                <w:color w:val="auto"/>
                <w:highlight w:val="none"/>
              </w:rPr>
              <w:drawing>
                <wp:inline distT="0" distB="0" distL="114300" distR="114300">
                  <wp:extent cx="4831080" cy="3159125"/>
                  <wp:effectExtent l="0" t="0" r="7620" b="3175"/>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14"/>
                          <a:stretch>
                            <a:fillRect/>
                          </a:stretch>
                        </pic:blipFill>
                        <pic:spPr>
                          <a:xfrm>
                            <a:off x="0" y="0"/>
                            <a:ext cx="4831080" cy="3159125"/>
                          </a:xfrm>
                          <a:prstGeom prst="rect">
                            <a:avLst/>
                          </a:prstGeom>
                          <a:noFill/>
                          <a:ln>
                            <a:noFill/>
                          </a:ln>
                        </pic:spPr>
                      </pic:pic>
                    </a:graphicData>
                  </a:graphic>
                </wp:inline>
              </w:drawing>
            </w:r>
          </w:p>
          <w:p w14:paraId="34ED4A3D">
            <w:pPr>
              <w:widowControl w:val="0"/>
              <w:adjustRightInd/>
              <w:snapToGrid w:val="0"/>
              <w:spacing w:after="0" w:line="360" w:lineRule="auto"/>
              <w:jc w:val="center"/>
              <w:rPr>
                <w:rFonts w:hint="default" w:ascii="Times New Roman" w:hAnsi="Times New Roman" w:eastAsia="宋体" w:cs="Times New Roman"/>
                <w:b/>
                <w:bCs/>
                <w:color w:val="auto"/>
                <w:kern w:val="2"/>
                <w:sz w:val="24"/>
                <w:szCs w:val="24"/>
                <w:highlight w:val="none"/>
              </w:rPr>
            </w:pPr>
            <w:r>
              <w:rPr>
                <w:rFonts w:hint="default" w:ascii="Times New Roman" w:hAnsi="Times New Roman" w:eastAsia="宋体" w:cs="Times New Roman"/>
                <w:b/>
                <w:bCs/>
                <w:color w:val="auto"/>
                <w:kern w:val="2"/>
                <w:sz w:val="24"/>
                <w:szCs w:val="24"/>
                <w:highlight w:val="none"/>
              </w:rPr>
              <w:t>图</w:t>
            </w:r>
            <w:r>
              <w:rPr>
                <w:rFonts w:hint="default" w:ascii="Times New Roman" w:hAnsi="Times New Roman" w:eastAsia="宋体" w:cs="Times New Roman"/>
                <w:b/>
                <w:bCs/>
                <w:color w:val="auto"/>
                <w:kern w:val="2"/>
                <w:sz w:val="24"/>
                <w:szCs w:val="24"/>
                <w:highlight w:val="none"/>
                <w:lang w:val="en-US" w:eastAsia="zh-CN"/>
              </w:rPr>
              <w:t>2-</w:t>
            </w:r>
            <w:r>
              <w:rPr>
                <w:rFonts w:hint="default" w:ascii="Times New Roman" w:hAnsi="Times New Roman" w:cs="Times New Roman"/>
                <w:b/>
                <w:bCs/>
                <w:color w:val="auto"/>
                <w:kern w:val="2"/>
                <w:sz w:val="24"/>
                <w:szCs w:val="24"/>
                <w:highlight w:val="none"/>
                <w:lang w:val="en-US" w:eastAsia="zh-CN"/>
              </w:rPr>
              <w:t>5</w:t>
            </w:r>
            <w:r>
              <w:rPr>
                <w:rFonts w:hint="default" w:ascii="Times New Roman" w:hAnsi="Times New Roman" w:eastAsia="宋体" w:cs="Times New Roman"/>
                <w:b/>
                <w:bCs/>
                <w:color w:val="auto"/>
                <w:kern w:val="2"/>
                <w:sz w:val="24"/>
                <w:szCs w:val="24"/>
                <w:highlight w:val="none"/>
              </w:rPr>
              <w:t xml:space="preserve">  </w:t>
            </w:r>
            <w:r>
              <w:rPr>
                <w:rFonts w:hint="default" w:ascii="Times New Roman" w:hAnsi="Times New Roman" w:eastAsia="宋体" w:cs="Times New Roman"/>
                <w:b/>
                <w:bCs/>
                <w:color w:val="auto"/>
                <w:kern w:val="2"/>
                <w:sz w:val="24"/>
                <w:szCs w:val="24"/>
                <w:highlight w:val="none"/>
                <w:lang w:val="en-US" w:eastAsia="zh-CN"/>
              </w:rPr>
              <w:t>废塑料再生造粒</w:t>
            </w:r>
            <w:r>
              <w:rPr>
                <w:rFonts w:hint="default" w:ascii="Times New Roman" w:hAnsi="Times New Roman" w:eastAsia="宋体" w:cs="Times New Roman"/>
                <w:b/>
                <w:bCs/>
                <w:color w:val="auto"/>
                <w:kern w:val="2"/>
                <w:sz w:val="24"/>
                <w:szCs w:val="24"/>
                <w:highlight w:val="none"/>
              </w:rPr>
              <w:t>生产工艺流程及产污环节图</w:t>
            </w:r>
          </w:p>
          <w:p w14:paraId="6C90302C">
            <w:pPr>
              <w:pStyle w:val="63"/>
              <w:keepNext w:val="0"/>
              <w:keepLines w:val="0"/>
              <w:pageBreakBefore w:val="0"/>
              <w:widowControl w:val="0"/>
              <w:kinsoku/>
              <w:wordWrap/>
              <w:overflowPunct/>
              <w:topLinePunct w:val="0"/>
              <w:autoSpaceDE/>
              <w:autoSpaceDN/>
              <w:bidi w:val="0"/>
              <w:adjustRightInd/>
              <w:spacing w:line="360" w:lineRule="auto"/>
              <w:ind w:right="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生产工艺流程简述：</w:t>
            </w:r>
          </w:p>
          <w:p w14:paraId="6CAD8B8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①分拣</w:t>
            </w:r>
          </w:p>
          <w:p w14:paraId="1DD9202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对回收的废旧滴灌带进行人工挑拣，将其中杂物（主要为石块、土块、作物残渣等）清理出来，以方便后续加工。分拣工序主要产生分拣废物。</w:t>
            </w:r>
          </w:p>
          <w:p w14:paraId="124ECAC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②破碎</w:t>
            </w:r>
          </w:p>
          <w:p w14:paraId="603B906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利用破碎机将废塑料破碎成1~2cm的碎片，破碎机顶部设置雾化喷嘴，破碎的同时进行喷淋降尘，可有效减少破碎粉尘的产生，破碎废水进入沉淀池澄清回用。破碎工序主要产生粉尘、废水及噪声。</w:t>
            </w:r>
          </w:p>
          <w:p w14:paraId="2334AB0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③清洗</w:t>
            </w:r>
          </w:p>
          <w:p w14:paraId="59F5C0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破碎后的废塑料送至清洗水池进行清洗，清洗的目的是去除废塑料表面附着的杂质（主要为泥沙等）。本项目废塑料清洗工序不使用任何清洗剂。清洗后的废塑料进入造粒工序。清洗工序主要产生废水、噪声，清洗废水经沉淀池沉淀处理后回用，不外排</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沉淀池产生的污染物为泥沙，生产季结束后清掏，自然干化，干化后用于项目区周边农田配土。</w:t>
            </w:r>
          </w:p>
          <w:p w14:paraId="13647A4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kern w:val="0"/>
                <w:sz w:val="24"/>
                <w:szCs w:val="24"/>
                <w:highlight w:val="none"/>
                <w:lang w:val="en-US" w:eastAsia="zh-CN" w:bidi="ar"/>
              </w:rPr>
              <w:t>④熔融、挤出、切粒</w:t>
            </w:r>
          </w:p>
          <w:p w14:paraId="2ADAD80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造粒机由挤出机、水槽、切粒机组成，塑料的挤出成型就是塑料在挤出机中，在一定的温度（180-200℃左右）下熔融塑料，并连续通过有固定截面的模型，得到具有特定断面形状连续型材的加工方法，塑料在料筒中借助料筒外部的加热和螺杆转动的剪切挤压作用而熔融，同时熔体在压力的推动下被连续挤出，被挤出的型材失去塑性变为条状，再经过冷却水槽冷却，以免发生变形。</w:t>
            </w:r>
          </w:p>
          <w:p w14:paraId="277E7C2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最后进入切粒机切成圆柱状颗粒。再生塑料颗粒的粒径在0.7-1.5mm范围内，用编织袋进行包装待用。在生产过程中采用节能电磁感应加热技术进行加热塑化，成型后的产品采用水作为冷却剂进行冷却。</w:t>
            </w:r>
          </w:p>
          <w:p w14:paraId="64CB9C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现有项目产排污环节一览表见表2-</w:t>
            </w:r>
            <w:r>
              <w:rPr>
                <w:rFonts w:hint="eastAsia" w:ascii="Times New Roman" w:hAnsi="Times New Roman" w:cs="Times New Roman"/>
                <w:color w:val="auto"/>
                <w:kern w:val="0"/>
                <w:sz w:val="24"/>
                <w:szCs w:val="24"/>
                <w:highlight w:val="none"/>
                <w:lang w:val="en-US" w:eastAsia="zh-CN" w:bidi="ar"/>
              </w:rPr>
              <w:t>9</w:t>
            </w:r>
            <w:r>
              <w:rPr>
                <w:rFonts w:hint="default" w:ascii="Times New Roman" w:hAnsi="Times New Roman" w:cs="Times New Roman"/>
                <w:color w:val="auto"/>
                <w:kern w:val="0"/>
                <w:sz w:val="24"/>
                <w:szCs w:val="24"/>
                <w:highlight w:val="none"/>
                <w:lang w:val="en-US" w:eastAsia="zh-CN" w:bidi="ar"/>
              </w:rPr>
              <w:t>。</w:t>
            </w:r>
          </w:p>
          <w:p w14:paraId="48E69858">
            <w:pPr>
              <w:keepNext w:val="0"/>
              <w:keepLines w:val="0"/>
              <w:widowControl/>
              <w:suppressLineNumbers w:val="0"/>
              <w:jc w:val="center"/>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表2-</w:t>
            </w:r>
            <w:r>
              <w:rPr>
                <w:rFonts w:hint="eastAsia" w:ascii="Times New Roman" w:hAnsi="Times New Roman" w:cs="Times New Roman"/>
                <w:b/>
                <w:bCs/>
                <w:color w:val="auto"/>
                <w:highlight w:val="none"/>
                <w:lang w:val="en-US" w:eastAsia="zh-CN"/>
              </w:rPr>
              <w:t>9</w:t>
            </w:r>
            <w:r>
              <w:rPr>
                <w:rFonts w:hint="default" w:ascii="Times New Roman" w:hAnsi="Times New Roman" w:cs="Times New Roman"/>
                <w:b/>
                <w:bCs/>
                <w:color w:val="auto"/>
                <w:highlight w:val="none"/>
                <w:lang w:val="en-US" w:eastAsia="zh-CN"/>
              </w:rPr>
              <w:t xml:space="preserve">   现有项目产排污环节一览表</w:t>
            </w:r>
          </w:p>
          <w:tbl>
            <w:tblPr>
              <w:tblStyle w:val="54"/>
              <w:tblW w:w="49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84"/>
              <w:gridCol w:w="2510"/>
              <w:gridCol w:w="2303"/>
              <w:gridCol w:w="2276"/>
            </w:tblGrid>
            <w:tr w14:paraId="67AFD7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tcBorders>
                    <w:bottom w:val="single" w:color="000000" w:sz="12" w:space="0"/>
                  </w:tcBorders>
                  <w:vAlign w:val="center"/>
                </w:tcPr>
                <w:p w14:paraId="36202929">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3"/>
                      <w:sz w:val="21"/>
                      <w:szCs w:val="21"/>
                      <w:highlight w:val="none"/>
                    </w:rPr>
                    <w:t>项目</w:t>
                  </w:r>
                </w:p>
              </w:tc>
              <w:tc>
                <w:tcPr>
                  <w:tcW w:w="2510" w:type="dxa"/>
                  <w:tcBorders>
                    <w:bottom w:val="single" w:color="000000" w:sz="12" w:space="0"/>
                  </w:tcBorders>
                  <w:vAlign w:val="center"/>
                </w:tcPr>
                <w:p w14:paraId="1BF6AD2C">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7"/>
                      <w:sz w:val="21"/>
                      <w:szCs w:val="21"/>
                      <w:highlight w:val="none"/>
                    </w:rPr>
                    <w:t>产污环节</w:t>
                  </w:r>
                </w:p>
              </w:tc>
              <w:tc>
                <w:tcPr>
                  <w:tcW w:w="2303" w:type="dxa"/>
                  <w:tcBorders>
                    <w:bottom w:val="single" w:color="000000" w:sz="12" w:space="0"/>
                  </w:tcBorders>
                  <w:vAlign w:val="center"/>
                </w:tcPr>
                <w:p w14:paraId="631746FE">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6"/>
                      <w:sz w:val="21"/>
                      <w:szCs w:val="21"/>
                      <w:highlight w:val="none"/>
                    </w:rPr>
                    <w:t>污染物</w:t>
                  </w:r>
                </w:p>
              </w:tc>
              <w:tc>
                <w:tcPr>
                  <w:tcW w:w="2276" w:type="dxa"/>
                  <w:tcBorders>
                    <w:bottom w:val="single" w:color="000000" w:sz="12" w:space="0"/>
                  </w:tcBorders>
                  <w:vAlign w:val="center"/>
                </w:tcPr>
                <w:p w14:paraId="364573BC">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pacing w:val="7"/>
                      <w:sz w:val="21"/>
                      <w:szCs w:val="21"/>
                      <w:highlight w:val="none"/>
                    </w:rPr>
                    <w:t>污染物成分</w:t>
                  </w:r>
                </w:p>
              </w:tc>
            </w:tr>
            <w:tr w14:paraId="6C2D5B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restart"/>
                  <w:tcBorders>
                    <w:top w:val="single" w:color="000000" w:sz="12" w:space="0"/>
                    <w:tl2br w:val="nil"/>
                    <w:tr2bl w:val="nil"/>
                  </w:tcBorders>
                  <w:vAlign w:val="center"/>
                </w:tcPr>
                <w:p w14:paraId="5CFA39E5">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废气</w:t>
                  </w:r>
                </w:p>
              </w:tc>
              <w:tc>
                <w:tcPr>
                  <w:tcW w:w="2510" w:type="dxa"/>
                  <w:tcBorders>
                    <w:top w:val="single" w:color="000000" w:sz="12" w:space="0"/>
                    <w:tl2br w:val="nil"/>
                    <w:tr2bl w:val="nil"/>
                  </w:tcBorders>
                  <w:vAlign w:val="center"/>
                </w:tcPr>
                <w:p w14:paraId="5C8BDC3E">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lang w:val="en-US" w:eastAsia="zh-CN"/>
                    </w:rPr>
                    <w:t>PVC管生产</w:t>
                  </w:r>
                </w:p>
              </w:tc>
              <w:tc>
                <w:tcPr>
                  <w:tcW w:w="2303" w:type="dxa"/>
                  <w:vMerge w:val="restart"/>
                  <w:tcBorders>
                    <w:top w:val="single" w:color="000000" w:sz="12" w:space="0"/>
                    <w:tl2br w:val="nil"/>
                    <w:tr2bl w:val="nil"/>
                  </w:tcBorders>
                  <w:vAlign w:val="center"/>
                </w:tcPr>
                <w:p w14:paraId="3980FC42">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8"/>
                      <w:sz w:val="21"/>
                      <w:szCs w:val="21"/>
                      <w:highlight w:val="none"/>
                      <w:lang w:eastAsia="zh-CN"/>
                    </w:rPr>
                    <w:t>VOCs（以非甲烷总烃计）</w:t>
                  </w:r>
                  <w:r>
                    <w:rPr>
                      <w:rFonts w:hint="default" w:ascii="Times New Roman" w:hAnsi="Times New Roman" w:cs="Times New Roman"/>
                      <w:color w:val="auto"/>
                      <w:spacing w:val="8"/>
                      <w:sz w:val="21"/>
                      <w:szCs w:val="21"/>
                      <w:highlight w:val="none"/>
                    </w:rPr>
                    <w:t>、臭气</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lang w:val="en-US" w:eastAsia="zh-CN"/>
                    </w:rPr>
                    <w:t>颗粒物</w:t>
                  </w:r>
                </w:p>
              </w:tc>
              <w:tc>
                <w:tcPr>
                  <w:tcW w:w="2276" w:type="dxa"/>
                  <w:vMerge w:val="restart"/>
                  <w:tcBorders>
                    <w:top w:val="single" w:color="000000" w:sz="12" w:space="0"/>
                    <w:tl2br w:val="nil"/>
                    <w:tr2bl w:val="nil"/>
                  </w:tcBorders>
                  <w:vAlign w:val="center"/>
                </w:tcPr>
                <w:p w14:paraId="7832AA7D">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8"/>
                      <w:sz w:val="21"/>
                      <w:szCs w:val="21"/>
                      <w:highlight w:val="none"/>
                    </w:rPr>
                    <w:t>非甲烷总烃、臭气</w:t>
                  </w:r>
                  <w:r>
                    <w:rPr>
                      <w:rFonts w:hint="default" w:ascii="Times New Roman" w:hAnsi="Times New Roman" w:eastAsia="宋体" w:cs="Times New Roman"/>
                      <w:color w:val="auto"/>
                      <w:spacing w:val="8"/>
                      <w:sz w:val="21"/>
                      <w:szCs w:val="21"/>
                      <w:highlight w:val="none"/>
                      <w:lang w:eastAsia="zh-CN"/>
                    </w:rPr>
                    <w:t>、</w:t>
                  </w:r>
                  <w:r>
                    <w:rPr>
                      <w:rFonts w:hint="default" w:ascii="Times New Roman" w:hAnsi="Times New Roman" w:eastAsia="宋体" w:cs="Times New Roman"/>
                      <w:color w:val="auto"/>
                      <w:spacing w:val="8"/>
                      <w:sz w:val="21"/>
                      <w:szCs w:val="21"/>
                      <w:highlight w:val="none"/>
                      <w:lang w:val="en-US" w:eastAsia="zh-CN"/>
                    </w:rPr>
                    <w:t>颗粒物</w:t>
                  </w:r>
                </w:p>
              </w:tc>
            </w:tr>
            <w:tr w14:paraId="132773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4C5B9F4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tcBorders>
                    <w:tl2br w:val="nil"/>
                    <w:tr2bl w:val="nil"/>
                  </w:tcBorders>
                  <w:vAlign w:val="center"/>
                </w:tcPr>
                <w:p w14:paraId="04F71FB7">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lang w:val="en-US" w:eastAsia="zh-CN"/>
                    </w:rPr>
                    <w:t>农膜生产</w:t>
                  </w:r>
                </w:p>
              </w:tc>
              <w:tc>
                <w:tcPr>
                  <w:tcW w:w="2303" w:type="dxa"/>
                  <w:vMerge w:val="continue"/>
                  <w:tcBorders>
                    <w:tl2br w:val="nil"/>
                    <w:tr2bl w:val="nil"/>
                  </w:tcBorders>
                  <w:vAlign w:val="center"/>
                </w:tcPr>
                <w:p w14:paraId="164BC5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276" w:type="dxa"/>
                  <w:vMerge w:val="continue"/>
                  <w:tcBorders>
                    <w:tl2br w:val="nil"/>
                    <w:tr2bl w:val="nil"/>
                  </w:tcBorders>
                  <w:vAlign w:val="center"/>
                </w:tcPr>
                <w:p w14:paraId="6B8445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r>
            <w:tr w14:paraId="5C268D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4587186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tcBorders>
                    <w:tl2br w:val="nil"/>
                    <w:tr2bl w:val="nil"/>
                  </w:tcBorders>
                  <w:vAlign w:val="center"/>
                </w:tcPr>
                <w:p w14:paraId="520D33C5">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lang w:val="en-US" w:eastAsia="zh-CN"/>
                    </w:rPr>
                    <w:t>PE管生产</w:t>
                  </w:r>
                </w:p>
              </w:tc>
              <w:tc>
                <w:tcPr>
                  <w:tcW w:w="2303" w:type="dxa"/>
                  <w:vMerge w:val="continue"/>
                  <w:tcBorders>
                    <w:tl2br w:val="nil"/>
                    <w:tr2bl w:val="nil"/>
                  </w:tcBorders>
                  <w:vAlign w:val="center"/>
                </w:tcPr>
                <w:p w14:paraId="4170E3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276" w:type="dxa"/>
                  <w:vMerge w:val="continue"/>
                  <w:tcBorders>
                    <w:tl2br w:val="nil"/>
                    <w:tr2bl w:val="nil"/>
                  </w:tcBorders>
                  <w:vAlign w:val="center"/>
                </w:tcPr>
                <w:p w14:paraId="224D769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r>
            <w:tr w14:paraId="6AD63F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76880F7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tcBorders>
                    <w:tl2br w:val="nil"/>
                    <w:tr2bl w:val="nil"/>
                  </w:tcBorders>
                  <w:vAlign w:val="center"/>
                </w:tcPr>
                <w:p w14:paraId="01EA968B">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废塑料再生造粒</w:t>
                  </w:r>
                </w:p>
              </w:tc>
              <w:tc>
                <w:tcPr>
                  <w:tcW w:w="2303" w:type="dxa"/>
                  <w:vMerge w:val="continue"/>
                  <w:tcBorders>
                    <w:tl2br w:val="nil"/>
                    <w:tr2bl w:val="nil"/>
                  </w:tcBorders>
                  <w:vAlign w:val="center"/>
                </w:tcPr>
                <w:p w14:paraId="08FA45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276" w:type="dxa"/>
                  <w:vMerge w:val="continue"/>
                  <w:tcBorders>
                    <w:tl2br w:val="nil"/>
                    <w:tr2bl w:val="nil"/>
                  </w:tcBorders>
                  <w:vAlign w:val="center"/>
                </w:tcPr>
                <w:p w14:paraId="1650949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r>
            <w:tr w14:paraId="755A00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tcBorders>
                    <w:tl2br w:val="nil"/>
                    <w:tr2bl w:val="nil"/>
                  </w:tcBorders>
                  <w:vAlign w:val="center"/>
                </w:tcPr>
                <w:p w14:paraId="25A72E36">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5"/>
                      <w:sz w:val="21"/>
                      <w:szCs w:val="21"/>
                      <w:highlight w:val="none"/>
                    </w:rPr>
                    <w:t>废水</w:t>
                  </w:r>
                </w:p>
              </w:tc>
              <w:tc>
                <w:tcPr>
                  <w:tcW w:w="2510" w:type="dxa"/>
                  <w:tcBorders>
                    <w:tl2br w:val="nil"/>
                    <w:tr2bl w:val="nil"/>
                  </w:tcBorders>
                  <w:vAlign w:val="center"/>
                </w:tcPr>
                <w:p w14:paraId="67235655">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职工生活</w:t>
                  </w:r>
                </w:p>
              </w:tc>
              <w:tc>
                <w:tcPr>
                  <w:tcW w:w="2303" w:type="dxa"/>
                  <w:tcBorders>
                    <w:tl2br w:val="nil"/>
                    <w:tr2bl w:val="nil"/>
                  </w:tcBorders>
                  <w:vAlign w:val="center"/>
                </w:tcPr>
                <w:p w14:paraId="12E565DE">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生活污水</w:t>
                  </w:r>
                </w:p>
              </w:tc>
              <w:tc>
                <w:tcPr>
                  <w:tcW w:w="2276" w:type="dxa"/>
                  <w:tcBorders>
                    <w:tl2br w:val="nil"/>
                    <w:tr2bl w:val="nil"/>
                  </w:tcBorders>
                  <w:vAlign w:val="center"/>
                </w:tcPr>
                <w:p w14:paraId="508B9FEF">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COD</w:t>
                  </w:r>
                  <w:r>
                    <w:rPr>
                      <w:rFonts w:hint="default" w:ascii="Times New Roman" w:hAnsi="Times New Roman" w:cs="Times New Roman"/>
                      <w:color w:val="auto"/>
                      <w:sz w:val="21"/>
                      <w:szCs w:val="21"/>
                      <w:highlight w:val="none"/>
                    </w:rPr>
                    <w:t>、</w:t>
                  </w:r>
                  <w:r>
                    <w:rPr>
                      <w:rFonts w:hint="default" w:ascii="Times New Roman" w:hAnsi="Times New Roman" w:eastAsia="Times New Roman" w:cs="Times New Roman"/>
                      <w:color w:val="auto"/>
                      <w:sz w:val="21"/>
                      <w:szCs w:val="21"/>
                      <w:highlight w:val="none"/>
                    </w:rPr>
                    <w:t>BOD</w:t>
                  </w:r>
                  <w:r>
                    <w:rPr>
                      <w:rFonts w:hint="default" w:ascii="Times New Roman" w:hAnsi="Times New Roman" w:eastAsia="Times New Roman" w:cs="Times New Roman"/>
                      <w:color w:val="auto"/>
                      <w:sz w:val="21"/>
                      <w:szCs w:val="21"/>
                      <w:highlight w:val="none"/>
                      <w:vertAlign w:val="subscript"/>
                    </w:rPr>
                    <w:t>5</w:t>
                  </w:r>
                  <w:r>
                    <w:rPr>
                      <w:rFonts w:hint="default" w:ascii="Times New Roman" w:hAnsi="Times New Roman" w:cs="Times New Roman"/>
                      <w:color w:val="auto"/>
                      <w:sz w:val="21"/>
                      <w:szCs w:val="21"/>
                      <w:highlight w:val="none"/>
                    </w:rPr>
                    <w:t>、氨氮、</w:t>
                  </w:r>
                  <w:r>
                    <w:rPr>
                      <w:rFonts w:hint="default" w:ascii="Times New Roman" w:hAnsi="Times New Roman" w:eastAsia="Times New Roman" w:cs="Times New Roman"/>
                      <w:color w:val="auto"/>
                      <w:sz w:val="21"/>
                      <w:szCs w:val="21"/>
                      <w:highlight w:val="none"/>
                    </w:rPr>
                    <w:t>SS</w:t>
                  </w:r>
                  <w:r>
                    <w:rPr>
                      <w:rFonts w:hint="default" w:ascii="Times New Roman" w:hAnsi="Times New Roman" w:cs="Times New Roman"/>
                      <w:color w:val="auto"/>
                      <w:sz w:val="21"/>
                      <w:szCs w:val="21"/>
                      <w:highlight w:val="none"/>
                    </w:rPr>
                    <w:t>、</w:t>
                  </w:r>
                  <w:r>
                    <w:rPr>
                      <w:rFonts w:hint="default" w:ascii="Times New Roman" w:hAnsi="Times New Roman" w:cs="Times New Roman"/>
                      <w:color w:val="auto"/>
                      <w:spacing w:val="8"/>
                      <w:sz w:val="21"/>
                      <w:szCs w:val="21"/>
                      <w:highlight w:val="none"/>
                    </w:rPr>
                    <w:t>动植物油、阴离子、粪大</w:t>
                  </w:r>
                  <w:r>
                    <w:rPr>
                      <w:rFonts w:hint="default" w:ascii="Times New Roman" w:hAnsi="Times New Roman" w:cs="Times New Roman"/>
                      <w:color w:val="auto"/>
                      <w:spacing w:val="7"/>
                      <w:sz w:val="21"/>
                      <w:szCs w:val="21"/>
                      <w:highlight w:val="none"/>
                    </w:rPr>
                    <w:t>肠杆菌等</w:t>
                  </w:r>
                </w:p>
              </w:tc>
            </w:tr>
            <w:tr w14:paraId="3ADD57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tcBorders>
                    <w:tl2br w:val="nil"/>
                    <w:tr2bl w:val="nil"/>
                  </w:tcBorders>
                  <w:vAlign w:val="center"/>
                </w:tcPr>
                <w:p w14:paraId="5FDD98D2">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1"/>
                      <w:sz w:val="21"/>
                      <w:szCs w:val="21"/>
                      <w:highlight w:val="none"/>
                    </w:rPr>
                    <w:t>噪声</w:t>
                  </w:r>
                </w:p>
              </w:tc>
              <w:tc>
                <w:tcPr>
                  <w:tcW w:w="2510" w:type="dxa"/>
                  <w:tcBorders>
                    <w:tl2br w:val="nil"/>
                    <w:tr2bl w:val="nil"/>
                  </w:tcBorders>
                  <w:vAlign w:val="center"/>
                </w:tcPr>
                <w:p w14:paraId="03CBA05D">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生产过程</w:t>
                  </w:r>
                </w:p>
              </w:tc>
              <w:tc>
                <w:tcPr>
                  <w:tcW w:w="2303" w:type="dxa"/>
                  <w:tcBorders>
                    <w:tl2br w:val="nil"/>
                    <w:tr2bl w:val="nil"/>
                  </w:tcBorders>
                  <w:vAlign w:val="center"/>
                </w:tcPr>
                <w:p w14:paraId="6E47E781">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设备噪声</w:t>
                  </w:r>
                </w:p>
              </w:tc>
              <w:tc>
                <w:tcPr>
                  <w:tcW w:w="2276" w:type="dxa"/>
                  <w:tcBorders>
                    <w:tl2br w:val="nil"/>
                    <w:tr2bl w:val="nil"/>
                  </w:tcBorders>
                  <w:vAlign w:val="center"/>
                </w:tcPr>
                <w:p w14:paraId="15C8A1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LAeq</w:t>
                  </w:r>
                </w:p>
              </w:tc>
            </w:tr>
            <w:tr w14:paraId="1CECB9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restart"/>
                  <w:tcBorders>
                    <w:tl2br w:val="nil"/>
                    <w:tr2bl w:val="nil"/>
                  </w:tcBorders>
                  <w:vAlign w:val="center"/>
                </w:tcPr>
                <w:p w14:paraId="1AA21F03">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一般固体废</w:t>
                  </w:r>
                  <w:r>
                    <w:rPr>
                      <w:rFonts w:hint="default" w:ascii="Times New Roman" w:hAnsi="Times New Roman" w:cs="Times New Roman"/>
                      <w:color w:val="auto"/>
                      <w:sz w:val="21"/>
                      <w:szCs w:val="21"/>
                      <w:highlight w:val="none"/>
                    </w:rPr>
                    <w:t>物</w:t>
                  </w:r>
                </w:p>
              </w:tc>
              <w:tc>
                <w:tcPr>
                  <w:tcW w:w="2510" w:type="dxa"/>
                  <w:vMerge w:val="restart"/>
                  <w:tcBorders>
                    <w:tl2br w:val="nil"/>
                    <w:tr2bl w:val="nil"/>
                  </w:tcBorders>
                  <w:vAlign w:val="center"/>
                </w:tcPr>
                <w:p w14:paraId="6488C935">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生产过程</w:t>
                  </w:r>
                </w:p>
              </w:tc>
              <w:tc>
                <w:tcPr>
                  <w:tcW w:w="2303" w:type="dxa"/>
                  <w:tcBorders>
                    <w:tl2br w:val="nil"/>
                    <w:tr2bl w:val="nil"/>
                  </w:tcBorders>
                  <w:vAlign w:val="center"/>
                </w:tcPr>
                <w:p w14:paraId="25D1CED1">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材料包装袋</w:t>
                  </w:r>
                </w:p>
              </w:tc>
              <w:tc>
                <w:tcPr>
                  <w:tcW w:w="2276" w:type="dxa"/>
                  <w:tcBorders>
                    <w:tl2br w:val="nil"/>
                    <w:tr2bl w:val="nil"/>
                  </w:tcBorders>
                  <w:vAlign w:val="center"/>
                </w:tcPr>
                <w:p w14:paraId="48B55963">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8"/>
                      <w:sz w:val="21"/>
                      <w:szCs w:val="21"/>
                      <w:highlight w:val="none"/>
                      <w:lang w:eastAsia="zh-CN"/>
                    </w:rPr>
                    <w:t>废包装袋</w:t>
                  </w:r>
                </w:p>
              </w:tc>
            </w:tr>
            <w:tr w14:paraId="13B52A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4A7EFD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vMerge w:val="continue"/>
                  <w:tcBorders>
                    <w:tl2br w:val="nil"/>
                    <w:tr2bl w:val="nil"/>
                  </w:tcBorders>
                  <w:vAlign w:val="center"/>
                </w:tcPr>
                <w:p w14:paraId="2E47C532">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303" w:type="dxa"/>
                  <w:tcBorders>
                    <w:tl2br w:val="nil"/>
                    <w:tr2bl w:val="nil"/>
                  </w:tcBorders>
                  <w:vAlign w:val="center"/>
                </w:tcPr>
                <w:p w14:paraId="27F75F29">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不合格产品及边角料</w:t>
                  </w:r>
                </w:p>
              </w:tc>
              <w:tc>
                <w:tcPr>
                  <w:tcW w:w="2276" w:type="dxa"/>
                  <w:tcBorders>
                    <w:tl2br w:val="nil"/>
                    <w:tr2bl w:val="nil"/>
                  </w:tcBorders>
                  <w:vAlign w:val="center"/>
                </w:tcPr>
                <w:p w14:paraId="4BD9E48A">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不合格产品及边角料</w:t>
                  </w:r>
                </w:p>
              </w:tc>
            </w:tr>
            <w:tr w14:paraId="2B371F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164EE81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vMerge w:val="continue"/>
                  <w:tcBorders>
                    <w:tl2br w:val="nil"/>
                    <w:tr2bl w:val="nil"/>
                  </w:tcBorders>
                  <w:vAlign w:val="center"/>
                </w:tcPr>
                <w:p w14:paraId="260DE5EB">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pacing w:val="6"/>
                      <w:sz w:val="21"/>
                      <w:szCs w:val="21"/>
                      <w:highlight w:val="none"/>
                    </w:rPr>
                  </w:pPr>
                </w:p>
              </w:tc>
              <w:tc>
                <w:tcPr>
                  <w:tcW w:w="2303" w:type="dxa"/>
                  <w:tcBorders>
                    <w:tl2br w:val="nil"/>
                    <w:tr2bl w:val="nil"/>
                  </w:tcBorders>
                  <w:vAlign w:val="center"/>
                </w:tcPr>
                <w:p w14:paraId="7A6588A3">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泥土、杂质</w:t>
                  </w:r>
                </w:p>
              </w:tc>
              <w:tc>
                <w:tcPr>
                  <w:tcW w:w="2276" w:type="dxa"/>
                  <w:tcBorders>
                    <w:tl2br w:val="nil"/>
                    <w:tr2bl w:val="nil"/>
                  </w:tcBorders>
                  <w:vAlign w:val="center"/>
                </w:tcPr>
                <w:p w14:paraId="024076D9">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lang w:val="en-US" w:eastAsia="zh-CN"/>
                    </w:rPr>
                    <w:t>泥土、杂质</w:t>
                  </w:r>
                </w:p>
              </w:tc>
            </w:tr>
            <w:tr w14:paraId="5950D7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4FD246A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vMerge w:val="continue"/>
                  <w:tcBorders>
                    <w:tl2br w:val="nil"/>
                    <w:tr2bl w:val="nil"/>
                  </w:tcBorders>
                  <w:vAlign w:val="center"/>
                </w:tcPr>
                <w:p w14:paraId="6567DD3D">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pacing w:val="6"/>
                      <w:sz w:val="21"/>
                      <w:szCs w:val="21"/>
                      <w:highlight w:val="none"/>
                    </w:rPr>
                  </w:pPr>
                </w:p>
              </w:tc>
              <w:tc>
                <w:tcPr>
                  <w:tcW w:w="2303" w:type="dxa"/>
                  <w:tcBorders>
                    <w:tl2br w:val="nil"/>
                    <w:tr2bl w:val="nil"/>
                  </w:tcBorders>
                  <w:vAlign w:val="center"/>
                </w:tcPr>
                <w:p w14:paraId="53B1469B">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底泥</w:t>
                  </w:r>
                </w:p>
              </w:tc>
              <w:tc>
                <w:tcPr>
                  <w:tcW w:w="2276" w:type="dxa"/>
                  <w:tcBorders>
                    <w:tl2br w:val="nil"/>
                    <w:tr2bl w:val="nil"/>
                  </w:tcBorders>
                  <w:vAlign w:val="center"/>
                </w:tcPr>
                <w:p w14:paraId="1FD5606C">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lang w:val="en-US" w:eastAsia="zh-CN"/>
                    </w:rPr>
                    <w:t>底泥</w:t>
                  </w:r>
                </w:p>
              </w:tc>
            </w:tr>
            <w:tr w14:paraId="1F911E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0DC663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vMerge w:val="continue"/>
                  <w:tcBorders>
                    <w:tl2br w:val="nil"/>
                    <w:tr2bl w:val="nil"/>
                  </w:tcBorders>
                  <w:vAlign w:val="center"/>
                </w:tcPr>
                <w:p w14:paraId="53632B0E">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pacing w:val="6"/>
                      <w:sz w:val="21"/>
                      <w:szCs w:val="21"/>
                      <w:highlight w:val="none"/>
                    </w:rPr>
                  </w:pPr>
                </w:p>
              </w:tc>
              <w:tc>
                <w:tcPr>
                  <w:tcW w:w="2303" w:type="dxa"/>
                  <w:tcBorders>
                    <w:tl2br w:val="nil"/>
                    <w:tr2bl w:val="nil"/>
                  </w:tcBorders>
                  <w:vAlign w:val="center"/>
                </w:tcPr>
                <w:p w14:paraId="2E93E73F">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废丝网</w:t>
                  </w:r>
                </w:p>
              </w:tc>
              <w:tc>
                <w:tcPr>
                  <w:tcW w:w="2276" w:type="dxa"/>
                  <w:tcBorders>
                    <w:tl2br w:val="nil"/>
                    <w:tr2bl w:val="nil"/>
                  </w:tcBorders>
                  <w:vAlign w:val="center"/>
                </w:tcPr>
                <w:p w14:paraId="6962768D">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lang w:val="en-US" w:eastAsia="zh-CN"/>
                    </w:rPr>
                    <w:t>废丝网</w:t>
                  </w:r>
                </w:p>
              </w:tc>
            </w:tr>
            <w:tr w14:paraId="3CE7BA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5343A0A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vMerge w:val="continue"/>
                  <w:tcBorders>
                    <w:tl2br w:val="nil"/>
                    <w:tr2bl w:val="nil"/>
                  </w:tcBorders>
                  <w:vAlign w:val="center"/>
                </w:tcPr>
                <w:p w14:paraId="519E0341">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pacing w:val="6"/>
                      <w:sz w:val="21"/>
                      <w:szCs w:val="21"/>
                      <w:highlight w:val="none"/>
                    </w:rPr>
                  </w:pPr>
                </w:p>
              </w:tc>
              <w:tc>
                <w:tcPr>
                  <w:tcW w:w="2303" w:type="dxa"/>
                  <w:tcBorders>
                    <w:tl2br w:val="nil"/>
                    <w:tr2bl w:val="nil"/>
                  </w:tcBorders>
                  <w:vAlign w:val="center"/>
                </w:tcPr>
                <w:p w14:paraId="4C301775">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生活垃圾</w:t>
                  </w:r>
                </w:p>
              </w:tc>
              <w:tc>
                <w:tcPr>
                  <w:tcW w:w="2276" w:type="dxa"/>
                  <w:tcBorders>
                    <w:tl2br w:val="nil"/>
                    <w:tr2bl w:val="nil"/>
                  </w:tcBorders>
                  <w:vAlign w:val="center"/>
                </w:tcPr>
                <w:p w14:paraId="2BF630B3">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lang w:val="en-US" w:eastAsia="zh-CN"/>
                    </w:rPr>
                    <w:t>生活垃圾</w:t>
                  </w:r>
                </w:p>
              </w:tc>
            </w:tr>
            <w:tr w14:paraId="228122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restart"/>
                  <w:tcBorders>
                    <w:tl2br w:val="nil"/>
                    <w:tr2bl w:val="nil"/>
                  </w:tcBorders>
                  <w:vAlign w:val="center"/>
                </w:tcPr>
                <w:p w14:paraId="64D22D5A">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危险废物</w:t>
                  </w:r>
                </w:p>
              </w:tc>
              <w:tc>
                <w:tcPr>
                  <w:tcW w:w="2510" w:type="dxa"/>
                  <w:vMerge w:val="restart"/>
                  <w:tcBorders>
                    <w:tl2br w:val="nil"/>
                    <w:tr2bl w:val="nil"/>
                  </w:tcBorders>
                  <w:vAlign w:val="center"/>
                </w:tcPr>
                <w:p w14:paraId="2BF7D6DE">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废气处理</w:t>
                  </w:r>
                </w:p>
              </w:tc>
              <w:tc>
                <w:tcPr>
                  <w:tcW w:w="2303" w:type="dxa"/>
                  <w:tcBorders>
                    <w:tl2br w:val="nil"/>
                    <w:tr2bl w:val="nil"/>
                  </w:tcBorders>
                  <w:vAlign w:val="center"/>
                </w:tcPr>
                <w:p w14:paraId="6FDE5F65">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eastAsia="宋体" w:cs="Times New Roman"/>
                      <w:color w:val="auto"/>
                      <w:spacing w:val="8"/>
                      <w:sz w:val="21"/>
                      <w:szCs w:val="21"/>
                      <w:highlight w:val="none"/>
                      <w:lang w:val="en-US" w:eastAsia="zh-CN"/>
                    </w:rPr>
                  </w:pPr>
                  <w:r>
                    <w:rPr>
                      <w:rFonts w:hint="default" w:ascii="Times New Roman" w:hAnsi="Times New Roman" w:cs="Times New Roman"/>
                      <w:color w:val="auto"/>
                      <w:spacing w:val="8"/>
                      <w:sz w:val="21"/>
                      <w:szCs w:val="21"/>
                      <w:highlight w:val="none"/>
                      <w:lang w:val="en-US" w:eastAsia="zh-CN"/>
                    </w:rPr>
                    <w:t>废弃紫外线灯管</w:t>
                  </w:r>
                </w:p>
              </w:tc>
              <w:tc>
                <w:tcPr>
                  <w:tcW w:w="2276" w:type="dxa"/>
                  <w:tcBorders>
                    <w:tl2br w:val="nil"/>
                    <w:tr2bl w:val="nil"/>
                  </w:tcBorders>
                  <w:vAlign w:val="center"/>
                </w:tcPr>
                <w:p w14:paraId="4F21F622">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jc w:val="center"/>
                    <w:textAlignment w:val="baseline"/>
                    <w:rPr>
                      <w:rFonts w:hint="default" w:ascii="Times New Roman" w:hAnsi="Times New Roman" w:cs="Times New Roman"/>
                      <w:color w:val="auto"/>
                      <w:spacing w:val="8"/>
                      <w:sz w:val="21"/>
                      <w:szCs w:val="21"/>
                      <w:highlight w:val="none"/>
                    </w:rPr>
                  </w:pPr>
                  <w:r>
                    <w:rPr>
                      <w:rFonts w:hint="default" w:ascii="Times New Roman" w:hAnsi="Times New Roman" w:cs="Times New Roman"/>
                      <w:color w:val="auto"/>
                      <w:spacing w:val="8"/>
                      <w:sz w:val="21"/>
                      <w:szCs w:val="21"/>
                      <w:highlight w:val="none"/>
                      <w:lang w:val="en-US" w:eastAsia="zh-CN"/>
                    </w:rPr>
                    <w:t>废弃紫外线灯管</w:t>
                  </w:r>
                </w:p>
              </w:tc>
            </w:tr>
            <w:tr w14:paraId="08E7C6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3D726584">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vMerge w:val="continue"/>
                  <w:tcBorders>
                    <w:tl2br w:val="nil"/>
                    <w:tr2bl w:val="nil"/>
                  </w:tcBorders>
                  <w:vAlign w:val="center"/>
                </w:tcPr>
                <w:p w14:paraId="4DA9DF51">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303" w:type="dxa"/>
                  <w:tcBorders>
                    <w:tl2br w:val="nil"/>
                    <w:tr2bl w:val="nil"/>
                  </w:tcBorders>
                  <w:vAlign w:val="center"/>
                </w:tcPr>
                <w:p w14:paraId="35291A27">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废活性炭</w:t>
                  </w:r>
                </w:p>
              </w:tc>
              <w:tc>
                <w:tcPr>
                  <w:tcW w:w="2276" w:type="dxa"/>
                  <w:tcBorders>
                    <w:tl2br w:val="nil"/>
                    <w:tr2bl w:val="nil"/>
                  </w:tcBorders>
                  <w:vAlign w:val="center"/>
                </w:tcPr>
                <w:p w14:paraId="669F45A9">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有机物</w:t>
                  </w:r>
                </w:p>
              </w:tc>
            </w:tr>
            <w:tr w14:paraId="036B29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062111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vMerge w:val="restart"/>
                  <w:tcBorders>
                    <w:tl2br w:val="nil"/>
                    <w:tr2bl w:val="nil"/>
                  </w:tcBorders>
                  <w:vAlign w:val="center"/>
                </w:tcPr>
                <w:p w14:paraId="66C715CA">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设备维护</w:t>
                  </w:r>
                </w:p>
              </w:tc>
              <w:tc>
                <w:tcPr>
                  <w:tcW w:w="2303" w:type="dxa"/>
                  <w:tcBorders>
                    <w:tl2br w:val="nil"/>
                    <w:tr2bl w:val="nil"/>
                  </w:tcBorders>
                  <w:vAlign w:val="center"/>
                </w:tcPr>
                <w:p w14:paraId="7D269F3D">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7"/>
                      <w:sz w:val="21"/>
                      <w:szCs w:val="21"/>
                      <w:highlight w:val="none"/>
                    </w:rPr>
                    <w:t>废机油</w:t>
                  </w:r>
                </w:p>
              </w:tc>
              <w:tc>
                <w:tcPr>
                  <w:tcW w:w="2276" w:type="dxa"/>
                  <w:tcBorders>
                    <w:tl2br w:val="nil"/>
                    <w:tr2bl w:val="nil"/>
                  </w:tcBorders>
                  <w:vAlign w:val="center"/>
                </w:tcPr>
                <w:p w14:paraId="132A74C8">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有机物、重金属</w:t>
                  </w:r>
                </w:p>
              </w:tc>
            </w:tr>
            <w:tr w14:paraId="0FEAD6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4" w:type="dxa"/>
                  <w:vMerge w:val="continue"/>
                  <w:tcBorders>
                    <w:tl2br w:val="nil"/>
                    <w:tr2bl w:val="nil"/>
                  </w:tcBorders>
                  <w:vAlign w:val="center"/>
                </w:tcPr>
                <w:p w14:paraId="3269964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510" w:type="dxa"/>
                  <w:vMerge w:val="continue"/>
                  <w:tcBorders>
                    <w:tl2br w:val="nil"/>
                    <w:tr2bl w:val="nil"/>
                  </w:tcBorders>
                  <w:vAlign w:val="center"/>
                </w:tcPr>
                <w:p w14:paraId="61714732">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p>
              </w:tc>
              <w:tc>
                <w:tcPr>
                  <w:tcW w:w="2303" w:type="dxa"/>
                  <w:tcBorders>
                    <w:tl2br w:val="nil"/>
                    <w:tr2bl w:val="nil"/>
                  </w:tcBorders>
                  <w:vAlign w:val="center"/>
                </w:tcPr>
                <w:p w14:paraId="2A821645">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8"/>
                      <w:sz w:val="21"/>
                      <w:szCs w:val="21"/>
                      <w:highlight w:val="none"/>
                    </w:rPr>
                    <w:t>含油抹布及手套</w:t>
                  </w:r>
                </w:p>
              </w:tc>
              <w:tc>
                <w:tcPr>
                  <w:tcW w:w="2276" w:type="dxa"/>
                  <w:tcBorders>
                    <w:tl2br w:val="nil"/>
                    <w:tr2bl w:val="nil"/>
                  </w:tcBorders>
                  <w:vAlign w:val="center"/>
                </w:tcPr>
                <w:p w14:paraId="4FC648E9">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pacing w:val="6"/>
                      <w:sz w:val="21"/>
                      <w:szCs w:val="21"/>
                      <w:highlight w:val="none"/>
                    </w:rPr>
                    <w:t>有机物</w:t>
                  </w:r>
                </w:p>
              </w:tc>
            </w:tr>
          </w:tbl>
          <w:p w14:paraId="27363A58">
            <w:pPr>
              <w:widowControl w:val="0"/>
              <w:adjustRightInd/>
              <w:snapToGrid w:val="0"/>
              <w:spacing w:after="0" w:line="360" w:lineRule="auto"/>
              <w:jc w:val="both"/>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2.2.5</w:t>
            </w:r>
            <w:r>
              <w:rPr>
                <w:rFonts w:hint="default" w:ascii="Times New Roman" w:hAnsi="Times New Roman" w:cs="Times New Roman"/>
                <w:b/>
                <w:color w:val="auto"/>
                <w:sz w:val="24"/>
                <w:szCs w:val="24"/>
                <w:highlight w:val="none"/>
                <w:lang w:val="en-US" w:eastAsia="zh-CN"/>
              </w:rPr>
              <w:t>现有</w:t>
            </w:r>
            <w:r>
              <w:rPr>
                <w:rFonts w:hint="default" w:ascii="Times New Roman" w:hAnsi="Times New Roman" w:eastAsia="宋体" w:cs="Times New Roman"/>
                <w:b/>
                <w:color w:val="auto"/>
                <w:sz w:val="24"/>
                <w:szCs w:val="24"/>
                <w:highlight w:val="none"/>
                <w:lang w:val="en-US" w:eastAsia="zh-CN"/>
              </w:rPr>
              <w:t>工程污染防治措施</w:t>
            </w:r>
          </w:p>
          <w:p w14:paraId="743E7838">
            <w:pPr>
              <w:adjustRightInd/>
              <w:snapToGrid/>
              <w:spacing w:after="0" w:line="360" w:lineRule="auto"/>
              <w:ind w:firstLine="482" w:firstLineChars="200"/>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rPr>
              <w:t>（1）</w:t>
            </w:r>
            <w:r>
              <w:rPr>
                <w:rFonts w:hint="default" w:ascii="Times New Roman" w:hAnsi="Times New Roman" w:eastAsia="宋体" w:cs="Times New Roman"/>
                <w:b/>
                <w:bCs w:val="0"/>
                <w:color w:val="auto"/>
                <w:sz w:val="24"/>
                <w:szCs w:val="24"/>
                <w:highlight w:val="none"/>
              </w:rPr>
              <w:t>废气</w:t>
            </w:r>
            <w:r>
              <w:rPr>
                <w:rFonts w:hint="default" w:ascii="Times New Roman" w:hAnsi="Times New Roman" w:eastAsia="宋体" w:cs="Times New Roman"/>
                <w:b/>
                <w:bCs w:val="0"/>
                <w:color w:val="auto"/>
                <w:sz w:val="24"/>
                <w:szCs w:val="24"/>
                <w:highlight w:val="none"/>
                <w:lang w:val="en-US" w:eastAsia="zh-CN"/>
              </w:rPr>
              <w:t>污染防治措施</w:t>
            </w:r>
          </w:p>
          <w:p w14:paraId="050DA31B">
            <w:pPr>
              <w:pStyle w:val="46"/>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①现有</w:t>
            </w:r>
            <w:r>
              <w:rPr>
                <w:rFonts w:hint="default" w:ascii="Times New Roman" w:hAnsi="Times New Roman" w:eastAsia="宋体" w:cs="Times New Roman"/>
                <w:color w:val="auto"/>
                <w:sz w:val="24"/>
                <w:szCs w:val="24"/>
                <w:highlight w:val="none"/>
                <w:lang w:val="en-US" w:eastAsia="zh-CN"/>
              </w:rPr>
              <w:t>工程产品主要为PVC管、PE农膜、PE管，污染物主要为塑料熔融塑化过程产生</w:t>
            </w:r>
            <w:r>
              <w:rPr>
                <w:rFonts w:hint="default" w:ascii="Times New Roman" w:hAnsi="Times New Roman" w:cs="Times New Roman"/>
                <w:color w:val="auto"/>
                <w:sz w:val="24"/>
                <w:szCs w:val="24"/>
                <w:highlight w:val="none"/>
                <w:lang w:val="en-US" w:eastAsia="zh-CN"/>
              </w:rPr>
              <w:t>VOCs（以非甲烷总烃计）</w:t>
            </w:r>
            <w:r>
              <w:rPr>
                <w:rFonts w:hint="default" w:ascii="Times New Roman" w:hAnsi="Times New Roman" w:eastAsia="宋体" w:cs="Times New Roman"/>
                <w:color w:val="auto"/>
                <w:sz w:val="24"/>
                <w:szCs w:val="24"/>
                <w:highlight w:val="none"/>
                <w:lang w:val="en-US" w:eastAsia="zh-CN"/>
              </w:rPr>
              <w:t>以及配料、混合搅拌过程产生的粉尘。</w:t>
            </w:r>
            <w:r>
              <w:rPr>
                <w:rFonts w:hint="default" w:ascii="Times New Roman" w:hAnsi="Times New Roman" w:cs="Times New Roman"/>
                <w:color w:val="auto"/>
                <w:sz w:val="24"/>
                <w:szCs w:val="24"/>
                <w:highlight w:val="none"/>
                <w:lang w:val="en-US" w:eastAsia="zh-CN"/>
              </w:rPr>
              <w:t>VOCs（以非甲烷总烃计）</w:t>
            </w:r>
            <w:r>
              <w:rPr>
                <w:rFonts w:hint="default" w:ascii="Times New Roman" w:hAnsi="Times New Roman" w:eastAsia="宋体" w:cs="Times New Roman"/>
                <w:color w:val="auto"/>
                <w:sz w:val="24"/>
                <w:szCs w:val="24"/>
                <w:highlight w:val="none"/>
                <w:lang w:val="en-US" w:eastAsia="zh-CN"/>
              </w:rPr>
              <w:t>经二级活性炭吸附设备处理后于15m高排气筒排放</w:t>
            </w:r>
            <w:r>
              <w:rPr>
                <w:rFonts w:hint="default" w:ascii="Times New Roman" w:hAnsi="Times New Roman" w:cs="Times New Roman"/>
                <w:color w:val="auto"/>
                <w:sz w:val="24"/>
                <w:szCs w:val="24"/>
                <w:highlight w:val="none"/>
                <w:lang w:val="en-US" w:eastAsia="zh-CN"/>
              </w:rPr>
              <w:t>，根据排污许可证及企业例行监测报告，现有工程VOCs（以非甲烷总烃计）</w:t>
            </w:r>
            <w:r>
              <w:rPr>
                <w:rFonts w:hint="default" w:ascii="Times New Roman" w:hAnsi="Times New Roman" w:eastAsia="宋体" w:cs="Times New Roman"/>
                <w:color w:val="auto"/>
                <w:sz w:val="24"/>
                <w:szCs w:val="24"/>
                <w:highlight w:val="none"/>
                <w:lang w:val="en-US" w:eastAsia="zh-CN"/>
              </w:rPr>
              <w:t>经二级活性炭吸附设备处理后</w:t>
            </w:r>
            <w:r>
              <w:rPr>
                <w:rFonts w:hint="default" w:ascii="Times New Roman" w:hAnsi="Times New Roman" w:eastAsia="宋体" w:cs="Times New Roman"/>
                <w:bCs/>
                <w:color w:val="auto"/>
                <w:highlight w:val="none"/>
              </w:rPr>
              <w:t>能满足《合成树脂工业污染物排放标准》（GB31572-2015）表</w:t>
            </w:r>
            <w:r>
              <w:rPr>
                <w:rFonts w:hint="default" w:ascii="Times New Roman" w:hAnsi="Times New Roman" w:eastAsia="宋体" w:cs="Times New Roman"/>
                <w:bCs/>
                <w:color w:val="auto"/>
                <w:highlight w:val="none"/>
                <w:lang w:val="en-US" w:eastAsia="zh-CN"/>
              </w:rPr>
              <w:t>5</w:t>
            </w:r>
            <w:r>
              <w:rPr>
                <w:rFonts w:hint="default" w:ascii="Times New Roman" w:hAnsi="Times New Roman" w:eastAsia="宋体" w:cs="Times New Roman"/>
                <w:bCs/>
                <w:color w:val="auto"/>
                <w:highlight w:val="none"/>
              </w:rPr>
              <w:t>中排放限值，即</w:t>
            </w:r>
            <w:r>
              <w:rPr>
                <w:rFonts w:hint="default" w:ascii="Times New Roman" w:hAnsi="Times New Roman" w:eastAsia="宋体" w:cs="Times New Roman"/>
                <w:bCs/>
                <w:color w:val="auto"/>
                <w:highlight w:val="none"/>
                <w:lang w:val="en-US" w:eastAsia="zh-CN"/>
              </w:rPr>
              <w:t>6</w:t>
            </w:r>
            <w:r>
              <w:rPr>
                <w:rFonts w:hint="default" w:ascii="Times New Roman" w:hAnsi="Times New Roman" w:eastAsia="宋体" w:cs="Times New Roman"/>
                <w:bCs/>
                <w:color w:val="auto"/>
                <w:highlight w:val="none"/>
              </w:rPr>
              <w:t>0mg/m</w:t>
            </w:r>
            <w:r>
              <w:rPr>
                <w:rFonts w:hint="default" w:ascii="Times New Roman" w:hAnsi="Times New Roman" w:eastAsia="宋体" w:cs="Times New Roman"/>
                <w:bCs/>
                <w:color w:val="auto"/>
                <w:highlight w:val="none"/>
                <w:vertAlign w:val="superscript"/>
              </w:rPr>
              <w:t>3</w:t>
            </w:r>
            <w:r>
              <w:rPr>
                <w:rFonts w:hint="default" w:ascii="Times New Roman" w:hAnsi="Times New Roman" w:eastAsia="宋体" w:cs="Times New Roman"/>
                <w:color w:val="auto"/>
                <w:sz w:val="24"/>
                <w:szCs w:val="24"/>
                <w:highlight w:val="none"/>
                <w:lang w:val="en-US" w:eastAsia="zh-CN"/>
              </w:rPr>
              <w:t>。</w:t>
            </w:r>
          </w:p>
          <w:p w14:paraId="391C6178">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cs="Times New Roman"/>
                <w:color w:val="auto"/>
                <w:sz w:val="24"/>
                <w:szCs w:val="24"/>
                <w:highlight w:val="none"/>
                <w:lang w:val="en-US" w:eastAsia="zh-CN"/>
              </w:rPr>
              <w:t>现有</w:t>
            </w:r>
            <w:r>
              <w:rPr>
                <w:rFonts w:hint="default" w:ascii="Times New Roman" w:hAnsi="Times New Roman" w:eastAsia="宋体" w:cs="Times New Roman"/>
                <w:color w:val="auto"/>
                <w:sz w:val="24"/>
                <w:szCs w:val="24"/>
                <w:highlight w:val="none"/>
                <w:lang w:val="en-US" w:eastAsia="zh-CN"/>
              </w:rPr>
              <w:t>工程</w:t>
            </w:r>
            <w:r>
              <w:rPr>
                <w:rFonts w:hint="default" w:ascii="Times New Roman" w:hAnsi="Times New Roman" w:cs="Times New Roman"/>
                <w:color w:val="auto"/>
                <w:sz w:val="24"/>
                <w:szCs w:val="24"/>
                <w:highlight w:val="none"/>
                <w:lang w:val="en-US" w:eastAsia="zh-CN"/>
              </w:rPr>
              <w:t>造粒生产线采用湿式除尘，</w:t>
            </w:r>
            <w:r>
              <w:rPr>
                <w:rFonts w:hint="default" w:ascii="Times New Roman" w:hAnsi="Times New Roman" w:eastAsia="宋体" w:cs="Times New Roman"/>
                <w:b w:val="0"/>
                <w:bCs w:val="0"/>
                <w:color w:val="auto"/>
                <w:kern w:val="2"/>
                <w:sz w:val="24"/>
                <w:szCs w:val="24"/>
                <w:highlight w:val="none"/>
                <w:lang w:val="en-US" w:eastAsia="zh-CN" w:bidi="ar-SA"/>
              </w:rPr>
              <w:t>根据新疆凯狮威塑业有限责任</w:t>
            </w:r>
            <w:r>
              <w:rPr>
                <w:rFonts w:hint="default" w:ascii="Times New Roman" w:hAnsi="Times New Roman" w:cs="Times New Roman"/>
                <w:b w:val="0"/>
                <w:bCs w:val="0"/>
                <w:color w:val="auto"/>
                <w:kern w:val="2"/>
                <w:sz w:val="24"/>
                <w:szCs w:val="24"/>
                <w:highlight w:val="none"/>
                <w:lang w:val="en-US" w:eastAsia="zh-CN" w:bidi="ar-SA"/>
              </w:rPr>
              <w:t>公司</w:t>
            </w:r>
            <w:r>
              <w:rPr>
                <w:rFonts w:hint="default" w:ascii="Times New Roman" w:hAnsi="Times New Roman" w:eastAsia="宋体" w:cs="Times New Roman"/>
                <w:b w:val="0"/>
                <w:bCs w:val="0"/>
                <w:color w:val="auto"/>
                <w:kern w:val="2"/>
                <w:sz w:val="24"/>
                <w:szCs w:val="24"/>
                <w:highlight w:val="none"/>
                <w:lang w:val="en-US" w:eastAsia="zh-CN" w:bidi="ar-SA"/>
              </w:rPr>
              <w:t>2025年监测报告，现有项目采用湿式除尘后厂界无组织颗粒物排放浓度满足《合成树脂工业污染物排放标准》（GB31572-2015）表9浓度限值</w:t>
            </w:r>
            <w:r>
              <w:rPr>
                <w:rFonts w:hint="default" w:ascii="Times New Roman" w:hAnsi="Times New Roman" w:eastAsia="宋体" w:cs="Times New Roman"/>
                <w:b w:val="0"/>
                <w:bCs w:val="0"/>
                <w:color w:val="auto"/>
                <w:kern w:val="2"/>
                <w:sz w:val="24"/>
                <w:szCs w:val="24"/>
                <w:highlight w:val="none"/>
                <w:lang w:val="en-US" w:eastAsia="zh-CN" w:bidi="ar-SA"/>
              </w:rPr>
              <w:t>（</w:t>
            </w:r>
            <w:r>
              <w:rPr>
                <w:rFonts w:hint="default" w:ascii="Times New Roman" w:hAnsi="Times New Roman" w:cs="Times New Roman"/>
                <w:b w:val="0"/>
                <w:bCs w:val="0"/>
                <w:color w:val="auto"/>
                <w:kern w:val="2"/>
                <w:sz w:val="24"/>
                <w:szCs w:val="24"/>
                <w:highlight w:val="none"/>
                <w:lang w:val="en-US" w:eastAsia="zh-CN" w:bidi="ar-SA"/>
              </w:rPr>
              <w:t>4</w:t>
            </w:r>
            <w:r>
              <w:rPr>
                <w:rFonts w:hint="default" w:ascii="Times New Roman" w:hAnsi="Times New Roman" w:eastAsia="宋体" w:cs="Times New Roman"/>
                <w:b w:val="0"/>
                <w:bCs w:val="0"/>
                <w:color w:val="auto"/>
                <w:kern w:val="2"/>
                <w:sz w:val="24"/>
                <w:szCs w:val="24"/>
                <w:highlight w:val="none"/>
                <w:lang w:val="en-US" w:eastAsia="zh-CN" w:bidi="ar-SA"/>
              </w:rPr>
              <w:t>.0mg/m</w:t>
            </w:r>
            <w:r>
              <w:rPr>
                <w:rFonts w:hint="default" w:ascii="Times New Roman" w:hAnsi="Times New Roman" w:eastAsia="宋体" w:cs="Times New Roman"/>
                <w:b w:val="0"/>
                <w:bCs w:val="0"/>
                <w:color w:val="auto"/>
                <w:kern w:val="2"/>
                <w:sz w:val="24"/>
                <w:szCs w:val="24"/>
                <w:highlight w:val="none"/>
                <w:vertAlign w:val="superscript"/>
                <w:lang w:val="en-US" w:eastAsia="zh-CN" w:bidi="ar-SA"/>
              </w:rPr>
              <w:t>3</w:t>
            </w:r>
            <w:r>
              <w:rPr>
                <w:rFonts w:hint="default" w:ascii="Times New Roman" w:hAnsi="Times New Roman" w:eastAsia="宋体" w:cs="Times New Roman"/>
                <w:b w:val="0"/>
                <w:bCs w:val="0"/>
                <w:color w:val="auto"/>
                <w:kern w:val="2"/>
                <w:sz w:val="24"/>
                <w:szCs w:val="24"/>
                <w:highlight w:val="none"/>
                <w:lang w:val="en-US" w:eastAsia="zh-CN" w:bidi="ar-SA"/>
              </w:rPr>
              <w:t>）</w:t>
            </w:r>
          </w:p>
          <w:p w14:paraId="27690F0A">
            <w:pPr>
              <w:bidi w:val="0"/>
              <w:spacing w:line="360" w:lineRule="auto"/>
              <w:ind w:firstLine="482" w:firstLineChars="200"/>
              <w:rPr>
                <w:rFonts w:hint="default" w:ascii="Times New Roman" w:hAnsi="Times New Roman" w:cs="Times New Roman"/>
                <w:b/>
                <w:bCs/>
                <w:color w:val="auto"/>
                <w:sz w:val="24"/>
                <w:szCs w:val="32"/>
                <w:highlight w:val="none"/>
                <w:lang w:val="en-US" w:eastAsia="zh-CN"/>
              </w:rPr>
            </w:pPr>
            <w:r>
              <w:rPr>
                <w:rFonts w:hint="default" w:ascii="Times New Roman" w:hAnsi="Times New Roman" w:cs="Times New Roman"/>
                <w:b/>
                <w:bCs/>
                <w:color w:val="auto"/>
                <w:sz w:val="24"/>
                <w:szCs w:val="32"/>
                <w:highlight w:val="none"/>
                <w:lang w:val="en-US" w:eastAsia="zh-CN"/>
              </w:rPr>
              <w:t>（2）废水污染防治措施</w:t>
            </w:r>
          </w:p>
          <w:p w14:paraId="00D80BCB">
            <w:pPr>
              <w:spacing w:after="0" w:line="360" w:lineRule="auto"/>
              <w:ind w:firstLine="480" w:firstLineChars="200"/>
              <w:jc w:val="both"/>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lang w:val="en-US" w:eastAsia="zh-CN"/>
              </w:rPr>
              <w:t>现有</w:t>
            </w:r>
            <w:r>
              <w:rPr>
                <w:rFonts w:hint="default" w:ascii="Times New Roman" w:hAnsi="Times New Roman" w:eastAsia="宋体" w:cs="Times New Roman"/>
                <w:color w:val="auto"/>
                <w:sz w:val="24"/>
                <w:highlight w:val="none"/>
                <w:lang w:val="en-US" w:eastAsia="zh-CN"/>
              </w:rPr>
              <w:t>工程运营期间</w:t>
            </w:r>
            <w:r>
              <w:rPr>
                <w:rFonts w:hint="default" w:ascii="Times New Roman" w:hAnsi="Times New Roman" w:eastAsia="宋体" w:cs="Times New Roman"/>
                <w:color w:val="auto"/>
                <w:sz w:val="24"/>
                <w:szCs w:val="24"/>
                <w:highlight w:val="none"/>
                <w:lang w:eastAsia="zh-CN"/>
              </w:rPr>
              <w:t>无工艺废水产生。生活</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eastAsia="zh-CN"/>
              </w:rPr>
              <w:t>排入园区下水管网，最终由</w:t>
            </w:r>
            <w:r>
              <w:rPr>
                <w:rFonts w:hint="default" w:ascii="Times New Roman" w:hAnsi="Times New Roman" w:cs="Times New Roman"/>
                <w:color w:val="auto"/>
                <w:kern w:val="0"/>
                <w:sz w:val="24"/>
                <w:szCs w:val="24"/>
                <w:highlight w:val="none"/>
                <w:lang w:val="en-US" w:eastAsia="zh-CN" w:bidi="ar"/>
              </w:rPr>
              <w:t>昌吉市第二</w:t>
            </w:r>
            <w:r>
              <w:rPr>
                <w:rFonts w:hint="default" w:ascii="Times New Roman" w:hAnsi="Times New Roman" w:eastAsia="宋体" w:cs="Times New Roman"/>
                <w:color w:val="auto"/>
                <w:kern w:val="0"/>
                <w:sz w:val="24"/>
                <w:szCs w:val="24"/>
                <w:highlight w:val="none"/>
                <w:lang w:val="en-US" w:eastAsia="zh-CN" w:bidi="ar"/>
              </w:rPr>
              <w:t>污水处理厂</w:t>
            </w:r>
            <w:r>
              <w:rPr>
                <w:rFonts w:hint="default" w:ascii="Times New Roman" w:hAnsi="Times New Roman" w:eastAsia="宋体" w:cs="Times New Roman"/>
                <w:color w:val="auto"/>
                <w:sz w:val="24"/>
                <w:highlight w:val="none"/>
                <w:lang w:eastAsia="zh-CN"/>
              </w:rPr>
              <w:t>集中处理</w:t>
            </w:r>
            <w:r>
              <w:rPr>
                <w:rFonts w:hint="default" w:ascii="Times New Roman" w:hAnsi="Times New Roman" w:eastAsia="宋体" w:cs="Times New Roman"/>
                <w:color w:val="auto"/>
                <w:sz w:val="24"/>
                <w:szCs w:val="24"/>
                <w:highlight w:val="none"/>
                <w:lang w:eastAsia="zh-CN"/>
              </w:rPr>
              <w:t>处置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highlight w:val="none"/>
                <w:lang w:val="en-US" w:eastAsia="zh-CN"/>
              </w:rPr>
              <w:t>现有</w:t>
            </w:r>
            <w:r>
              <w:rPr>
                <w:rFonts w:hint="default" w:ascii="Times New Roman" w:hAnsi="Times New Roman" w:eastAsia="宋体" w:cs="Times New Roman"/>
                <w:color w:val="auto"/>
                <w:sz w:val="24"/>
                <w:highlight w:val="none"/>
                <w:lang w:val="en-US" w:eastAsia="zh-CN"/>
              </w:rPr>
              <w:t>工程废水污染防治措施见表2-10。</w:t>
            </w:r>
          </w:p>
          <w:p w14:paraId="4F8A0394">
            <w:pPr>
              <w:spacing w:after="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2-10</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cs="Times New Roman"/>
                <w:b/>
                <w:color w:val="auto"/>
                <w:sz w:val="21"/>
                <w:szCs w:val="21"/>
                <w:highlight w:val="none"/>
                <w:lang w:val="en-US" w:eastAsia="zh-CN"/>
              </w:rPr>
              <w:t>现有</w:t>
            </w:r>
            <w:r>
              <w:rPr>
                <w:rFonts w:hint="default" w:ascii="Times New Roman" w:hAnsi="Times New Roman" w:eastAsia="宋体" w:cs="Times New Roman"/>
                <w:b/>
                <w:color w:val="auto"/>
                <w:sz w:val="21"/>
                <w:szCs w:val="21"/>
                <w:highlight w:val="none"/>
                <w:lang w:val="en-US" w:eastAsia="zh-CN"/>
              </w:rPr>
              <w:t>工程废水污染防治措施</w:t>
            </w:r>
          </w:p>
          <w:tbl>
            <w:tblPr>
              <w:tblStyle w:val="24"/>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2345"/>
              <w:gridCol w:w="1132"/>
              <w:gridCol w:w="3097"/>
            </w:tblGrid>
            <w:tr w14:paraId="6F2EEE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99" w:type="dxa"/>
                  <w:tcBorders>
                    <w:bottom w:val="single" w:color="auto" w:sz="12" w:space="0"/>
                  </w:tcBorders>
                  <w:noWrap w:val="0"/>
                  <w:vAlign w:val="center"/>
                </w:tcPr>
                <w:p w14:paraId="32D348E7">
                  <w:pPr>
                    <w:pStyle w:val="69"/>
                    <w:spacing w:after="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lang w:val="en-US" w:eastAsia="zh-CN"/>
                    </w:rPr>
                    <w:t>污染源</w:t>
                  </w:r>
                </w:p>
              </w:tc>
              <w:tc>
                <w:tcPr>
                  <w:tcW w:w="2345" w:type="dxa"/>
                  <w:tcBorders>
                    <w:bottom w:val="single" w:color="auto" w:sz="12" w:space="0"/>
                  </w:tcBorders>
                  <w:noWrap w:val="0"/>
                  <w:vAlign w:val="center"/>
                </w:tcPr>
                <w:p w14:paraId="668E3A23">
                  <w:pPr>
                    <w:pStyle w:val="69"/>
                    <w:spacing w:after="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主要污染物</w:t>
                  </w:r>
                </w:p>
              </w:tc>
              <w:tc>
                <w:tcPr>
                  <w:tcW w:w="1132" w:type="dxa"/>
                  <w:tcBorders>
                    <w:bottom w:val="single" w:color="auto" w:sz="12" w:space="0"/>
                  </w:tcBorders>
                  <w:noWrap w:val="0"/>
                  <w:vAlign w:val="center"/>
                </w:tcPr>
                <w:p w14:paraId="42DAF236">
                  <w:pPr>
                    <w:pStyle w:val="69"/>
                    <w:spacing w:after="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排放特征</w:t>
                  </w:r>
                </w:p>
              </w:tc>
              <w:tc>
                <w:tcPr>
                  <w:tcW w:w="3097" w:type="dxa"/>
                  <w:tcBorders>
                    <w:bottom w:val="single" w:color="auto" w:sz="12" w:space="0"/>
                  </w:tcBorders>
                  <w:noWrap w:val="0"/>
                  <w:vAlign w:val="center"/>
                </w:tcPr>
                <w:p w14:paraId="5E0B9AB8">
                  <w:pPr>
                    <w:pStyle w:val="69"/>
                    <w:spacing w:after="0"/>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排放去向</w:t>
                  </w:r>
                </w:p>
              </w:tc>
            </w:tr>
            <w:tr w14:paraId="41263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99" w:type="dxa"/>
                  <w:tcBorders>
                    <w:top w:val="single" w:color="auto" w:sz="12" w:space="0"/>
                    <w:tl2br w:val="nil"/>
                    <w:tr2bl w:val="nil"/>
                  </w:tcBorders>
                  <w:noWrap w:val="0"/>
                  <w:vAlign w:val="center"/>
                </w:tcPr>
                <w:p w14:paraId="67F02594">
                  <w:pPr>
                    <w:pStyle w:val="69"/>
                    <w:spacing w:after="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生活污水</w:t>
                  </w:r>
                </w:p>
              </w:tc>
              <w:tc>
                <w:tcPr>
                  <w:tcW w:w="2345" w:type="dxa"/>
                  <w:tcBorders>
                    <w:top w:val="single" w:color="auto" w:sz="12" w:space="0"/>
                    <w:tl2br w:val="nil"/>
                    <w:tr2bl w:val="nil"/>
                  </w:tcBorders>
                  <w:noWrap w:val="0"/>
                  <w:vAlign w:val="center"/>
                </w:tcPr>
                <w:p w14:paraId="5D8745C0">
                  <w:pPr>
                    <w:pStyle w:val="69"/>
                    <w:spacing w:after="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COD、BOD、SS、氨氮</w:t>
                  </w:r>
                </w:p>
              </w:tc>
              <w:tc>
                <w:tcPr>
                  <w:tcW w:w="1132" w:type="dxa"/>
                  <w:tcBorders>
                    <w:top w:val="single" w:color="auto" w:sz="12" w:space="0"/>
                    <w:tl2br w:val="nil"/>
                    <w:tr2bl w:val="nil"/>
                  </w:tcBorders>
                  <w:noWrap w:val="0"/>
                  <w:vAlign w:val="center"/>
                </w:tcPr>
                <w:p w14:paraId="312F6973">
                  <w:pPr>
                    <w:pStyle w:val="69"/>
                    <w:spacing w:after="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间断</w:t>
                  </w:r>
                </w:p>
              </w:tc>
              <w:tc>
                <w:tcPr>
                  <w:tcW w:w="3097" w:type="dxa"/>
                  <w:tcBorders>
                    <w:top w:val="single" w:color="auto" w:sz="12" w:space="0"/>
                    <w:tl2br w:val="nil"/>
                    <w:tr2bl w:val="nil"/>
                  </w:tcBorders>
                  <w:noWrap w:val="0"/>
                  <w:vAlign w:val="center"/>
                </w:tcPr>
                <w:p w14:paraId="445EA221">
                  <w:pPr>
                    <w:pStyle w:val="69"/>
                    <w:spacing w:after="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排入园区下水管网，最终进入</w:t>
                  </w:r>
                  <w:r>
                    <w:rPr>
                      <w:rFonts w:hint="default" w:ascii="Times New Roman" w:hAnsi="Times New Roman" w:cs="Times New Roman"/>
                      <w:color w:val="auto"/>
                      <w:highlight w:val="none"/>
                      <w:lang w:val="en-US" w:eastAsia="zh-CN"/>
                    </w:rPr>
                    <w:t>昌吉市第二</w:t>
                  </w:r>
                  <w:r>
                    <w:rPr>
                      <w:rFonts w:hint="default" w:ascii="Times New Roman" w:hAnsi="Times New Roman" w:eastAsia="宋体" w:cs="Times New Roman"/>
                      <w:color w:val="auto"/>
                      <w:highlight w:val="none"/>
                      <w:lang w:val="en-US" w:eastAsia="zh-CN"/>
                    </w:rPr>
                    <w:t>污水处理厂集中处理</w:t>
                  </w:r>
                </w:p>
              </w:tc>
            </w:tr>
          </w:tbl>
          <w:p w14:paraId="7B37630D">
            <w:pPr>
              <w:bidi w:val="0"/>
              <w:spacing w:line="360" w:lineRule="auto"/>
              <w:ind w:firstLine="482" w:firstLineChars="200"/>
              <w:rPr>
                <w:rFonts w:hint="default" w:ascii="Times New Roman" w:hAnsi="Times New Roman" w:eastAsia="宋体" w:cs="Times New Roman"/>
                <w:b/>
                <w:bCs/>
                <w:color w:val="auto"/>
                <w:sz w:val="24"/>
                <w:szCs w:val="32"/>
                <w:highlight w:val="none"/>
                <w:lang w:val="en-US" w:eastAsia="zh-CN"/>
              </w:rPr>
            </w:pPr>
            <w:r>
              <w:rPr>
                <w:rFonts w:hint="default" w:ascii="Times New Roman" w:hAnsi="Times New Roman" w:eastAsia="宋体" w:cs="Times New Roman"/>
                <w:b/>
                <w:bCs/>
                <w:color w:val="auto"/>
                <w:sz w:val="24"/>
                <w:szCs w:val="32"/>
                <w:highlight w:val="none"/>
                <w:lang w:val="en-US" w:eastAsia="zh-CN"/>
              </w:rPr>
              <w:t>（3）噪声</w:t>
            </w:r>
            <w:r>
              <w:rPr>
                <w:rFonts w:hint="default" w:ascii="Times New Roman" w:hAnsi="Times New Roman" w:cs="Times New Roman"/>
                <w:b/>
                <w:bCs/>
                <w:color w:val="auto"/>
                <w:sz w:val="24"/>
                <w:szCs w:val="32"/>
                <w:highlight w:val="none"/>
                <w:lang w:val="en-US" w:eastAsia="zh-CN"/>
              </w:rPr>
              <w:t>污染防治措施</w:t>
            </w:r>
          </w:p>
          <w:p w14:paraId="65076B27">
            <w:pPr>
              <w:spacing w:after="0" w:line="360" w:lineRule="auto"/>
              <w:ind w:firstLine="480" w:firstLineChars="200"/>
              <w:rPr>
                <w:rFonts w:hint="default" w:ascii="Times New Roman" w:hAnsi="Times New Roman" w:eastAsia="宋体" w:cs="Times New Roman"/>
                <w:color w:val="auto"/>
                <w:sz w:val="24"/>
                <w:szCs w:val="24"/>
                <w:highlight w:val="none"/>
                <w:lang w:val="en-US"/>
              </w:rPr>
            </w:pPr>
            <w:r>
              <w:rPr>
                <w:rFonts w:hint="default" w:ascii="Times New Roman" w:hAnsi="Times New Roman" w:cs="Times New Roman"/>
                <w:color w:val="auto"/>
                <w:sz w:val="24"/>
                <w:highlight w:val="none"/>
                <w:lang w:val="en-US" w:eastAsia="zh-CN"/>
              </w:rPr>
              <w:t>现有</w:t>
            </w:r>
            <w:r>
              <w:rPr>
                <w:rFonts w:hint="default" w:ascii="Times New Roman" w:hAnsi="Times New Roman" w:eastAsia="宋体" w:cs="Times New Roman"/>
                <w:color w:val="auto"/>
                <w:sz w:val="24"/>
                <w:highlight w:val="none"/>
                <w:lang w:val="en-US" w:eastAsia="zh-CN"/>
              </w:rPr>
              <w:t>工程运营期</w:t>
            </w:r>
            <w:r>
              <w:rPr>
                <w:rFonts w:hint="default" w:ascii="Times New Roman" w:hAnsi="Times New Roman" w:eastAsia="宋体" w:cs="Times New Roman"/>
                <w:color w:val="auto"/>
                <w:sz w:val="24"/>
                <w:szCs w:val="24"/>
                <w:highlight w:val="none"/>
              </w:rPr>
              <w:t>间噪声源主要来自</w:t>
            </w:r>
            <w:r>
              <w:rPr>
                <w:rFonts w:hint="default" w:ascii="Times New Roman" w:hAnsi="Times New Roman" w:eastAsia="宋体" w:cs="Times New Roman"/>
                <w:color w:val="auto"/>
                <w:sz w:val="24"/>
                <w:szCs w:val="24"/>
                <w:highlight w:val="none"/>
                <w:lang w:eastAsia="zh-CN"/>
              </w:rPr>
              <w:t>机械设备</w:t>
            </w:r>
            <w:r>
              <w:rPr>
                <w:rFonts w:hint="default" w:ascii="Times New Roman" w:hAnsi="Times New Roman" w:eastAsia="宋体" w:cs="Times New Roman"/>
                <w:color w:val="auto"/>
                <w:sz w:val="24"/>
                <w:szCs w:val="24"/>
                <w:highlight w:val="none"/>
              </w:rPr>
              <w:t>等噪声</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运营</w:t>
            </w:r>
            <w:r>
              <w:rPr>
                <w:rFonts w:hint="default" w:ascii="Times New Roman" w:hAnsi="Times New Roman" w:cs="Times New Roman"/>
                <w:color w:val="auto"/>
                <w:sz w:val="24"/>
                <w:szCs w:val="24"/>
                <w:highlight w:val="none"/>
                <w:lang w:val="en-US" w:eastAsia="zh-CN"/>
              </w:rPr>
              <w:t>期间</w:t>
            </w:r>
            <w:r>
              <w:rPr>
                <w:rFonts w:hint="default" w:ascii="Times New Roman" w:hAnsi="Times New Roman" w:eastAsia="宋体" w:cs="Times New Roman"/>
                <w:color w:val="auto"/>
                <w:sz w:val="24"/>
                <w:szCs w:val="24"/>
                <w:highlight w:val="none"/>
                <w:lang w:val="en-US" w:eastAsia="zh-CN"/>
              </w:rPr>
              <w:t>全部机械设备均于</w:t>
            </w:r>
            <w:r>
              <w:rPr>
                <w:rFonts w:hint="default" w:ascii="Times New Roman" w:hAnsi="Times New Roman" w:eastAsia="宋体" w:cs="Times New Roman"/>
                <w:color w:val="auto"/>
                <w:sz w:val="24"/>
                <w:szCs w:val="24"/>
                <w:highlight w:val="none"/>
                <w:lang w:eastAsia="zh-CN"/>
              </w:rPr>
              <w:t>室内安装</w:t>
            </w:r>
            <w:r>
              <w:rPr>
                <w:rFonts w:hint="default" w:ascii="Times New Roman" w:hAnsi="Times New Roman" w:eastAsia="宋体" w:cs="Times New Roman"/>
                <w:color w:val="auto"/>
                <w:sz w:val="24"/>
                <w:szCs w:val="24"/>
                <w:highlight w:val="none"/>
                <w:lang w:val="en-US" w:eastAsia="zh-CN"/>
              </w:rPr>
              <w:t>并设置</w:t>
            </w:r>
            <w:r>
              <w:rPr>
                <w:rFonts w:hint="default" w:ascii="Times New Roman" w:hAnsi="Times New Roman" w:eastAsia="宋体" w:cs="Times New Roman"/>
                <w:color w:val="auto"/>
                <w:sz w:val="24"/>
                <w:szCs w:val="24"/>
                <w:highlight w:val="none"/>
                <w:lang w:eastAsia="zh-CN"/>
              </w:rPr>
              <w:t>减振垫，</w:t>
            </w:r>
            <w:r>
              <w:rPr>
                <w:rFonts w:hint="default" w:ascii="Times New Roman" w:hAnsi="Times New Roman" w:eastAsia="宋体" w:cs="Times New Roman"/>
                <w:color w:val="auto"/>
                <w:sz w:val="24"/>
                <w:szCs w:val="24"/>
                <w:highlight w:val="none"/>
                <w:lang w:val="en-US" w:eastAsia="zh-CN"/>
              </w:rPr>
              <w:t>同时通过</w:t>
            </w:r>
            <w:r>
              <w:rPr>
                <w:rFonts w:hint="default" w:ascii="Times New Roman" w:hAnsi="Times New Roman" w:eastAsia="宋体" w:cs="Times New Roman"/>
                <w:color w:val="auto"/>
                <w:sz w:val="24"/>
                <w:szCs w:val="24"/>
                <w:highlight w:val="none"/>
                <w:lang w:eastAsia="zh-CN"/>
              </w:rPr>
              <w:t>建筑隔声</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highlight w:val="none"/>
                <w:lang w:val="en-US" w:eastAsia="zh-CN"/>
              </w:rPr>
              <w:t>现有</w:t>
            </w:r>
            <w:r>
              <w:rPr>
                <w:rFonts w:hint="default" w:ascii="Times New Roman" w:hAnsi="Times New Roman" w:eastAsia="宋体" w:cs="Times New Roman"/>
                <w:color w:val="auto"/>
                <w:sz w:val="24"/>
                <w:highlight w:val="none"/>
                <w:lang w:val="en-US" w:eastAsia="zh-CN"/>
              </w:rPr>
              <w:t>工程噪声污染防治措施见表2-11。</w:t>
            </w:r>
          </w:p>
          <w:p w14:paraId="65F5F4AE">
            <w:pPr>
              <w:spacing w:after="0"/>
              <w:jc w:val="center"/>
              <w:rPr>
                <w:rFonts w:hint="default" w:ascii="Times New Roman" w:hAnsi="Times New Roman" w:eastAsia="宋体" w:cs="Times New Roman"/>
                <w:b/>
                <w:color w:val="auto"/>
                <w:sz w:val="21"/>
                <w:szCs w:val="21"/>
                <w:highlight w:val="none"/>
              </w:rPr>
            </w:pPr>
            <w:bookmarkStart w:id="1" w:name="_Toc263806432"/>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2-11</w:t>
            </w:r>
            <w:r>
              <w:rPr>
                <w:rFonts w:hint="default" w:ascii="Times New Roman" w:hAnsi="Times New Roman" w:eastAsia="宋体" w:cs="Times New Roman"/>
                <w:b/>
                <w:color w:val="auto"/>
                <w:sz w:val="21"/>
                <w:szCs w:val="21"/>
                <w:highlight w:val="none"/>
              </w:rPr>
              <w:t xml:space="preserve">    </w:t>
            </w:r>
            <w:bookmarkEnd w:id="1"/>
            <w:r>
              <w:rPr>
                <w:rFonts w:hint="default" w:ascii="Times New Roman" w:hAnsi="Times New Roman" w:cs="Times New Roman"/>
                <w:b/>
                <w:color w:val="auto"/>
                <w:sz w:val="21"/>
                <w:szCs w:val="21"/>
                <w:highlight w:val="none"/>
                <w:lang w:val="en-US" w:eastAsia="zh-CN"/>
              </w:rPr>
              <w:t>现有</w:t>
            </w:r>
            <w:r>
              <w:rPr>
                <w:rFonts w:hint="default" w:ascii="Times New Roman" w:hAnsi="Times New Roman" w:eastAsia="宋体" w:cs="Times New Roman"/>
                <w:b/>
                <w:color w:val="auto"/>
                <w:sz w:val="21"/>
                <w:szCs w:val="21"/>
                <w:highlight w:val="none"/>
                <w:lang w:val="en-US" w:eastAsia="zh-CN"/>
              </w:rPr>
              <w:t>工程噪声污染防治措施</w:t>
            </w:r>
          </w:p>
          <w:tbl>
            <w:tblPr>
              <w:tblStyle w:val="24"/>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43"/>
              <w:gridCol w:w="2923"/>
              <w:gridCol w:w="2907"/>
            </w:tblGrid>
            <w:tr w14:paraId="3FA12B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1911" w:type="dxa"/>
                  <w:tcBorders>
                    <w:bottom w:val="single" w:color="auto" w:sz="12" w:space="0"/>
                  </w:tcBorders>
                  <w:noWrap w:val="0"/>
                  <w:vAlign w:val="center"/>
                </w:tcPr>
                <w:p w14:paraId="3945463D">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噪声来源</w:t>
                  </w:r>
                </w:p>
              </w:tc>
              <w:tc>
                <w:tcPr>
                  <w:tcW w:w="2874" w:type="dxa"/>
                  <w:tcBorders>
                    <w:bottom w:val="single" w:color="auto" w:sz="12" w:space="0"/>
                  </w:tcBorders>
                  <w:noWrap w:val="0"/>
                  <w:vAlign w:val="center"/>
                </w:tcPr>
                <w:p w14:paraId="7D6169CC">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产噪设备</w:t>
                  </w:r>
                </w:p>
              </w:tc>
              <w:tc>
                <w:tcPr>
                  <w:tcW w:w="2859" w:type="dxa"/>
                  <w:tcBorders>
                    <w:bottom w:val="single" w:color="auto" w:sz="12" w:space="0"/>
                  </w:tcBorders>
                  <w:noWrap w:val="0"/>
                  <w:vAlign w:val="center"/>
                </w:tcPr>
                <w:p w14:paraId="50D9FE63">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防治措施</w:t>
                  </w:r>
                </w:p>
              </w:tc>
            </w:tr>
            <w:tr w14:paraId="3F3068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911" w:type="dxa"/>
                  <w:tcBorders>
                    <w:top w:val="single" w:color="auto" w:sz="12" w:space="0"/>
                    <w:tl2br w:val="nil"/>
                    <w:tr2bl w:val="nil"/>
                  </w:tcBorders>
                  <w:noWrap w:val="0"/>
                  <w:vAlign w:val="center"/>
                </w:tcPr>
                <w:p w14:paraId="4BD394FC">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生产设备</w:t>
                  </w:r>
                </w:p>
              </w:tc>
              <w:tc>
                <w:tcPr>
                  <w:tcW w:w="2874" w:type="dxa"/>
                  <w:tcBorders>
                    <w:top w:val="single" w:color="auto" w:sz="12" w:space="0"/>
                    <w:tl2br w:val="nil"/>
                    <w:tr2bl w:val="nil"/>
                  </w:tcBorders>
                  <w:noWrap w:val="0"/>
                  <w:vAlign w:val="center"/>
                </w:tcPr>
                <w:p w14:paraId="1561A798">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生产设备</w:t>
                  </w:r>
                  <w:r>
                    <w:rPr>
                      <w:rFonts w:hint="default" w:ascii="Times New Roman" w:hAnsi="Times New Roman" w:cs="Times New Roman"/>
                      <w:color w:val="auto"/>
                      <w:sz w:val="21"/>
                      <w:szCs w:val="21"/>
                      <w:highlight w:val="none"/>
                    </w:rPr>
                    <w:t>等</w:t>
                  </w:r>
                </w:p>
              </w:tc>
              <w:tc>
                <w:tcPr>
                  <w:tcW w:w="2859" w:type="dxa"/>
                  <w:tcBorders>
                    <w:top w:val="single" w:color="auto" w:sz="12" w:space="0"/>
                    <w:tl2br w:val="nil"/>
                    <w:tr2bl w:val="nil"/>
                  </w:tcBorders>
                  <w:noWrap w:val="0"/>
                  <w:vAlign w:val="center"/>
                </w:tcPr>
                <w:p w14:paraId="13737784">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设</w:t>
                  </w:r>
                  <w:r>
                    <w:rPr>
                      <w:rFonts w:hint="default" w:ascii="Times New Roman" w:hAnsi="Times New Roman" w:cs="Times New Roman"/>
                      <w:color w:val="auto"/>
                      <w:sz w:val="21"/>
                      <w:szCs w:val="21"/>
                      <w:highlight w:val="none"/>
                      <w:lang w:eastAsia="zh-CN"/>
                    </w:rPr>
                    <w:t>在室内，安装减振垫</w:t>
                  </w:r>
                </w:p>
              </w:tc>
            </w:tr>
          </w:tbl>
          <w:p w14:paraId="3C812C8B">
            <w:pPr>
              <w:spacing w:after="0"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（4）固体废物</w:t>
            </w:r>
            <w:r>
              <w:rPr>
                <w:rFonts w:hint="default" w:ascii="Times New Roman" w:hAnsi="Times New Roman" w:cs="Times New Roman"/>
                <w:b/>
                <w:bCs/>
                <w:color w:val="auto"/>
                <w:sz w:val="24"/>
                <w:szCs w:val="32"/>
                <w:highlight w:val="none"/>
                <w:lang w:val="en-US" w:eastAsia="zh-CN"/>
              </w:rPr>
              <w:t>污染防治措施</w:t>
            </w:r>
          </w:p>
          <w:p w14:paraId="668BEB61">
            <w:pPr>
              <w:spacing w:after="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z w:val="24"/>
                <w:highlight w:val="none"/>
                <w:lang w:val="en-US" w:eastAsia="zh-CN"/>
              </w:rPr>
              <w:t>现有</w:t>
            </w:r>
            <w:r>
              <w:rPr>
                <w:rFonts w:hint="default" w:ascii="Times New Roman" w:hAnsi="Times New Roman" w:eastAsia="宋体" w:cs="Times New Roman"/>
                <w:color w:val="auto"/>
                <w:sz w:val="24"/>
                <w:highlight w:val="none"/>
                <w:lang w:val="en-US" w:eastAsia="zh-CN"/>
              </w:rPr>
              <w:t>工程运营期</w:t>
            </w:r>
            <w:r>
              <w:rPr>
                <w:rFonts w:hint="default" w:ascii="Times New Roman" w:hAnsi="Times New Roman" w:eastAsia="宋体" w:cs="Times New Roman"/>
                <w:color w:val="auto"/>
                <w:sz w:val="24"/>
                <w:szCs w:val="24"/>
                <w:highlight w:val="none"/>
              </w:rPr>
              <w:t>间</w:t>
            </w:r>
            <w:r>
              <w:rPr>
                <w:rFonts w:hint="default" w:ascii="Times New Roman" w:hAnsi="Times New Roman" w:eastAsia="宋体" w:cs="Times New Roman"/>
                <w:color w:val="auto"/>
                <w:sz w:val="24"/>
                <w:szCs w:val="24"/>
                <w:highlight w:val="none"/>
                <w:lang w:val="en-US" w:eastAsia="zh-CN"/>
              </w:rPr>
              <w:t>产生的</w:t>
            </w:r>
            <w:r>
              <w:rPr>
                <w:rFonts w:hint="default" w:ascii="Times New Roman" w:hAnsi="Times New Roman" w:eastAsia="宋体" w:cs="Times New Roman"/>
                <w:color w:val="auto"/>
                <w:sz w:val="24"/>
                <w:highlight w:val="none"/>
                <w:lang w:val="en-US" w:eastAsia="zh-CN"/>
              </w:rPr>
              <w:t>固废主要为员工生活垃圾及</w:t>
            </w:r>
            <w:r>
              <w:rPr>
                <w:rFonts w:hint="default" w:ascii="Times New Roman" w:hAnsi="Times New Roman" w:cs="Times New Roman"/>
                <w:color w:val="auto"/>
                <w:sz w:val="24"/>
                <w:highlight w:val="none"/>
              </w:rPr>
              <w:t>等离子光氧一体机产生</w:t>
            </w:r>
            <w:r>
              <w:rPr>
                <w:rFonts w:hint="default" w:ascii="Times New Roman" w:hAnsi="Times New Roman" w:cs="Times New Roman"/>
                <w:color w:val="auto"/>
                <w:sz w:val="24"/>
                <w:highlight w:val="none"/>
                <w:lang w:val="en-US" w:eastAsia="zh-CN"/>
              </w:rPr>
              <w:t>的</w:t>
            </w:r>
            <w:r>
              <w:rPr>
                <w:rFonts w:hint="default" w:ascii="Times New Roman" w:hAnsi="Times New Roman" w:cs="Times New Roman"/>
                <w:color w:val="auto"/>
                <w:sz w:val="24"/>
                <w:highlight w:val="none"/>
              </w:rPr>
              <w:t>废灯管</w:t>
            </w:r>
            <w:r>
              <w:rPr>
                <w:rFonts w:hint="default" w:ascii="Times New Roman" w:hAnsi="Times New Roman" w:cs="Times New Roman"/>
                <w:color w:val="auto"/>
                <w:sz w:val="24"/>
                <w:highlight w:val="none"/>
                <w:lang w:val="en-US" w:eastAsia="zh-CN"/>
              </w:rPr>
              <w:t>和</w:t>
            </w:r>
            <w:r>
              <w:rPr>
                <w:rFonts w:hint="default" w:ascii="Times New Roman" w:hAnsi="Times New Roman" w:cs="Times New Roman"/>
                <w:color w:val="auto"/>
                <w:sz w:val="24"/>
                <w:highlight w:val="none"/>
              </w:rPr>
              <w:t>机械维修时产生</w:t>
            </w:r>
            <w:r>
              <w:rPr>
                <w:rFonts w:hint="default" w:ascii="Times New Roman" w:hAnsi="Times New Roman" w:cs="Times New Roman"/>
                <w:color w:val="auto"/>
                <w:sz w:val="24"/>
                <w:highlight w:val="none"/>
                <w:lang w:val="en-US" w:eastAsia="zh-CN"/>
              </w:rPr>
              <w:t>的</w:t>
            </w:r>
            <w:r>
              <w:rPr>
                <w:rFonts w:hint="default" w:ascii="Times New Roman" w:hAnsi="Times New Roman" w:eastAsia="宋体" w:cs="Times New Roman"/>
                <w:color w:val="auto"/>
                <w:sz w:val="24"/>
                <w:highlight w:val="none"/>
                <w:lang w:val="en-US" w:eastAsia="zh-CN"/>
              </w:rPr>
              <w:t>废润滑油</w:t>
            </w: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现有</w:t>
            </w:r>
            <w:r>
              <w:rPr>
                <w:rFonts w:hint="default" w:ascii="Times New Roman" w:hAnsi="Times New Roman" w:eastAsia="宋体" w:cs="Times New Roman"/>
                <w:color w:val="auto"/>
                <w:sz w:val="24"/>
                <w:highlight w:val="none"/>
                <w:lang w:val="en-US" w:eastAsia="zh-CN"/>
              </w:rPr>
              <w:t>工程固废污染防治措施见表2-12</w:t>
            </w:r>
            <w:r>
              <w:rPr>
                <w:rFonts w:hint="default" w:ascii="Times New Roman" w:hAnsi="Times New Roman" w:eastAsia="宋体" w:cs="Times New Roman"/>
                <w:color w:val="auto"/>
                <w:sz w:val="24"/>
                <w:szCs w:val="24"/>
                <w:highlight w:val="none"/>
              </w:rPr>
              <w:t>。</w:t>
            </w:r>
          </w:p>
          <w:p w14:paraId="10846608">
            <w:pPr>
              <w:spacing w:after="0"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2-12</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cs="Times New Roman"/>
                <w:b/>
                <w:color w:val="auto"/>
                <w:sz w:val="21"/>
                <w:szCs w:val="21"/>
                <w:highlight w:val="none"/>
                <w:lang w:val="en-US" w:eastAsia="zh-CN"/>
              </w:rPr>
              <w:t>现有</w:t>
            </w:r>
            <w:r>
              <w:rPr>
                <w:rFonts w:hint="default" w:ascii="Times New Roman" w:hAnsi="Times New Roman" w:eastAsia="宋体" w:cs="Times New Roman"/>
                <w:b/>
                <w:color w:val="auto"/>
                <w:sz w:val="21"/>
                <w:szCs w:val="21"/>
                <w:highlight w:val="none"/>
                <w:lang w:val="en-US" w:eastAsia="zh-CN"/>
              </w:rPr>
              <w:t>工程噪声污染防治措施见</w:t>
            </w:r>
          </w:p>
          <w:tbl>
            <w:tblPr>
              <w:tblStyle w:val="24"/>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1174"/>
              <w:gridCol w:w="4681"/>
            </w:tblGrid>
            <w:tr w14:paraId="6137D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17" w:type="dxa"/>
                  <w:tcBorders>
                    <w:bottom w:val="single" w:color="auto" w:sz="12" w:space="0"/>
                  </w:tcBorders>
                  <w:noWrap w:val="0"/>
                  <w:vAlign w:val="center"/>
                </w:tcPr>
                <w:p w14:paraId="01C9E8EF">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lang w:val="en-US" w:eastAsia="zh-CN"/>
                    </w:rPr>
                    <w:t>固废</w:t>
                  </w:r>
                  <w:r>
                    <w:rPr>
                      <w:rFonts w:hint="default" w:ascii="Times New Roman" w:hAnsi="Times New Roman" w:cs="Times New Roman"/>
                      <w:b/>
                      <w:bCs/>
                      <w:color w:val="auto"/>
                      <w:sz w:val="21"/>
                      <w:szCs w:val="21"/>
                      <w:highlight w:val="none"/>
                    </w:rPr>
                    <w:t>来源</w:t>
                  </w:r>
                </w:p>
              </w:tc>
              <w:tc>
                <w:tcPr>
                  <w:tcW w:w="1174" w:type="dxa"/>
                  <w:tcBorders>
                    <w:bottom w:val="single" w:color="auto" w:sz="12" w:space="0"/>
                  </w:tcBorders>
                  <w:noWrap w:val="0"/>
                  <w:vAlign w:val="center"/>
                </w:tcPr>
                <w:p w14:paraId="4877104E">
                  <w:pPr>
                    <w:bidi w:val="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污染</w:t>
                  </w:r>
                  <w:r>
                    <w:rPr>
                      <w:rFonts w:hint="default" w:ascii="Times New Roman" w:hAnsi="Times New Roman" w:eastAsia="宋体" w:cs="Times New Roman"/>
                      <w:b/>
                      <w:bCs/>
                      <w:color w:val="auto"/>
                      <w:sz w:val="21"/>
                      <w:szCs w:val="21"/>
                      <w:highlight w:val="none"/>
                      <w:lang w:val="en-US" w:eastAsia="zh-CN"/>
                    </w:rPr>
                    <w:t>物</w:t>
                  </w:r>
                </w:p>
              </w:tc>
              <w:tc>
                <w:tcPr>
                  <w:tcW w:w="4681" w:type="dxa"/>
                  <w:tcBorders>
                    <w:bottom w:val="single" w:color="auto" w:sz="12" w:space="0"/>
                  </w:tcBorders>
                  <w:noWrap w:val="0"/>
                  <w:vAlign w:val="center"/>
                </w:tcPr>
                <w:p w14:paraId="674216A0">
                  <w:pPr>
                    <w:bidi w:val="0"/>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防治措施</w:t>
                  </w:r>
                </w:p>
              </w:tc>
            </w:tr>
            <w:tr w14:paraId="17DF01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17" w:type="dxa"/>
                  <w:tcBorders>
                    <w:top w:val="single" w:color="auto" w:sz="12" w:space="0"/>
                    <w:tl2br w:val="nil"/>
                    <w:tr2bl w:val="nil"/>
                  </w:tcBorders>
                  <w:noWrap w:val="0"/>
                  <w:vAlign w:val="center"/>
                </w:tcPr>
                <w:p w14:paraId="7B521F29">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生活办公</w:t>
                  </w:r>
                </w:p>
              </w:tc>
              <w:tc>
                <w:tcPr>
                  <w:tcW w:w="1174" w:type="dxa"/>
                  <w:tcBorders>
                    <w:top w:val="single" w:color="auto" w:sz="12" w:space="0"/>
                    <w:tl2br w:val="nil"/>
                    <w:tr2bl w:val="nil"/>
                  </w:tcBorders>
                  <w:noWrap w:val="0"/>
                  <w:vAlign w:val="center"/>
                </w:tcPr>
                <w:p w14:paraId="28F96AA4">
                  <w:pPr>
                    <w:bidi w:val="0"/>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生活垃圾</w:t>
                  </w:r>
                </w:p>
              </w:tc>
              <w:tc>
                <w:tcPr>
                  <w:tcW w:w="4681" w:type="dxa"/>
                  <w:tcBorders>
                    <w:top w:val="single" w:color="auto" w:sz="12" w:space="0"/>
                    <w:tl2br w:val="nil"/>
                    <w:tr2bl w:val="nil"/>
                  </w:tcBorders>
                  <w:noWrap w:val="0"/>
                  <w:vAlign w:val="center"/>
                </w:tcPr>
                <w:p w14:paraId="06793374">
                  <w:pPr>
                    <w:bidi w:val="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集中收集后，由园区环卫部门统一清运</w:t>
                  </w:r>
                </w:p>
              </w:tc>
            </w:tr>
            <w:tr w14:paraId="7CC9AD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17" w:type="dxa"/>
                  <w:tcBorders>
                    <w:top w:val="single" w:color="auto" w:sz="12" w:space="0"/>
                    <w:tl2br w:val="nil"/>
                    <w:tr2bl w:val="nil"/>
                  </w:tcBorders>
                  <w:noWrap w:val="0"/>
                  <w:vAlign w:val="center"/>
                </w:tcPr>
                <w:p w14:paraId="3B6F334F">
                  <w:pPr>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沉淀池</w:t>
                  </w:r>
                </w:p>
              </w:tc>
              <w:tc>
                <w:tcPr>
                  <w:tcW w:w="1174" w:type="dxa"/>
                  <w:tcBorders>
                    <w:top w:val="single" w:color="auto" w:sz="12" w:space="0"/>
                    <w:tl2br w:val="nil"/>
                    <w:tr2bl w:val="nil"/>
                  </w:tcBorders>
                  <w:noWrap w:val="0"/>
                  <w:vAlign w:val="center"/>
                </w:tcPr>
                <w:p w14:paraId="37334BE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底泥</w:t>
                  </w:r>
                </w:p>
              </w:tc>
              <w:tc>
                <w:tcPr>
                  <w:tcW w:w="4681" w:type="dxa"/>
                  <w:tcBorders>
                    <w:top w:val="single" w:color="auto" w:sz="12" w:space="0"/>
                    <w:tl2br w:val="nil"/>
                    <w:tr2bl w:val="nil"/>
                  </w:tcBorders>
                  <w:noWrap w:val="0"/>
                  <w:vAlign w:val="center"/>
                </w:tcPr>
                <w:p w14:paraId="2411BDC8">
                  <w:pPr>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沉淀池产生的污染物为泥沙，生产季结束后清掏，自然干化，干化后用于项目区周边农田配土</w:t>
                  </w:r>
                </w:p>
              </w:tc>
            </w:tr>
            <w:tr w14:paraId="6300D3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17" w:type="dxa"/>
                  <w:tcBorders>
                    <w:tl2br w:val="nil"/>
                    <w:tr2bl w:val="nil"/>
                  </w:tcBorders>
                  <w:noWrap w:val="0"/>
                  <w:vAlign w:val="center"/>
                </w:tcPr>
                <w:p w14:paraId="11AF25A4">
                  <w:pPr>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等离子光氧一体机</w:t>
                  </w:r>
                </w:p>
              </w:tc>
              <w:tc>
                <w:tcPr>
                  <w:tcW w:w="1174" w:type="dxa"/>
                  <w:tcBorders>
                    <w:tl2br w:val="nil"/>
                    <w:tr2bl w:val="nil"/>
                  </w:tcBorders>
                  <w:noWrap w:val="0"/>
                  <w:vAlign w:val="center"/>
                </w:tcPr>
                <w:p w14:paraId="71E1C92E">
                  <w:pPr>
                    <w:bidi w:val="0"/>
                    <w:jc w:val="center"/>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rPr>
                    <w:t>废灯管</w:t>
                  </w:r>
                </w:p>
              </w:tc>
              <w:tc>
                <w:tcPr>
                  <w:tcW w:w="4681" w:type="dxa"/>
                  <w:vMerge w:val="restart"/>
                  <w:tcBorders>
                    <w:tl2br w:val="nil"/>
                    <w:tr2bl w:val="nil"/>
                  </w:tcBorders>
                  <w:noWrap w:val="0"/>
                  <w:vAlign w:val="center"/>
                </w:tcPr>
                <w:p w14:paraId="68002759">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收集暂存于</w:t>
                  </w:r>
                  <w:r>
                    <w:rPr>
                      <w:rFonts w:hint="eastAsia" w:ascii="Times New Roman" w:hAnsi="Times New Roman" w:cs="Times New Roman"/>
                      <w:color w:val="auto"/>
                      <w:sz w:val="21"/>
                      <w:szCs w:val="21"/>
                      <w:highlight w:val="none"/>
                      <w:lang w:eastAsia="zh-CN"/>
                    </w:rPr>
                    <w:t>危废贮存点</w:t>
                  </w:r>
                  <w:r>
                    <w:rPr>
                      <w:rFonts w:hint="default" w:ascii="Times New Roman" w:hAnsi="Times New Roman" w:cs="Times New Roman"/>
                      <w:color w:val="auto"/>
                      <w:sz w:val="21"/>
                      <w:szCs w:val="21"/>
                      <w:highlight w:val="none"/>
                    </w:rPr>
                    <w:t>，委托有资质的单位定期处理</w:t>
                  </w:r>
                </w:p>
              </w:tc>
            </w:tr>
            <w:tr w14:paraId="209CBB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17" w:type="dxa"/>
                  <w:tcBorders>
                    <w:tl2br w:val="nil"/>
                    <w:tr2bl w:val="nil"/>
                  </w:tcBorders>
                  <w:noWrap w:val="0"/>
                  <w:vAlign w:val="center"/>
                </w:tcPr>
                <w:p w14:paraId="729C9EA1">
                  <w:pPr>
                    <w:bidi w:val="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机械保养</w:t>
                  </w:r>
                </w:p>
              </w:tc>
              <w:tc>
                <w:tcPr>
                  <w:tcW w:w="1174" w:type="dxa"/>
                  <w:tcBorders>
                    <w:tl2br w:val="nil"/>
                    <w:tr2bl w:val="nil"/>
                  </w:tcBorders>
                  <w:noWrap w:val="0"/>
                  <w:vAlign w:val="center"/>
                </w:tcPr>
                <w:p w14:paraId="06FA0CDD">
                  <w:pPr>
                    <w:bidi w:val="0"/>
                    <w:jc w:val="center"/>
                    <w:rPr>
                      <w:rFonts w:hint="default" w:ascii="Times New Roman" w:hAnsi="Times New Roman"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废润滑油</w:t>
                  </w:r>
                </w:p>
              </w:tc>
              <w:tc>
                <w:tcPr>
                  <w:tcW w:w="4681" w:type="dxa"/>
                  <w:vMerge w:val="continue"/>
                  <w:tcBorders>
                    <w:tl2br w:val="nil"/>
                    <w:tr2bl w:val="nil"/>
                  </w:tcBorders>
                  <w:noWrap w:val="0"/>
                  <w:vAlign w:val="center"/>
                </w:tcPr>
                <w:p w14:paraId="5FE259D5">
                  <w:pPr>
                    <w:bidi w:val="0"/>
                    <w:jc w:val="center"/>
                    <w:rPr>
                      <w:rFonts w:hint="default" w:ascii="Times New Roman" w:hAnsi="Times New Roman" w:cs="Times New Roman"/>
                      <w:color w:val="auto"/>
                      <w:sz w:val="21"/>
                      <w:szCs w:val="21"/>
                      <w:highlight w:val="none"/>
                    </w:rPr>
                  </w:pPr>
                </w:p>
              </w:tc>
            </w:tr>
          </w:tbl>
          <w:p w14:paraId="38845058">
            <w:pPr>
              <w:spacing w:line="360" w:lineRule="auto"/>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2.2.6</w:t>
            </w:r>
            <w:r>
              <w:rPr>
                <w:rFonts w:hint="default" w:ascii="Times New Roman" w:hAnsi="Times New Roman" w:cs="Times New Roman"/>
                <w:b/>
                <w:color w:val="auto"/>
                <w:sz w:val="24"/>
                <w:highlight w:val="none"/>
                <w:lang w:eastAsia="zh-CN"/>
              </w:rPr>
              <w:t>现有</w:t>
            </w:r>
            <w:r>
              <w:rPr>
                <w:rFonts w:hint="default" w:ascii="Times New Roman" w:hAnsi="Times New Roman" w:cs="Times New Roman"/>
                <w:b/>
                <w:color w:val="auto"/>
                <w:sz w:val="24"/>
                <w:highlight w:val="none"/>
              </w:rPr>
              <w:t>工程污染物排放情况</w:t>
            </w:r>
          </w:p>
          <w:p w14:paraId="27DD767A">
            <w:pPr>
              <w:spacing w:line="360" w:lineRule="auto"/>
              <w:ind w:firstLine="480" w:firstLineChars="200"/>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本次评价</w:t>
            </w:r>
            <w:r>
              <w:rPr>
                <w:rFonts w:hint="default" w:ascii="Times New Roman" w:hAnsi="Times New Roman" w:cs="Times New Roman"/>
                <w:color w:val="auto"/>
                <w:sz w:val="24"/>
                <w:szCs w:val="32"/>
                <w:highlight w:val="none"/>
                <w:lang w:eastAsia="zh-CN"/>
              </w:rPr>
              <w:t>现有</w:t>
            </w:r>
            <w:r>
              <w:rPr>
                <w:rFonts w:hint="default" w:ascii="Times New Roman" w:hAnsi="Times New Roman" w:eastAsia="宋体" w:cs="Times New Roman"/>
                <w:color w:val="auto"/>
                <w:sz w:val="24"/>
                <w:szCs w:val="32"/>
                <w:highlight w:val="none"/>
              </w:rPr>
              <w:t>工程污染物排放情况采用</w:t>
            </w:r>
            <w:r>
              <w:rPr>
                <w:rFonts w:hint="default" w:ascii="Times New Roman" w:hAnsi="Times New Roman" w:eastAsia="宋体" w:cs="Times New Roman"/>
                <w:color w:val="auto"/>
                <w:sz w:val="24"/>
                <w:szCs w:val="32"/>
                <w:highlight w:val="none"/>
                <w:lang w:val="en-US" w:eastAsia="zh-CN"/>
              </w:rPr>
              <w:t>原环评数据对</w:t>
            </w:r>
            <w:r>
              <w:rPr>
                <w:rFonts w:hint="default" w:ascii="Times New Roman" w:hAnsi="Times New Roman" w:cs="Times New Roman"/>
                <w:color w:val="auto"/>
                <w:sz w:val="24"/>
                <w:szCs w:val="32"/>
                <w:highlight w:val="none"/>
                <w:lang w:eastAsia="zh-CN"/>
              </w:rPr>
              <w:t>现有</w:t>
            </w:r>
            <w:r>
              <w:rPr>
                <w:rFonts w:hint="default" w:ascii="Times New Roman" w:hAnsi="Times New Roman" w:eastAsia="宋体" w:cs="Times New Roman"/>
                <w:color w:val="auto"/>
                <w:sz w:val="24"/>
                <w:szCs w:val="32"/>
                <w:highlight w:val="none"/>
              </w:rPr>
              <w:t>工程污染物排放情况进行</w:t>
            </w:r>
            <w:r>
              <w:rPr>
                <w:rFonts w:hint="default" w:ascii="Times New Roman" w:hAnsi="Times New Roman" w:eastAsia="宋体" w:cs="Times New Roman"/>
                <w:color w:val="auto"/>
                <w:sz w:val="24"/>
                <w:szCs w:val="32"/>
                <w:highlight w:val="none"/>
                <w:lang w:val="en-US" w:eastAsia="zh-CN"/>
              </w:rPr>
              <w:t>核算</w:t>
            </w:r>
            <w:r>
              <w:rPr>
                <w:rFonts w:hint="default" w:ascii="Times New Roman" w:hAnsi="Times New Roman" w:eastAsia="宋体" w:cs="Times New Roman"/>
                <w:color w:val="auto"/>
                <w:sz w:val="24"/>
                <w:szCs w:val="32"/>
                <w:highlight w:val="none"/>
              </w:rPr>
              <w:t>。</w:t>
            </w:r>
          </w:p>
          <w:p w14:paraId="3B3D0FE7">
            <w:pPr>
              <w:spacing w:line="360" w:lineRule="auto"/>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2.2.6.1</w:t>
            </w:r>
            <w:r>
              <w:rPr>
                <w:rFonts w:hint="default" w:ascii="Times New Roman" w:hAnsi="Times New Roman" w:cs="Times New Roman"/>
                <w:b/>
                <w:color w:val="auto"/>
                <w:sz w:val="24"/>
                <w:highlight w:val="none"/>
              </w:rPr>
              <w:t>废气污染物</w:t>
            </w:r>
          </w:p>
          <w:p w14:paraId="42C482AB">
            <w:pPr>
              <w:topLinePunct/>
              <w:adjustRightInd w:val="0"/>
              <w:snapToGrid w:val="0"/>
              <w:spacing w:line="360" w:lineRule="auto"/>
              <w:ind w:firstLine="480" w:firstLineChars="200"/>
              <w:jc w:val="left"/>
              <w:rPr>
                <w:rFonts w:hint="default" w:ascii="Times New Roman" w:hAnsi="Times New Roman" w:cs="Times New Roman"/>
                <w:color w:val="auto"/>
                <w:sz w:val="24"/>
                <w:highlight w:val="none"/>
                <w:lang w:eastAsia="zh-CN"/>
              </w:rPr>
            </w:pPr>
            <w:r>
              <w:rPr>
                <w:rFonts w:hint="default" w:ascii="Times New Roman" w:hAnsi="Times New Roman" w:cs="Times New Roman"/>
                <w:color w:val="auto"/>
                <w:sz w:val="24"/>
                <w:highlight w:val="none"/>
                <w:lang w:val="en-US" w:eastAsia="zh-CN"/>
              </w:rPr>
              <w:t>现有项目</w:t>
            </w:r>
            <w:r>
              <w:rPr>
                <w:rFonts w:hint="default" w:ascii="Times New Roman" w:hAnsi="Times New Roman" w:cs="Times New Roman"/>
                <w:color w:val="auto"/>
                <w:sz w:val="24"/>
                <w:highlight w:val="none"/>
                <w:lang w:eastAsia="zh-CN"/>
              </w:rPr>
              <w:t>造粒、制管生产采用电加热方式对料筒进行加热。造粒工序不添加任何阻燃剂、增塑剂等添加剂，采用直接再生方式，挤出造粒过程为单纯物理熔融变化过程，聚乙烯加热温度控制在200~250℃左右，聚乙烯裂解温度为≥380℃，因加热温度控制在不发生裂解的温度条件下，故无裂解废气产生，但在实际操作过程中，因料筒局部过热等其它原因，会有少量单体产生，主要为乙烯单体，同时还有颗粒物产生。根据《空气污染物排放和控制手册工业污染源调查与研究第二辑》（美国环境保护局编），该手册认为在无控制措施时，非甲烷总烃的排放系数为0.35kgt</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lang w:eastAsia="zh-CN"/>
              </w:rPr>
              <w:t>树脂原料。本项目造粒加工规模取值为5000</w:t>
            </w:r>
            <w:r>
              <w:rPr>
                <w:rFonts w:hint="default" w:ascii="Times New Roman" w:hAnsi="Times New Roman" w:cs="Times New Roman"/>
                <w:color w:val="auto"/>
                <w:sz w:val="24"/>
                <w:highlight w:val="none"/>
                <w:lang w:val="en-US" w:eastAsia="zh-CN"/>
              </w:rPr>
              <w:t>t</w:t>
            </w:r>
            <w:r>
              <w:rPr>
                <w:rFonts w:hint="default" w:ascii="Times New Roman" w:hAnsi="Times New Roman" w:cs="Times New Roman"/>
                <w:color w:val="auto"/>
                <w:sz w:val="24"/>
                <w:highlight w:val="none"/>
                <w:lang w:eastAsia="zh-CN"/>
              </w:rPr>
              <w:t>/a，项目年工作时长为2400h。</w:t>
            </w:r>
          </w:p>
          <w:p w14:paraId="2BF7743F">
            <w:pPr>
              <w:topLinePunct/>
              <w:adjustRightInd w:val="0"/>
              <w:snapToGrid w:val="0"/>
              <w:spacing w:line="360" w:lineRule="auto"/>
              <w:ind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eastAsia="zh-CN"/>
              </w:rPr>
              <w:t>为此，项目在造粒车间、制管车间中PE熔融、挤出位置上方设置集气罩，集气罩收集效率&gt;90%，废气经车间集气罩收集后送至</w:t>
            </w:r>
            <w:r>
              <w:rPr>
                <w:rFonts w:hint="default" w:ascii="Times New Roman" w:hAnsi="Times New Roman" w:cs="Times New Roman"/>
                <w:color w:val="auto"/>
                <w:sz w:val="24"/>
                <w:highlight w:val="none"/>
                <w:lang w:val="en-US" w:eastAsia="zh-CN"/>
              </w:rPr>
              <w:t>处理装置</w:t>
            </w:r>
            <w:r>
              <w:rPr>
                <w:rFonts w:hint="default" w:ascii="Times New Roman" w:hAnsi="Times New Roman" w:cs="Times New Roman"/>
                <w:color w:val="auto"/>
                <w:sz w:val="24"/>
                <w:highlight w:val="none"/>
                <w:lang w:eastAsia="zh-CN"/>
              </w:rPr>
              <w:t>，最终废气经分解净化后处理效率&gt;85%，经过15m高排气筒排放。造粒车间、制管车间中PE熔融、挤出产生的废气分别在各自车间收集、处理最终排放，排放口分别为G2、G4、Gs。根据《空气污染物排放和控制手册工业污染源调查与研究第二辑》（美国环境保护局编），该手册认为在无控制措施时，非甲烷总烃的排放系数为0.35kg</w:t>
            </w:r>
            <w:r>
              <w:rPr>
                <w:rFonts w:hint="default" w:ascii="Times New Roman" w:hAnsi="Times New Roman" w:cs="Times New Roman"/>
                <w:color w:val="auto"/>
                <w:sz w:val="24"/>
                <w:highlight w:val="none"/>
                <w:lang w:val="en-US" w:eastAsia="zh-CN"/>
              </w:rPr>
              <w:t>/L</w:t>
            </w:r>
            <w:r>
              <w:rPr>
                <w:rFonts w:hint="default" w:ascii="Times New Roman" w:hAnsi="Times New Roman" w:cs="Times New Roman"/>
                <w:color w:val="auto"/>
                <w:sz w:val="24"/>
                <w:highlight w:val="none"/>
                <w:lang w:eastAsia="zh-CN"/>
              </w:rPr>
              <w:t>原料，</w:t>
            </w:r>
            <w:r>
              <w:rPr>
                <w:rFonts w:hint="default" w:ascii="Times New Roman" w:hAnsi="Times New Roman" w:cs="Times New Roman"/>
                <w:color w:val="auto"/>
                <w:sz w:val="24"/>
                <w:highlight w:val="none"/>
                <w:lang w:val="en-US" w:eastAsia="zh-CN"/>
              </w:rPr>
              <w:t>现有项目废塑料再生造粒生产线挥发性有机物排放量：0.34t/a。</w:t>
            </w:r>
          </w:p>
          <w:p w14:paraId="58C92BD4">
            <w:pPr>
              <w:topLinePunct/>
              <w:adjustRightInd w:val="0"/>
              <w:snapToGrid w:val="0"/>
              <w:spacing w:line="360" w:lineRule="auto"/>
              <w:ind w:firstLine="480" w:firstLineChars="200"/>
              <w:jc w:val="left"/>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综上，现有项目挥发性有机</w:t>
            </w:r>
            <w:r>
              <w:rPr>
                <w:rFonts w:hint="default" w:ascii="Times New Roman" w:hAnsi="Times New Roman" w:cs="Times New Roman"/>
                <w:b w:val="0"/>
                <w:bCs w:val="0"/>
                <w:color w:val="auto"/>
                <w:sz w:val="24"/>
                <w:highlight w:val="none"/>
                <w:lang w:val="en-US" w:eastAsia="zh-CN"/>
              </w:rPr>
              <w:t>物总排放量为：</w:t>
            </w:r>
            <w:r>
              <w:rPr>
                <w:rFonts w:hint="default" w:ascii="Times New Roman" w:hAnsi="Times New Roman" w:eastAsia="宋体" w:cs="Times New Roman"/>
                <w:bCs/>
                <w:color w:val="auto"/>
                <w:sz w:val="24"/>
                <w:szCs w:val="24"/>
                <w:highlight w:val="none"/>
                <w:lang w:val="en-US" w:eastAsia="zh-CN"/>
              </w:rPr>
              <w:t>1.251</w:t>
            </w:r>
            <w:r>
              <w:rPr>
                <w:rFonts w:hint="default" w:ascii="Times New Roman" w:hAnsi="Times New Roman" w:cs="Times New Roman"/>
                <w:b w:val="0"/>
                <w:bCs w:val="0"/>
                <w:color w:val="auto"/>
                <w:sz w:val="24"/>
                <w:highlight w:val="none"/>
                <w:lang w:val="en-US" w:eastAsia="zh-CN"/>
              </w:rPr>
              <w:t>t/a。</w:t>
            </w:r>
          </w:p>
          <w:p w14:paraId="29194D50">
            <w:pPr>
              <w:pStyle w:val="6"/>
              <w:numPr>
                <w:ilvl w:val="0"/>
                <w:numId w:val="0"/>
              </w:numPr>
              <w:spacing w:before="0" w:after="0" w:line="360" w:lineRule="auto"/>
              <w:ind w:leftChars="0"/>
              <w:jc w:val="left"/>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rPr>
              <w:t>2</w:t>
            </w:r>
            <w:r>
              <w:rPr>
                <w:rFonts w:hint="default" w:ascii="Times New Roman" w:hAnsi="Times New Roman" w:cs="Times New Roman"/>
                <w:b/>
                <w:bCs w:val="0"/>
                <w:color w:val="auto"/>
                <w:sz w:val="24"/>
                <w:szCs w:val="24"/>
                <w:highlight w:val="none"/>
              </w:rPr>
              <w:t>.</w:t>
            </w:r>
            <w:r>
              <w:rPr>
                <w:rFonts w:hint="default" w:ascii="Times New Roman" w:hAnsi="Times New Roman" w:eastAsia="宋体" w:cs="Times New Roman"/>
                <w:b/>
                <w:bCs w:val="0"/>
                <w:color w:val="auto"/>
                <w:sz w:val="24"/>
                <w:szCs w:val="24"/>
                <w:highlight w:val="none"/>
              </w:rPr>
              <w:t>2</w:t>
            </w:r>
            <w:r>
              <w:rPr>
                <w:rFonts w:hint="default" w:ascii="Times New Roman" w:hAnsi="Times New Roman" w:eastAsia="宋体" w:cs="Times New Roman"/>
                <w:b/>
                <w:bCs w:val="0"/>
                <w:color w:val="auto"/>
                <w:sz w:val="24"/>
                <w:szCs w:val="24"/>
                <w:highlight w:val="none"/>
                <w:lang w:val="en-US" w:eastAsia="zh-CN"/>
              </w:rPr>
              <w:t>.6.2</w:t>
            </w:r>
            <w:r>
              <w:rPr>
                <w:rFonts w:hint="default" w:ascii="Times New Roman" w:hAnsi="Times New Roman" w:eastAsia="宋体" w:cs="Times New Roman"/>
                <w:b/>
                <w:bCs w:val="0"/>
                <w:color w:val="auto"/>
                <w:sz w:val="24"/>
                <w:szCs w:val="24"/>
                <w:highlight w:val="none"/>
              </w:rPr>
              <w:t>废水污染物</w:t>
            </w:r>
          </w:p>
          <w:p w14:paraId="6289225D">
            <w:pPr>
              <w:pStyle w:val="70"/>
              <w:spacing w:line="360" w:lineRule="auto"/>
              <w:ind w:firstLine="480" w:firstLineChars="200"/>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lang w:eastAsia="zh-CN"/>
              </w:rPr>
              <w:t>现有</w:t>
            </w:r>
            <w:r>
              <w:rPr>
                <w:rFonts w:hint="default" w:ascii="Times New Roman" w:hAnsi="Times New Roman" w:cs="Times New Roman"/>
                <w:b w:val="0"/>
                <w:bCs/>
                <w:color w:val="auto"/>
                <w:sz w:val="24"/>
                <w:highlight w:val="none"/>
                <w:lang w:val="en-US" w:eastAsia="zh-CN"/>
              </w:rPr>
              <w:t>工程</w:t>
            </w:r>
            <w:r>
              <w:rPr>
                <w:rFonts w:hint="default" w:ascii="Times New Roman" w:hAnsi="Times New Roman" w:cs="Times New Roman"/>
                <w:b w:val="0"/>
                <w:bCs/>
                <w:color w:val="auto"/>
                <w:sz w:val="24"/>
                <w:highlight w:val="none"/>
              </w:rPr>
              <w:t>运营期间无生产废水</w:t>
            </w:r>
            <w:r>
              <w:rPr>
                <w:rFonts w:hint="default" w:ascii="Times New Roman" w:hAnsi="Times New Roman" w:cs="Times New Roman"/>
                <w:b w:val="0"/>
                <w:bCs/>
                <w:color w:val="auto"/>
                <w:sz w:val="24"/>
                <w:highlight w:val="none"/>
                <w:lang w:val="en-US" w:eastAsia="zh-CN"/>
              </w:rPr>
              <w:t>主要为循环冷却水池，循环冷却水池废水不排放</w:t>
            </w:r>
            <w:r>
              <w:rPr>
                <w:rFonts w:hint="default" w:ascii="Times New Roman" w:hAnsi="Times New Roman" w:cs="Times New Roman"/>
                <w:b w:val="0"/>
                <w:bCs/>
                <w:color w:val="auto"/>
                <w:sz w:val="24"/>
                <w:highlight w:val="none"/>
              </w:rPr>
              <w:t>，</w:t>
            </w:r>
            <w:r>
              <w:rPr>
                <w:rFonts w:hint="default" w:ascii="Times New Roman" w:hAnsi="Times New Roman" w:cs="Times New Roman"/>
                <w:b w:val="0"/>
                <w:bCs/>
                <w:color w:val="auto"/>
                <w:sz w:val="24"/>
                <w:highlight w:val="none"/>
                <w:lang w:val="en-US" w:eastAsia="zh-CN"/>
              </w:rPr>
              <w:t>排放</w:t>
            </w:r>
            <w:r>
              <w:rPr>
                <w:rFonts w:hint="default" w:ascii="Times New Roman" w:hAnsi="Times New Roman" w:cs="Times New Roman"/>
                <w:b w:val="0"/>
                <w:bCs/>
                <w:color w:val="auto"/>
                <w:sz w:val="24"/>
                <w:highlight w:val="none"/>
              </w:rPr>
              <w:t>的废水主要为员工生活污水。生活污水直接排入园区污水管网</w:t>
            </w:r>
            <w:r>
              <w:rPr>
                <w:rFonts w:hint="default" w:ascii="Times New Roman" w:hAnsi="Times New Roman" w:cs="Times New Roman"/>
                <w:b w:val="0"/>
                <w:bCs/>
                <w:color w:val="auto"/>
                <w:sz w:val="24"/>
                <w:highlight w:val="none"/>
                <w:lang w:eastAsia="zh-CN"/>
              </w:rPr>
              <w:t>。现有</w:t>
            </w:r>
            <w:r>
              <w:rPr>
                <w:rFonts w:hint="default" w:ascii="Times New Roman" w:hAnsi="Times New Roman" w:cs="Times New Roman"/>
                <w:b w:val="0"/>
                <w:bCs/>
                <w:color w:val="auto"/>
                <w:sz w:val="24"/>
                <w:highlight w:val="none"/>
                <w:lang w:val="en-US" w:eastAsia="zh-CN"/>
              </w:rPr>
              <w:t>工程废水</w:t>
            </w:r>
            <w:r>
              <w:rPr>
                <w:rFonts w:hint="default" w:ascii="Times New Roman" w:hAnsi="Times New Roman" w:cs="Times New Roman"/>
                <w:b w:val="0"/>
                <w:bCs/>
                <w:color w:val="auto"/>
                <w:sz w:val="24"/>
                <w:highlight w:val="none"/>
              </w:rPr>
              <w:t>污染物</w:t>
            </w:r>
            <w:r>
              <w:rPr>
                <w:rFonts w:hint="default" w:ascii="Times New Roman" w:hAnsi="Times New Roman" w:cs="Times New Roman"/>
                <w:b w:val="0"/>
                <w:bCs/>
                <w:color w:val="auto"/>
                <w:sz w:val="24"/>
                <w:highlight w:val="none"/>
                <w:lang w:val="en-US" w:eastAsia="zh-CN"/>
              </w:rPr>
              <w:t>产生及</w:t>
            </w:r>
            <w:r>
              <w:rPr>
                <w:rFonts w:hint="default" w:ascii="Times New Roman" w:hAnsi="Times New Roman" w:cs="Times New Roman"/>
                <w:b w:val="0"/>
                <w:bCs/>
                <w:color w:val="auto"/>
                <w:sz w:val="24"/>
                <w:highlight w:val="none"/>
              </w:rPr>
              <w:t>排放情况</w:t>
            </w:r>
            <w:r>
              <w:rPr>
                <w:rFonts w:hint="default" w:ascii="Times New Roman" w:hAnsi="Times New Roman" w:cs="Times New Roman"/>
                <w:b w:val="0"/>
                <w:bCs/>
                <w:color w:val="auto"/>
                <w:sz w:val="24"/>
                <w:highlight w:val="none"/>
                <w:lang w:eastAsia="zh-CN"/>
              </w:rPr>
              <w:t>，</w:t>
            </w:r>
            <w:r>
              <w:rPr>
                <w:rFonts w:hint="default" w:ascii="Times New Roman" w:hAnsi="Times New Roman" w:cs="Times New Roman"/>
                <w:b w:val="0"/>
                <w:bCs/>
                <w:color w:val="auto"/>
                <w:sz w:val="24"/>
                <w:highlight w:val="none"/>
              </w:rPr>
              <w:t>见表2-</w:t>
            </w:r>
            <w:r>
              <w:rPr>
                <w:rFonts w:hint="default" w:ascii="Times New Roman" w:hAnsi="Times New Roman" w:cs="Times New Roman"/>
                <w:b w:val="0"/>
                <w:bCs/>
                <w:color w:val="auto"/>
                <w:sz w:val="24"/>
                <w:highlight w:val="none"/>
                <w:lang w:val="en-US" w:eastAsia="zh-CN"/>
              </w:rPr>
              <w:t>1</w:t>
            </w:r>
            <w:r>
              <w:rPr>
                <w:rFonts w:hint="eastAsia" w:ascii="Times New Roman" w:hAnsi="Times New Roman" w:cs="Times New Roman"/>
                <w:b w:val="0"/>
                <w:bCs/>
                <w:color w:val="auto"/>
                <w:sz w:val="24"/>
                <w:highlight w:val="none"/>
                <w:lang w:val="en-US" w:eastAsia="zh-CN"/>
              </w:rPr>
              <w:t>3</w:t>
            </w:r>
            <w:r>
              <w:rPr>
                <w:rFonts w:hint="default" w:ascii="Times New Roman" w:hAnsi="Times New Roman" w:cs="Times New Roman"/>
                <w:b w:val="0"/>
                <w:bCs/>
                <w:color w:val="auto"/>
                <w:sz w:val="24"/>
                <w:highlight w:val="none"/>
              </w:rPr>
              <w:t>。</w:t>
            </w:r>
          </w:p>
          <w:p w14:paraId="684CD5A2">
            <w:pPr>
              <w:pStyle w:val="70"/>
              <w:ind w:firstLine="422" w:firstLineChars="20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表2-</w:t>
            </w:r>
            <w:r>
              <w:rPr>
                <w:rFonts w:hint="default" w:ascii="Times New Roman" w:hAnsi="Times New Roman" w:cs="Times New Roman"/>
                <w:color w:val="auto"/>
                <w:szCs w:val="21"/>
                <w:highlight w:val="none"/>
                <w:lang w:val="en-US" w:eastAsia="zh-CN"/>
              </w:rPr>
              <w:t>1</w:t>
            </w:r>
            <w:r>
              <w:rPr>
                <w:rFonts w:hint="eastAsia" w:ascii="Times New Roman" w:hAnsi="Times New Roman" w:cs="Times New Roman"/>
                <w:color w:val="auto"/>
                <w:szCs w:val="21"/>
                <w:highlight w:val="none"/>
                <w:lang w:val="en-US" w:eastAsia="zh-CN"/>
              </w:rPr>
              <w:t>3</w:t>
            </w:r>
            <w:r>
              <w:rPr>
                <w:rFonts w:hint="default" w:ascii="Times New Roman" w:hAnsi="Times New Roman" w:cs="Times New Roman"/>
                <w:color w:val="auto"/>
                <w:szCs w:val="21"/>
                <w:highlight w:val="none"/>
              </w:rPr>
              <w:t xml:space="preserve">   </w:t>
            </w:r>
            <w:r>
              <w:rPr>
                <w:rFonts w:hint="default" w:ascii="Times New Roman" w:hAnsi="Times New Roman" w:cs="Times New Roman"/>
                <w:color w:val="auto"/>
                <w:szCs w:val="21"/>
                <w:highlight w:val="none"/>
                <w:lang w:eastAsia="zh-CN"/>
              </w:rPr>
              <w:t>现有</w:t>
            </w:r>
            <w:r>
              <w:rPr>
                <w:rFonts w:hint="default" w:ascii="Times New Roman" w:hAnsi="Times New Roman" w:cs="Times New Roman"/>
                <w:color w:val="auto"/>
                <w:szCs w:val="21"/>
                <w:highlight w:val="none"/>
                <w:lang w:val="en-US" w:eastAsia="zh-CN"/>
              </w:rPr>
              <w:t>工程</w:t>
            </w:r>
            <w:r>
              <w:rPr>
                <w:rFonts w:hint="default" w:ascii="Times New Roman" w:hAnsi="Times New Roman" w:cs="Times New Roman"/>
                <w:color w:val="auto"/>
                <w:szCs w:val="21"/>
                <w:highlight w:val="none"/>
              </w:rPr>
              <w:t>废水</w:t>
            </w:r>
            <w:r>
              <w:rPr>
                <w:rFonts w:hint="default" w:ascii="Times New Roman" w:hAnsi="Times New Roman" w:cs="Times New Roman"/>
                <w:color w:val="auto"/>
                <w:szCs w:val="21"/>
                <w:highlight w:val="none"/>
                <w:lang w:val="en-US" w:eastAsia="zh-CN"/>
              </w:rPr>
              <w:t>产生及</w:t>
            </w:r>
            <w:r>
              <w:rPr>
                <w:rFonts w:hint="default" w:ascii="Times New Roman" w:hAnsi="Times New Roman" w:cs="Times New Roman"/>
                <w:color w:val="auto"/>
                <w:szCs w:val="21"/>
                <w:highlight w:val="none"/>
              </w:rPr>
              <w:t>排放情况一览表</w:t>
            </w:r>
          </w:p>
          <w:tbl>
            <w:tblPr>
              <w:tblStyle w:val="24"/>
              <w:tblW w:w="4996" w:type="pct"/>
              <w:tblInd w:w="2"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513"/>
              <w:gridCol w:w="1256"/>
              <w:gridCol w:w="1452"/>
              <w:gridCol w:w="1690"/>
              <w:gridCol w:w="1934"/>
            </w:tblGrid>
            <w:tr w14:paraId="355884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964" w:type="pct"/>
                  <w:vMerge w:val="restart"/>
                  <w:noWrap w:val="0"/>
                  <w:vAlign w:val="center"/>
                </w:tcPr>
                <w:p w14:paraId="546677AB">
                  <w:pPr>
                    <w:widowControl/>
                    <w:kinsoku w:val="0"/>
                    <w:autoSpaceDE w:val="0"/>
                    <w:autoSpaceDN w:val="0"/>
                    <w:adjustRightInd w:val="0"/>
                    <w:snapToGrid w:val="0"/>
                    <w:jc w:val="center"/>
                    <w:textAlignment w:val="baseline"/>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产生量</w:t>
                  </w:r>
                </w:p>
              </w:tc>
              <w:tc>
                <w:tcPr>
                  <w:tcW w:w="800" w:type="pct"/>
                  <w:vMerge w:val="restart"/>
                  <w:noWrap w:val="0"/>
                  <w:vAlign w:val="center"/>
                </w:tcPr>
                <w:p w14:paraId="6E3E2C4D">
                  <w:pPr>
                    <w:widowControl/>
                    <w:kinsoku w:val="0"/>
                    <w:autoSpaceDE w:val="0"/>
                    <w:autoSpaceDN w:val="0"/>
                    <w:adjustRightInd w:val="0"/>
                    <w:snapToGrid w:val="0"/>
                    <w:jc w:val="center"/>
                    <w:textAlignment w:val="baseline"/>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污染因子</w:t>
                  </w:r>
                </w:p>
              </w:tc>
              <w:tc>
                <w:tcPr>
                  <w:tcW w:w="2002" w:type="pct"/>
                  <w:gridSpan w:val="2"/>
                  <w:noWrap w:val="0"/>
                  <w:vAlign w:val="center"/>
                </w:tcPr>
                <w:p w14:paraId="2F239B83">
                  <w:pPr>
                    <w:widowControl/>
                    <w:kinsoku w:val="0"/>
                    <w:autoSpaceDE w:val="0"/>
                    <w:autoSpaceDN w:val="0"/>
                    <w:adjustRightInd w:val="0"/>
                    <w:snapToGrid w:val="0"/>
                    <w:jc w:val="center"/>
                    <w:textAlignment w:val="baseline"/>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排放情况</w:t>
                  </w:r>
                </w:p>
              </w:tc>
              <w:tc>
                <w:tcPr>
                  <w:tcW w:w="1232" w:type="pct"/>
                  <w:vMerge w:val="restart"/>
                  <w:noWrap w:val="0"/>
                  <w:vAlign w:val="center"/>
                </w:tcPr>
                <w:p w14:paraId="3C621FF2">
                  <w:pPr>
                    <w:widowControl/>
                    <w:kinsoku w:val="0"/>
                    <w:autoSpaceDE w:val="0"/>
                    <w:autoSpaceDN w:val="0"/>
                    <w:adjustRightInd w:val="0"/>
                    <w:snapToGrid w:val="0"/>
                    <w:jc w:val="center"/>
                    <w:textAlignment w:val="baseline"/>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治理措施及排放去向</w:t>
                  </w:r>
                </w:p>
              </w:tc>
            </w:tr>
            <w:tr w14:paraId="26D97F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964" w:type="pct"/>
                  <w:vMerge w:val="continue"/>
                  <w:noWrap w:val="0"/>
                  <w:vAlign w:val="center"/>
                </w:tcPr>
                <w:p w14:paraId="3EA2AEF4">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c>
                <w:tcPr>
                  <w:tcW w:w="800" w:type="pct"/>
                  <w:vMerge w:val="continue"/>
                  <w:noWrap w:val="0"/>
                  <w:vAlign w:val="center"/>
                </w:tcPr>
                <w:p w14:paraId="4C4392BC">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c>
                <w:tcPr>
                  <w:tcW w:w="925" w:type="pct"/>
                  <w:noWrap w:val="0"/>
                  <w:vAlign w:val="center"/>
                </w:tcPr>
                <w:p w14:paraId="02F9F314">
                  <w:pPr>
                    <w:widowControl/>
                    <w:kinsoku w:val="0"/>
                    <w:autoSpaceDE w:val="0"/>
                    <w:autoSpaceDN w:val="0"/>
                    <w:adjustRightInd w:val="0"/>
                    <w:snapToGrid w:val="0"/>
                    <w:jc w:val="center"/>
                    <w:textAlignment w:val="baseline"/>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浓度（</w:t>
                  </w:r>
                  <w:r>
                    <w:rPr>
                      <w:rFonts w:hint="default" w:ascii="Times New Roman" w:hAnsi="Times New Roman" w:eastAsia="Times New Roman" w:cs="Times New Roman"/>
                      <w:b/>
                      <w:bCs/>
                      <w:color w:val="auto"/>
                      <w:szCs w:val="21"/>
                      <w:highlight w:val="none"/>
                    </w:rPr>
                    <w:t>mg/L</w:t>
                  </w:r>
                  <w:r>
                    <w:rPr>
                      <w:rFonts w:hint="default" w:ascii="Times New Roman" w:hAnsi="Times New Roman" w:cs="Times New Roman"/>
                      <w:b/>
                      <w:bCs/>
                      <w:color w:val="auto"/>
                      <w:szCs w:val="21"/>
                      <w:highlight w:val="none"/>
                    </w:rPr>
                    <w:t>）</w:t>
                  </w:r>
                </w:p>
              </w:tc>
              <w:tc>
                <w:tcPr>
                  <w:tcW w:w="1077" w:type="pct"/>
                  <w:noWrap w:val="0"/>
                  <w:vAlign w:val="center"/>
                </w:tcPr>
                <w:p w14:paraId="4B43174F">
                  <w:pPr>
                    <w:widowControl/>
                    <w:kinsoku w:val="0"/>
                    <w:autoSpaceDE w:val="0"/>
                    <w:autoSpaceDN w:val="0"/>
                    <w:adjustRightInd w:val="0"/>
                    <w:snapToGrid w:val="0"/>
                    <w:jc w:val="center"/>
                    <w:textAlignment w:val="baseline"/>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排放量（</w:t>
                  </w:r>
                  <w:r>
                    <w:rPr>
                      <w:rFonts w:hint="default" w:ascii="Times New Roman" w:hAnsi="Times New Roman" w:eastAsia="Times New Roman" w:cs="Times New Roman"/>
                      <w:b/>
                      <w:bCs/>
                      <w:color w:val="auto"/>
                      <w:szCs w:val="21"/>
                      <w:highlight w:val="none"/>
                    </w:rPr>
                    <w:t>t/a</w:t>
                  </w:r>
                  <w:r>
                    <w:rPr>
                      <w:rFonts w:hint="default" w:ascii="Times New Roman" w:hAnsi="Times New Roman" w:cs="Times New Roman"/>
                      <w:b/>
                      <w:bCs/>
                      <w:color w:val="auto"/>
                      <w:szCs w:val="21"/>
                      <w:highlight w:val="none"/>
                    </w:rPr>
                    <w:t>）</w:t>
                  </w:r>
                </w:p>
              </w:tc>
              <w:tc>
                <w:tcPr>
                  <w:tcW w:w="1232" w:type="pct"/>
                  <w:vMerge w:val="continue"/>
                  <w:noWrap w:val="0"/>
                  <w:vAlign w:val="center"/>
                </w:tcPr>
                <w:p w14:paraId="306A54AC">
                  <w:pPr>
                    <w:widowControl/>
                    <w:kinsoku w:val="0"/>
                    <w:autoSpaceDE w:val="0"/>
                    <w:autoSpaceDN w:val="0"/>
                    <w:adjustRightInd w:val="0"/>
                    <w:snapToGrid w:val="0"/>
                    <w:jc w:val="center"/>
                    <w:textAlignment w:val="baseline"/>
                    <w:rPr>
                      <w:rFonts w:hint="default" w:ascii="Times New Roman" w:hAnsi="Times New Roman" w:cs="Times New Roman"/>
                      <w:b/>
                      <w:bCs/>
                      <w:color w:val="auto"/>
                      <w:szCs w:val="21"/>
                      <w:highlight w:val="none"/>
                    </w:rPr>
                  </w:pPr>
                </w:p>
              </w:tc>
            </w:tr>
            <w:tr w14:paraId="0F470C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964" w:type="pct"/>
                  <w:vMerge w:val="restart"/>
                  <w:noWrap w:val="0"/>
                  <w:vAlign w:val="center"/>
                </w:tcPr>
                <w:p w14:paraId="6794E7D3">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生活污水</w:t>
                  </w:r>
                </w:p>
                <w:p w14:paraId="65BB50B1">
                  <w:pPr>
                    <w:widowControl/>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r>
                    <w:rPr>
                      <w:rFonts w:hint="default" w:ascii="Times New Roman" w:hAnsi="Times New Roman" w:eastAsia="宋体" w:cs="Times New Roman"/>
                      <w:color w:val="auto"/>
                      <w:kern w:val="2"/>
                      <w:sz w:val="21"/>
                      <w:szCs w:val="21"/>
                      <w:highlight w:val="none"/>
                      <w:lang w:val="en-US" w:eastAsia="zh-CN" w:bidi="ar-SA"/>
                    </w:rPr>
                    <w:t>342</w:t>
                  </w:r>
                  <w:r>
                    <w:rPr>
                      <w:rFonts w:hint="default" w:ascii="Times New Roman" w:hAnsi="Times New Roman" w:cs="Times New Roman"/>
                      <w:color w:val="auto"/>
                      <w:sz w:val="21"/>
                      <w:szCs w:val="21"/>
                      <w:highlight w:val="none"/>
                    </w:rPr>
                    <w:t>t/a）</w:t>
                  </w:r>
                </w:p>
              </w:tc>
              <w:tc>
                <w:tcPr>
                  <w:tcW w:w="800" w:type="pct"/>
                  <w:noWrap w:val="0"/>
                  <w:vAlign w:val="center"/>
                </w:tcPr>
                <w:p w14:paraId="1E788A3C">
                  <w:pPr>
                    <w:widowControl/>
                    <w:kinsoku w:val="0"/>
                    <w:autoSpaceDE w:val="0"/>
                    <w:autoSpaceDN w:val="0"/>
                    <w:adjustRightInd w:val="0"/>
                    <w:snapToGrid w:val="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COD</w:t>
                  </w:r>
                </w:p>
              </w:tc>
              <w:tc>
                <w:tcPr>
                  <w:tcW w:w="925" w:type="pct"/>
                  <w:noWrap w:val="0"/>
                  <w:vAlign w:val="center"/>
                </w:tcPr>
                <w:p w14:paraId="471DD0F7">
                  <w:pPr>
                    <w:widowControl/>
                    <w:kinsoku w:val="0"/>
                    <w:autoSpaceDE w:val="0"/>
                    <w:autoSpaceDN w:val="0"/>
                    <w:adjustRightInd w:val="0"/>
                    <w:snapToGrid w:val="0"/>
                    <w:jc w:val="center"/>
                    <w:textAlignment w:val="baseline"/>
                    <w:rPr>
                      <w:rFonts w:hint="default" w:ascii="Times New Roman" w:hAnsi="Times New Roman" w:eastAsia="Times New Roman" w:cs="Times New Roman"/>
                      <w:color w:val="auto"/>
                      <w:szCs w:val="21"/>
                      <w:highlight w:val="none"/>
                    </w:rPr>
                  </w:pPr>
                  <w:r>
                    <w:rPr>
                      <w:rFonts w:hint="default" w:ascii="Times New Roman" w:hAnsi="Times New Roman" w:eastAsia="Times New Roman" w:cs="Times New Roman"/>
                      <w:color w:val="auto"/>
                      <w:szCs w:val="21"/>
                      <w:highlight w:val="none"/>
                    </w:rPr>
                    <w:t>400</w:t>
                  </w:r>
                </w:p>
              </w:tc>
              <w:tc>
                <w:tcPr>
                  <w:tcW w:w="1662" w:type="dxa"/>
                  <w:noWrap w:val="0"/>
                  <w:vAlign w:val="center"/>
                </w:tcPr>
                <w:p w14:paraId="33AF5EA6">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0.050</w:t>
                  </w:r>
                </w:p>
              </w:tc>
              <w:tc>
                <w:tcPr>
                  <w:tcW w:w="1232" w:type="pct"/>
                  <w:vMerge w:val="restart"/>
                  <w:noWrap w:val="0"/>
                  <w:vAlign w:val="center"/>
                </w:tcPr>
                <w:p w14:paraId="612CF1B4">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排入园区污水管网，最终排至园区污水处理厂集中处理</w:t>
                  </w:r>
                </w:p>
              </w:tc>
            </w:tr>
            <w:tr w14:paraId="6C28BB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964" w:type="pct"/>
                  <w:vMerge w:val="continue"/>
                  <w:noWrap w:val="0"/>
                  <w:vAlign w:val="center"/>
                </w:tcPr>
                <w:p w14:paraId="4DA56D40">
                  <w:pPr>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p>
              </w:tc>
              <w:tc>
                <w:tcPr>
                  <w:tcW w:w="800" w:type="pct"/>
                  <w:noWrap w:val="0"/>
                  <w:vAlign w:val="center"/>
                </w:tcPr>
                <w:p w14:paraId="00AB74AB">
                  <w:pPr>
                    <w:widowControl/>
                    <w:kinsoku w:val="0"/>
                    <w:autoSpaceDE w:val="0"/>
                    <w:autoSpaceDN w:val="0"/>
                    <w:adjustRightInd w:val="0"/>
                    <w:snapToGrid w:val="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BOD</w:t>
                  </w:r>
                </w:p>
              </w:tc>
              <w:tc>
                <w:tcPr>
                  <w:tcW w:w="925" w:type="pct"/>
                  <w:noWrap w:val="0"/>
                  <w:vAlign w:val="center"/>
                </w:tcPr>
                <w:p w14:paraId="743B1D19">
                  <w:pPr>
                    <w:widowControl/>
                    <w:kinsoku w:val="0"/>
                    <w:autoSpaceDE w:val="0"/>
                    <w:autoSpaceDN w:val="0"/>
                    <w:adjustRightInd w:val="0"/>
                    <w:snapToGrid w:val="0"/>
                    <w:jc w:val="center"/>
                    <w:textAlignment w:val="baseline"/>
                    <w:rPr>
                      <w:rFonts w:hint="default" w:ascii="Times New Roman" w:hAnsi="Times New Roman" w:eastAsia="Times New Roman" w:cs="Times New Roman"/>
                      <w:color w:val="auto"/>
                      <w:szCs w:val="21"/>
                      <w:highlight w:val="none"/>
                    </w:rPr>
                  </w:pPr>
                  <w:r>
                    <w:rPr>
                      <w:rFonts w:hint="default" w:ascii="Times New Roman" w:hAnsi="Times New Roman" w:eastAsia="Times New Roman" w:cs="Times New Roman"/>
                      <w:color w:val="auto"/>
                      <w:szCs w:val="21"/>
                      <w:highlight w:val="none"/>
                    </w:rPr>
                    <w:t>300</w:t>
                  </w:r>
                </w:p>
              </w:tc>
              <w:tc>
                <w:tcPr>
                  <w:tcW w:w="1662" w:type="dxa"/>
                  <w:noWrap w:val="0"/>
                  <w:vAlign w:val="center"/>
                </w:tcPr>
                <w:p w14:paraId="68DC3079">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0.03</w:t>
                  </w:r>
                  <w:r>
                    <w:rPr>
                      <w:rFonts w:hint="default" w:ascii="Times New Roman" w:hAnsi="Times New Roman" w:cs="Times New Roman"/>
                      <w:i w:val="0"/>
                      <w:iCs w:val="0"/>
                      <w:color w:val="auto"/>
                      <w:kern w:val="0"/>
                      <w:sz w:val="21"/>
                      <w:szCs w:val="21"/>
                      <w:highlight w:val="none"/>
                      <w:u w:val="none"/>
                      <w:lang w:val="en-US" w:eastAsia="zh-CN" w:bidi="ar"/>
                    </w:rPr>
                    <w:t>8</w:t>
                  </w:r>
                </w:p>
              </w:tc>
              <w:tc>
                <w:tcPr>
                  <w:tcW w:w="1232" w:type="pct"/>
                  <w:vMerge w:val="continue"/>
                  <w:noWrap w:val="0"/>
                  <w:vAlign w:val="center"/>
                </w:tcPr>
                <w:p w14:paraId="4587FEEA">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r>
            <w:tr w14:paraId="72E97B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64" w:type="pct"/>
                  <w:vMerge w:val="continue"/>
                  <w:noWrap w:val="0"/>
                  <w:vAlign w:val="center"/>
                </w:tcPr>
                <w:p w14:paraId="399B7097">
                  <w:pPr>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p>
              </w:tc>
              <w:tc>
                <w:tcPr>
                  <w:tcW w:w="800" w:type="pct"/>
                  <w:noWrap w:val="0"/>
                  <w:vAlign w:val="center"/>
                </w:tcPr>
                <w:p w14:paraId="08E06956">
                  <w:pPr>
                    <w:widowControl/>
                    <w:kinsoku w:val="0"/>
                    <w:autoSpaceDE w:val="0"/>
                    <w:autoSpaceDN w:val="0"/>
                    <w:adjustRightInd w:val="0"/>
                    <w:snapToGrid w:val="0"/>
                    <w:jc w:val="center"/>
                    <w:textAlignment w:val="baseline"/>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SS</w:t>
                  </w:r>
                </w:p>
              </w:tc>
              <w:tc>
                <w:tcPr>
                  <w:tcW w:w="925" w:type="pct"/>
                  <w:noWrap w:val="0"/>
                  <w:vAlign w:val="center"/>
                </w:tcPr>
                <w:p w14:paraId="15D2041F">
                  <w:pPr>
                    <w:widowControl/>
                    <w:kinsoku w:val="0"/>
                    <w:autoSpaceDE w:val="0"/>
                    <w:autoSpaceDN w:val="0"/>
                    <w:adjustRightInd w:val="0"/>
                    <w:snapToGrid w:val="0"/>
                    <w:jc w:val="center"/>
                    <w:textAlignment w:val="baseline"/>
                    <w:rPr>
                      <w:rFonts w:hint="default" w:ascii="Times New Roman" w:hAnsi="Times New Roman" w:eastAsia="Times New Roman" w:cs="Times New Roman"/>
                      <w:color w:val="auto"/>
                      <w:szCs w:val="21"/>
                      <w:highlight w:val="none"/>
                    </w:rPr>
                  </w:pPr>
                  <w:r>
                    <w:rPr>
                      <w:rFonts w:hint="default" w:ascii="Times New Roman" w:hAnsi="Times New Roman" w:cs="Times New Roman"/>
                      <w:color w:val="auto"/>
                      <w:szCs w:val="21"/>
                      <w:highlight w:val="none"/>
                    </w:rPr>
                    <w:t>2</w:t>
                  </w:r>
                  <w:r>
                    <w:rPr>
                      <w:rFonts w:hint="default" w:ascii="Times New Roman" w:hAnsi="Times New Roman" w:eastAsia="Times New Roman" w:cs="Times New Roman"/>
                      <w:color w:val="auto"/>
                      <w:szCs w:val="21"/>
                      <w:highlight w:val="none"/>
                    </w:rPr>
                    <w:t>00</w:t>
                  </w:r>
                </w:p>
              </w:tc>
              <w:tc>
                <w:tcPr>
                  <w:tcW w:w="1662" w:type="dxa"/>
                  <w:noWrap w:val="0"/>
                  <w:vAlign w:val="center"/>
                </w:tcPr>
                <w:p w14:paraId="41E4EBF5">
                  <w:pPr>
                    <w:keepNext w:val="0"/>
                    <w:keepLines w:val="0"/>
                    <w:widowControl/>
                    <w:suppressLineNumbers w:val="0"/>
                    <w:jc w:val="center"/>
                    <w:textAlignment w:val="center"/>
                    <w:rPr>
                      <w:rFonts w:hint="default" w:ascii="Times New Roman" w:hAnsi="Times New Roman"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0.025</w:t>
                  </w:r>
                </w:p>
              </w:tc>
              <w:tc>
                <w:tcPr>
                  <w:tcW w:w="1232" w:type="pct"/>
                  <w:vMerge w:val="continue"/>
                  <w:noWrap w:val="0"/>
                  <w:vAlign w:val="center"/>
                </w:tcPr>
                <w:p w14:paraId="363923D9">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r>
            <w:tr w14:paraId="06F460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964" w:type="pct"/>
                  <w:vMerge w:val="continue"/>
                  <w:noWrap w:val="0"/>
                  <w:vAlign w:val="center"/>
                </w:tcPr>
                <w:p w14:paraId="6F9CEE94">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c>
                <w:tcPr>
                  <w:tcW w:w="800" w:type="pct"/>
                  <w:noWrap w:val="0"/>
                  <w:vAlign w:val="center"/>
                </w:tcPr>
                <w:p w14:paraId="0EB2A01B">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eastAsia="Times New Roman" w:cs="Times New Roman"/>
                      <w:color w:val="auto"/>
                      <w:szCs w:val="21"/>
                      <w:highlight w:val="none"/>
                    </w:rPr>
                    <w:t>NH</w:t>
                  </w:r>
                  <w:r>
                    <w:rPr>
                      <w:rFonts w:hint="default" w:ascii="Times New Roman" w:hAnsi="Times New Roman" w:eastAsia="Times New Roman" w:cs="Times New Roman"/>
                      <w:color w:val="auto"/>
                      <w:szCs w:val="21"/>
                      <w:highlight w:val="none"/>
                      <w:vertAlign w:val="subscript"/>
                    </w:rPr>
                    <w:t>3</w:t>
                  </w:r>
                  <w:r>
                    <w:rPr>
                      <w:rFonts w:hint="default" w:ascii="Times New Roman" w:hAnsi="Times New Roman" w:eastAsia="Times New Roman" w:cs="Times New Roman"/>
                      <w:color w:val="auto"/>
                      <w:szCs w:val="21"/>
                      <w:highlight w:val="none"/>
                    </w:rPr>
                    <w:t>-N</w:t>
                  </w:r>
                </w:p>
              </w:tc>
              <w:tc>
                <w:tcPr>
                  <w:tcW w:w="925" w:type="pct"/>
                  <w:noWrap w:val="0"/>
                  <w:vAlign w:val="center"/>
                </w:tcPr>
                <w:p w14:paraId="071F38D6">
                  <w:pPr>
                    <w:widowControl/>
                    <w:kinsoku w:val="0"/>
                    <w:autoSpaceDE w:val="0"/>
                    <w:autoSpaceDN w:val="0"/>
                    <w:adjustRightInd w:val="0"/>
                    <w:snapToGrid w:val="0"/>
                    <w:jc w:val="center"/>
                    <w:textAlignment w:val="baseline"/>
                    <w:rPr>
                      <w:rFonts w:hint="default" w:ascii="Times New Roman" w:hAnsi="Times New Roman" w:eastAsia="Times New Roman" w:cs="Times New Roman"/>
                      <w:color w:val="auto"/>
                      <w:szCs w:val="21"/>
                      <w:highlight w:val="none"/>
                    </w:rPr>
                  </w:pPr>
                  <w:r>
                    <w:rPr>
                      <w:rFonts w:hint="default" w:ascii="Times New Roman" w:hAnsi="Times New Roman" w:eastAsia="Times New Roman" w:cs="Times New Roman"/>
                      <w:color w:val="auto"/>
                      <w:szCs w:val="21"/>
                      <w:highlight w:val="none"/>
                    </w:rPr>
                    <w:t>45</w:t>
                  </w:r>
                </w:p>
              </w:tc>
              <w:tc>
                <w:tcPr>
                  <w:tcW w:w="1662" w:type="dxa"/>
                  <w:noWrap w:val="0"/>
                  <w:vAlign w:val="center"/>
                </w:tcPr>
                <w:p w14:paraId="1217FA44">
                  <w:pPr>
                    <w:keepNext w:val="0"/>
                    <w:keepLines w:val="0"/>
                    <w:widowControl/>
                    <w:suppressLineNumbers w:val="0"/>
                    <w:jc w:val="center"/>
                    <w:textAlignment w:val="center"/>
                    <w:rPr>
                      <w:rFonts w:hint="default" w:ascii="Times New Roman" w:hAnsi="Times New Roman" w:cs="Times New Roman"/>
                      <w:color w:val="auto"/>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0.00</w:t>
                  </w:r>
                  <w:r>
                    <w:rPr>
                      <w:rFonts w:hint="default" w:ascii="Times New Roman" w:hAnsi="Times New Roman" w:cs="Times New Roman"/>
                      <w:i w:val="0"/>
                      <w:iCs w:val="0"/>
                      <w:color w:val="auto"/>
                      <w:kern w:val="0"/>
                      <w:sz w:val="21"/>
                      <w:szCs w:val="21"/>
                      <w:highlight w:val="none"/>
                      <w:u w:val="none"/>
                      <w:lang w:val="en-US" w:eastAsia="zh-CN" w:bidi="ar"/>
                    </w:rPr>
                    <w:t>6</w:t>
                  </w:r>
                </w:p>
              </w:tc>
              <w:tc>
                <w:tcPr>
                  <w:tcW w:w="1232" w:type="pct"/>
                  <w:vMerge w:val="continue"/>
                  <w:noWrap w:val="0"/>
                  <w:vAlign w:val="center"/>
                </w:tcPr>
                <w:p w14:paraId="5A66521E">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r>
          </w:tbl>
          <w:p w14:paraId="611D9584">
            <w:pPr>
              <w:pStyle w:val="36"/>
              <w:spacing w:before="24" w:after="24"/>
              <w:ind w:left="0" w:firstLine="0" w:firstLineChars="0"/>
              <w:jc w:val="left"/>
              <w:textAlignment w:val="auto"/>
              <w:rPr>
                <w:rFonts w:hint="default" w:ascii="Times New Roman" w:hAnsi="Times New Roman" w:cs="Times New Roman"/>
                <w:b/>
                <w:bCs/>
                <w:color w:val="auto"/>
                <w:spacing w:val="0"/>
                <w:sz w:val="24"/>
                <w:szCs w:val="24"/>
                <w:highlight w:val="none"/>
              </w:rPr>
            </w:pPr>
            <w:r>
              <w:rPr>
                <w:rFonts w:hint="default" w:ascii="Times New Roman" w:hAnsi="Times New Roman" w:cs="Times New Roman"/>
                <w:b/>
                <w:bCs/>
                <w:color w:val="auto"/>
                <w:spacing w:val="0"/>
                <w:sz w:val="24"/>
                <w:szCs w:val="24"/>
                <w:highlight w:val="none"/>
              </w:rPr>
              <w:t>2.</w:t>
            </w:r>
            <w:r>
              <w:rPr>
                <w:rFonts w:hint="default" w:ascii="Times New Roman" w:hAnsi="Times New Roman" w:cs="Times New Roman"/>
                <w:b/>
                <w:bCs/>
                <w:color w:val="auto"/>
                <w:spacing w:val="0"/>
                <w:sz w:val="24"/>
                <w:szCs w:val="24"/>
                <w:highlight w:val="none"/>
                <w:lang w:val="en-US" w:eastAsia="zh-CN"/>
              </w:rPr>
              <w:t>2.6.3</w:t>
            </w:r>
            <w:r>
              <w:rPr>
                <w:rFonts w:hint="default" w:ascii="Times New Roman" w:hAnsi="Times New Roman" w:cs="Times New Roman"/>
                <w:b/>
                <w:bCs/>
                <w:color w:val="auto"/>
                <w:spacing w:val="0"/>
                <w:sz w:val="24"/>
                <w:szCs w:val="24"/>
                <w:highlight w:val="none"/>
              </w:rPr>
              <w:t>噪声</w:t>
            </w:r>
          </w:p>
          <w:p w14:paraId="64ED9554">
            <w:pPr>
              <w:pStyle w:val="12"/>
              <w:widowControl/>
              <w:adjustRightInd w:val="0"/>
              <w:snapToGrid w:val="0"/>
              <w:spacing w:line="360" w:lineRule="auto"/>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lang w:val="en-US" w:eastAsia="zh-CN" w:bidi="ar-SA"/>
              </w:rPr>
              <w:t>现有</w:t>
            </w:r>
            <w:r>
              <w:rPr>
                <w:rFonts w:hint="default" w:ascii="Times New Roman" w:hAnsi="Times New Roman" w:eastAsia="宋体" w:cs="Times New Roman"/>
                <w:color w:val="auto"/>
                <w:kern w:val="0"/>
                <w:sz w:val="24"/>
                <w:szCs w:val="24"/>
                <w:highlight w:val="none"/>
                <w:lang w:val="en-US" w:eastAsia="zh-CN" w:bidi="ar-SA"/>
              </w:rPr>
              <w:t>工程噪声源主要为各类机械设备，设备运行噪声在80-90dB（A）。运营期通过对设备加设减震垫、建筑物屏蔽隔声等降噪措施处理后，厂界噪声满足</w:t>
            </w:r>
            <w:r>
              <w:rPr>
                <w:rFonts w:hint="default" w:ascii="Times New Roman" w:hAnsi="Times New Roman" w:cs="Times New Roman"/>
                <w:color w:val="auto"/>
                <w:sz w:val="24"/>
                <w:szCs w:val="24"/>
                <w:highlight w:val="none"/>
              </w:rPr>
              <w:t>《工业企业厂界环境噪声排放标准》（GB12348-2008）中的3类声环境功能区标准要求。</w:t>
            </w:r>
          </w:p>
          <w:p w14:paraId="7377A57E">
            <w:pPr>
              <w:spacing w:line="360" w:lineRule="auto"/>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2.</w:t>
            </w:r>
            <w:r>
              <w:rPr>
                <w:rFonts w:hint="default" w:ascii="Times New Roman" w:hAnsi="Times New Roman" w:cs="Times New Roman"/>
                <w:b/>
                <w:color w:val="auto"/>
                <w:sz w:val="24"/>
                <w:highlight w:val="none"/>
                <w:lang w:val="en-US" w:eastAsia="zh-CN"/>
              </w:rPr>
              <w:t>2.6.4</w:t>
            </w:r>
            <w:r>
              <w:rPr>
                <w:rFonts w:hint="default" w:ascii="Times New Roman" w:hAnsi="Times New Roman" w:cs="Times New Roman"/>
                <w:b/>
                <w:color w:val="auto"/>
                <w:sz w:val="24"/>
                <w:highlight w:val="none"/>
              </w:rPr>
              <w:t>固体废物</w:t>
            </w:r>
          </w:p>
          <w:p w14:paraId="617C4CCC">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现有</w:t>
            </w:r>
            <w:r>
              <w:rPr>
                <w:rFonts w:hint="default" w:ascii="Times New Roman" w:hAnsi="Times New Roman" w:eastAsia="宋体" w:cs="Times New Roman"/>
                <w:color w:val="auto"/>
                <w:sz w:val="24"/>
                <w:highlight w:val="none"/>
                <w:lang w:val="en-US" w:eastAsia="zh-CN"/>
              </w:rPr>
              <w:t>工程运营期</w:t>
            </w:r>
            <w:r>
              <w:rPr>
                <w:rFonts w:hint="default" w:ascii="Times New Roman" w:hAnsi="Times New Roman" w:eastAsia="宋体" w:cs="Times New Roman"/>
                <w:color w:val="auto"/>
                <w:sz w:val="24"/>
                <w:szCs w:val="24"/>
                <w:highlight w:val="none"/>
              </w:rPr>
              <w:t>间</w:t>
            </w:r>
            <w:r>
              <w:rPr>
                <w:rFonts w:hint="default" w:ascii="Times New Roman" w:hAnsi="Times New Roman" w:eastAsia="宋体" w:cs="Times New Roman"/>
                <w:color w:val="auto"/>
                <w:sz w:val="24"/>
                <w:szCs w:val="24"/>
                <w:highlight w:val="none"/>
                <w:lang w:val="en-US" w:eastAsia="zh-CN"/>
              </w:rPr>
              <w:t>产生的</w:t>
            </w:r>
            <w:r>
              <w:rPr>
                <w:rFonts w:hint="default" w:ascii="Times New Roman" w:hAnsi="Times New Roman" w:eastAsia="宋体" w:cs="Times New Roman"/>
                <w:color w:val="auto"/>
                <w:sz w:val="24"/>
                <w:highlight w:val="none"/>
                <w:lang w:val="en-US" w:eastAsia="zh-CN"/>
              </w:rPr>
              <w:t>固废主要为员工生活垃圾、</w:t>
            </w:r>
            <w:r>
              <w:rPr>
                <w:rFonts w:hint="default" w:ascii="Times New Roman" w:hAnsi="Times New Roman" w:cs="Times New Roman"/>
                <w:color w:val="auto"/>
                <w:sz w:val="24"/>
                <w:highlight w:val="none"/>
                <w:lang w:val="en-US" w:eastAsia="zh-CN"/>
              </w:rPr>
              <w:t>不合格产品、</w:t>
            </w:r>
            <w:r>
              <w:rPr>
                <w:rFonts w:hint="default" w:ascii="Times New Roman" w:hAnsi="Times New Roman" w:cs="Times New Roman"/>
                <w:color w:val="auto"/>
                <w:sz w:val="24"/>
                <w:highlight w:val="none"/>
              </w:rPr>
              <w:t>废灯管</w:t>
            </w:r>
            <w:r>
              <w:rPr>
                <w:rFonts w:hint="default" w:ascii="Times New Roman" w:hAnsi="Times New Roman" w:cs="Times New Roman"/>
                <w:color w:val="auto"/>
                <w:sz w:val="24"/>
                <w:highlight w:val="none"/>
                <w:lang w:val="en-US" w:eastAsia="zh-CN"/>
              </w:rPr>
              <w:t>和</w:t>
            </w:r>
            <w:r>
              <w:rPr>
                <w:rFonts w:hint="default" w:ascii="Times New Roman" w:hAnsi="Times New Roman" w:cs="Times New Roman"/>
                <w:color w:val="auto"/>
                <w:sz w:val="24"/>
                <w:highlight w:val="none"/>
              </w:rPr>
              <w:t>机械维修时产生</w:t>
            </w:r>
            <w:r>
              <w:rPr>
                <w:rFonts w:hint="default" w:ascii="Times New Roman" w:hAnsi="Times New Roman" w:cs="Times New Roman"/>
                <w:color w:val="auto"/>
                <w:sz w:val="24"/>
                <w:highlight w:val="none"/>
                <w:lang w:val="en-US" w:eastAsia="zh-CN"/>
              </w:rPr>
              <w:t>的</w:t>
            </w:r>
            <w:r>
              <w:rPr>
                <w:rFonts w:hint="default" w:ascii="Times New Roman" w:hAnsi="Times New Roman" w:eastAsia="宋体" w:cs="Times New Roman"/>
                <w:color w:val="auto"/>
                <w:sz w:val="24"/>
                <w:highlight w:val="none"/>
                <w:lang w:val="en-US" w:eastAsia="zh-CN"/>
              </w:rPr>
              <w:t>废润滑油</w:t>
            </w:r>
            <w:r>
              <w:rPr>
                <w:rFonts w:hint="default" w:ascii="Times New Roman" w:hAnsi="Times New Roman" w:cs="Times New Roman"/>
                <w:color w:val="auto"/>
                <w:sz w:val="24"/>
                <w:highlight w:val="none"/>
              </w:rPr>
              <w:t>。</w:t>
            </w:r>
          </w:p>
          <w:p w14:paraId="7CD25FC3">
            <w:pPr>
              <w:spacing w:line="360" w:lineRule="auto"/>
              <w:ind w:firstLine="480" w:firstLineChars="20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lang w:eastAsia="zh-CN"/>
              </w:rPr>
              <w:t>现有</w:t>
            </w:r>
            <w:r>
              <w:rPr>
                <w:rFonts w:hint="default" w:ascii="Times New Roman" w:hAnsi="Times New Roman" w:cs="Times New Roman"/>
                <w:color w:val="auto"/>
                <w:sz w:val="24"/>
                <w:szCs w:val="32"/>
                <w:highlight w:val="none"/>
              </w:rPr>
              <w:t>项目固体废物产生及处置情况见表2-1</w:t>
            </w:r>
            <w:r>
              <w:rPr>
                <w:rFonts w:hint="eastAsia" w:ascii="Times New Roman" w:hAnsi="Times New Roman" w:cs="Times New Roman"/>
                <w:color w:val="auto"/>
                <w:sz w:val="24"/>
                <w:szCs w:val="32"/>
                <w:highlight w:val="none"/>
                <w:lang w:val="en-US" w:eastAsia="zh-CN"/>
              </w:rPr>
              <w:t>4</w:t>
            </w:r>
            <w:r>
              <w:rPr>
                <w:rFonts w:hint="default" w:ascii="Times New Roman" w:hAnsi="Times New Roman" w:cs="Times New Roman"/>
                <w:color w:val="auto"/>
                <w:sz w:val="24"/>
                <w:szCs w:val="32"/>
                <w:highlight w:val="none"/>
              </w:rPr>
              <w:t>。</w:t>
            </w:r>
          </w:p>
          <w:p w14:paraId="21E6D1A4">
            <w:pPr>
              <w:pStyle w:val="5"/>
              <w:spacing w:before="0" w:after="0" w:line="260" w:lineRule="auto"/>
              <w:ind w:right="0"/>
              <w:jc w:val="center"/>
              <w:rPr>
                <w:rFonts w:hint="default" w:ascii="Times New Roman" w:hAnsi="Times New Roman" w:cs="Times New Roman"/>
                <w:b/>
                <w:bCs/>
                <w:color w:val="auto"/>
                <w:sz w:val="21"/>
                <w:szCs w:val="22"/>
                <w:highlight w:val="none"/>
              </w:rPr>
            </w:pPr>
            <w:r>
              <w:rPr>
                <w:rFonts w:hint="default" w:ascii="Times New Roman" w:hAnsi="Times New Roman" w:cs="Times New Roman"/>
                <w:b/>
                <w:bCs/>
                <w:color w:val="auto"/>
                <w:sz w:val="21"/>
                <w:szCs w:val="22"/>
                <w:highlight w:val="none"/>
              </w:rPr>
              <w:t>表2-1</w:t>
            </w:r>
            <w:r>
              <w:rPr>
                <w:rFonts w:hint="eastAsia" w:ascii="Times New Roman" w:hAnsi="Times New Roman" w:cs="Times New Roman"/>
                <w:b/>
                <w:bCs/>
                <w:color w:val="auto"/>
                <w:sz w:val="21"/>
                <w:szCs w:val="22"/>
                <w:highlight w:val="none"/>
                <w:lang w:val="en-US" w:eastAsia="zh-CN"/>
              </w:rPr>
              <w:t>4</w:t>
            </w:r>
            <w:r>
              <w:rPr>
                <w:rFonts w:hint="default" w:ascii="Times New Roman" w:hAnsi="Times New Roman" w:cs="Times New Roman"/>
                <w:b/>
                <w:bCs/>
                <w:color w:val="auto"/>
                <w:sz w:val="21"/>
                <w:szCs w:val="22"/>
                <w:highlight w:val="none"/>
              </w:rPr>
              <w:t xml:space="preserve">   </w:t>
            </w:r>
            <w:r>
              <w:rPr>
                <w:rFonts w:hint="default" w:ascii="Times New Roman" w:hAnsi="Times New Roman" w:cs="Times New Roman"/>
                <w:b/>
                <w:bCs/>
                <w:color w:val="auto"/>
                <w:sz w:val="21"/>
                <w:szCs w:val="22"/>
                <w:highlight w:val="none"/>
                <w:lang w:eastAsia="zh-CN"/>
              </w:rPr>
              <w:t>现有</w:t>
            </w:r>
            <w:r>
              <w:rPr>
                <w:rFonts w:hint="default" w:ascii="Times New Roman" w:hAnsi="Times New Roman" w:cs="Times New Roman"/>
                <w:b/>
                <w:bCs/>
                <w:color w:val="auto"/>
                <w:sz w:val="21"/>
                <w:szCs w:val="22"/>
                <w:highlight w:val="none"/>
              </w:rPr>
              <w:t>项目固体废物产生及处置情况一览表</w:t>
            </w:r>
          </w:p>
          <w:tbl>
            <w:tblPr>
              <w:tblStyle w:val="2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692"/>
              <w:gridCol w:w="1223"/>
              <w:gridCol w:w="1492"/>
              <w:gridCol w:w="3441"/>
            </w:tblGrid>
            <w:tr w14:paraId="6A0AB1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857" w:type="pct"/>
                  <w:gridSpan w:val="2"/>
                  <w:tcBorders>
                    <w:bottom w:val="single" w:color="000000" w:sz="12" w:space="0"/>
                  </w:tcBorders>
                  <w:noWrap w:val="0"/>
                  <w:vAlign w:val="center"/>
                </w:tcPr>
                <w:p w14:paraId="70E54D34">
                  <w:pPr>
                    <w:widowControl/>
                    <w:kinsoku w:val="0"/>
                    <w:autoSpaceDE w:val="0"/>
                    <w:autoSpaceDN w:val="0"/>
                    <w:adjustRightInd w:val="0"/>
                    <w:snapToGrid w:val="0"/>
                    <w:jc w:val="center"/>
                    <w:textAlignment w:val="baseline"/>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类别</w:t>
                  </w:r>
                </w:p>
              </w:tc>
              <w:tc>
                <w:tcPr>
                  <w:tcW w:w="950" w:type="pct"/>
                  <w:tcBorders>
                    <w:bottom w:val="single" w:color="000000" w:sz="12" w:space="0"/>
                  </w:tcBorders>
                  <w:noWrap w:val="0"/>
                  <w:vAlign w:val="center"/>
                </w:tcPr>
                <w:p w14:paraId="7B8CE60A">
                  <w:pPr>
                    <w:widowControl/>
                    <w:kinsoku w:val="0"/>
                    <w:autoSpaceDE w:val="0"/>
                    <w:autoSpaceDN w:val="0"/>
                    <w:adjustRightInd w:val="0"/>
                    <w:snapToGrid w:val="0"/>
                    <w:jc w:val="center"/>
                    <w:textAlignment w:val="baseline"/>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产生量（</w:t>
                  </w:r>
                  <w:r>
                    <w:rPr>
                      <w:rFonts w:hint="default" w:ascii="Times New Roman" w:hAnsi="Times New Roman" w:eastAsia="Times New Roman" w:cs="Times New Roman"/>
                      <w:b/>
                      <w:bCs/>
                      <w:color w:val="auto"/>
                      <w:szCs w:val="21"/>
                      <w:highlight w:val="none"/>
                    </w:rPr>
                    <w:t>t/a</w:t>
                  </w:r>
                  <w:r>
                    <w:rPr>
                      <w:rFonts w:hint="default" w:ascii="Times New Roman" w:hAnsi="Times New Roman" w:cs="Times New Roman"/>
                      <w:b/>
                      <w:bCs/>
                      <w:color w:val="auto"/>
                      <w:szCs w:val="21"/>
                      <w:highlight w:val="none"/>
                    </w:rPr>
                    <w:t>）</w:t>
                  </w:r>
                </w:p>
              </w:tc>
              <w:tc>
                <w:tcPr>
                  <w:tcW w:w="2192" w:type="pct"/>
                  <w:tcBorders>
                    <w:bottom w:val="single" w:color="000000" w:sz="12" w:space="0"/>
                  </w:tcBorders>
                  <w:noWrap w:val="0"/>
                  <w:vAlign w:val="center"/>
                </w:tcPr>
                <w:p w14:paraId="65C2CA82">
                  <w:pPr>
                    <w:widowControl/>
                    <w:kinsoku w:val="0"/>
                    <w:autoSpaceDE w:val="0"/>
                    <w:autoSpaceDN w:val="0"/>
                    <w:adjustRightInd w:val="0"/>
                    <w:snapToGrid w:val="0"/>
                    <w:jc w:val="center"/>
                    <w:textAlignment w:val="baseline"/>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去向</w:t>
                  </w:r>
                </w:p>
              </w:tc>
            </w:tr>
            <w:tr w14:paraId="5B12DF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77" w:type="pct"/>
                  <w:tcBorders>
                    <w:top w:val="single" w:color="000000" w:sz="12" w:space="0"/>
                  </w:tcBorders>
                  <w:noWrap w:val="0"/>
                  <w:vAlign w:val="center"/>
                </w:tcPr>
                <w:p w14:paraId="572EC3B7">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c>
                <w:tcPr>
                  <w:tcW w:w="779" w:type="pct"/>
                  <w:tcBorders>
                    <w:top w:val="single" w:color="000000" w:sz="12" w:space="0"/>
                  </w:tcBorders>
                  <w:noWrap w:val="0"/>
                  <w:vAlign w:val="center"/>
                </w:tcPr>
                <w:p w14:paraId="2768AD30">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生活垃圾</w:t>
                  </w:r>
                </w:p>
              </w:tc>
              <w:tc>
                <w:tcPr>
                  <w:tcW w:w="950" w:type="pct"/>
                  <w:tcBorders>
                    <w:top w:val="single" w:color="000000" w:sz="12" w:space="0"/>
                  </w:tcBorders>
                  <w:noWrap w:val="0"/>
                  <w:vAlign w:val="center"/>
                </w:tcPr>
                <w:p w14:paraId="2366EE87">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5.25</w:t>
                  </w:r>
                </w:p>
              </w:tc>
              <w:tc>
                <w:tcPr>
                  <w:tcW w:w="2192" w:type="pct"/>
                  <w:tcBorders>
                    <w:top w:val="single" w:color="000000" w:sz="12" w:space="0"/>
                  </w:tcBorders>
                  <w:noWrap w:val="0"/>
                  <w:vAlign w:val="center"/>
                </w:tcPr>
                <w:p w14:paraId="124B896C">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集中收集后由园区环卫部门统一清运处置</w:t>
                  </w:r>
                </w:p>
              </w:tc>
            </w:tr>
            <w:tr w14:paraId="78282B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77" w:type="pct"/>
                  <w:vMerge w:val="restart"/>
                  <w:noWrap w:val="0"/>
                  <w:vAlign w:val="center"/>
                </w:tcPr>
                <w:p w14:paraId="168B27A2">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一般工业固废</w:t>
                  </w:r>
                </w:p>
              </w:tc>
              <w:tc>
                <w:tcPr>
                  <w:tcW w:w="779" w:type="pct"/>
                  <w:noWrap w:val="0"/>
                  <w:vAlign w:val="center"/>
                </w:tcPr>
                <w:p w14:paraId="0BEE8EDA">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不合格产品</w:t>
                  </w:r>
                </w:p>
              </w:tc>
              <w:tc>
                <w:tcPr>
                  <w:tcW w:w="950" w:type="pct"/>
                  <w:noWrap w:val="0"/>
                  <w:vAlign w:val="center"/>
                </w:tcPr>
                <w:p w14:paraId="46AB6FF7">
                  <w:pPr>
                    <w:widowControl/>
                    <w:kinsoku w:val="0"/>
                    <w:autoSpaceDE w:val="0"/>
                    <w:autoSpaceDN w:val="0"/>
                    <w:adjustRightInd w:val="0"/>
                    <w:snapToGrid w:val="0"/>
                    <w:jc w:val="center"/>
                    <w:textAlignment w:val="baseline"/>
                    <w:rPr>
                      <w:rFonts w:hint="default" w:ascii="Times New Roman" w:hAnsi="Times New Roman" w:eastAsia="Times New Roman" w:cs="Times New Roman"/>
                      <w:color w:val="auto"/>
                      <w:szCs w:val="21"/>
                      <w:highlight w:val="none"/>
                    </w:rPr>
                  </w:pPr>
                  <w:r>
                    <w:rPr>
                      <w:rFonts w:hint="default" w:ascii="Times New Roman" w:hAnsi="Times New Roman" w:eastAsia="Times New Roman" w:cs="Times New Roman"/>
                      <w:color w:val="auto"/>
                      <w:szCs w:val="21"/>
                      <w:highlight w:val="none"/>
                    </w:rPr>
                    <w:t>8.4</w:t>
                  </w:r>
                </w:p>
              </w:tc>
              <w:tc>
                <w:tcPr>
                  <w:tcW w:w="2192" w:type="pct"/>
                  <w:noWrap w:val="0"/>
                  <w:vAlign w:val="center"/>
                </w:tcPr>
                <w:p w14:paraId="10D4DFF1">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回收破碎后重新利用</w:t>
                  </w:r>
                </w:p>
              </w:tc>
            </w:tr>
            <w:tr w14:paraId="5ED390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77" w:type="pct"/>
                  <w:vMerge w:val="continue"/>
                  <w:noWrap w:val="0"/>
                  <w:vAlign w:val="center"/>
                </w:tcPr>
                <w:p w14:paraId="2F5DFE7E">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c>
                <w:tcPr>
                  <w:tcW w:w="779" w:type="pct"/>
                  <w:noWrap w:val="0"/>
                  <w:vAlign w:val="center"/>
                </w:tcPr>
                <w:p w14:paraId="42467C59">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废包装袋</w:t>
                  </w:r>
                </w:p>
              </w:tc>
              <w:tc>
                <w:tcPr>
                  <w:tcW w:w="950" w:type="pct"/>
                  <w:noWrap w:val="0"/>
                  <w:vAlign w:val="center"/>
                </w:tcPr>
                <w:p w14:paraId="6C5D356A">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w:t>
                  </w:r>
                </w:p>
              </w:tc>
              <w:tc>
                <w:tcPr>
                  <w:tcW w:w="2192" w:type="pct"/>
                  <w:noWrap w:val="0"/>
                  <w:vAlign w:val="center"/>
                </w:tcPr>
                <w:p w14:paraId="66C9E8C9">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定期回收交由物资回收单位进行处置</w:t>
                  </w:r>
                </w:p>
              </w:tc>
            </w:tr>
            <w:tr w14:paraId="36AC69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77" w:type="pct"/>
                  <w:vMerge w:val="continue"/>
                  <w:noWrap w:val="0"/>
                  <w:vAlign w:val="center"/>
                </w:tcPr>
                <w:p w14:paraId="62DEDB14">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c>
                <w:tcPr>
                  <w:tcW w:w="779" w:type="pct"/>
                  <w:shd w:val="clear" w:color="auto" w:fill="auto"/>
                  <w:noWrap w:val="0"/>
                  <w:vAlign w:val="center"/>
                </w:tcPr>
                <w:p w14:paraId="77D04631">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沉淀池底泥</w:t>
                  </w:r>
                </w:p>
              </w:tc>
              <w:tc>
                <w:tcPr>
                  <w:tcW w:w="950" w:type="pct"/>
                  <w:shd w:val="clear" w:color="auto" w:fill="auto"/>
                  <w:noWrap w:val="0"/>
                  <w:vAlign w:val="center"/>
                </w:tcPr>
                <w:p w14:paraId="326DED25">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10</w:t>
                  </w:r>
                </w:p>
              </w:tc>
              <w:tc>
                <w:tcPr>
                  <w:tcW w:w="2192" w:type="pct"/>
                  <w:shd w:val="clear" w:color="auto" w:fill="auto"/>
                  <w:noWrap w:val="0"/>
                  <w:vAlign w:val="center"/>
                </w:tcPr>
                <w:p w14:paraId="101D9ECF">
                  <w:pPr>
                    <w:bidi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沉淀池产生的污染物为泥沙，生产季结束后清掏，自然干化，干化后用于项目区周边农田配土</w:t>
                  </w:r>
                </w:p>
              </w:tc>
            </w:tr>
            <w:tr w14:paraId="2EEEAD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77" w:type="pct"/>
                  <w:vMerge w:val="restart"/>
                  <w:noWrap w:val="0"/>
                  <w:vAlign w:val="center"/>
                </w:tcPr>
                <w:p w14:paraId="4DE07EFB">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危险废物</w:t>
                  </w:r>
                </w:p>
              </w:tc>
              <w:tc>
                <w:tcPr>
                  <w:tcW w:w="779" w:type="pct"/>
                  <w:noWrap w:val="0"/>
                  <w:vAlign w:val="center"/>
                </w:tcPr>
                <w:p w14:paraId="7A7C2A4F">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废润滑油</w:t>
                  </w:r>
                </w:p>
              </w:tc>
              <w:tc>
                <w:tcPr>
                  <w:tcW w:w="950" w:type="pct"/>
                  <w:noWrap w:val="0"/>
                  <w:vAlign w:val="center"/>
                </w:tcPr>
                <w:p w14:paraId="1EDF2FB4">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highlight w:val="none"/>
                      <w:lang w:eastAsia="zh-CN"/>
                    </w:rPr>
                  </w:pPr>
                  <w:r>
                    <w:rPr>
                      <w:rFonts w:hint="default" w:ascii="Times New Roman" w:hAnsi="Times New Roman" w:eastAsia="Times New Roman" w:cs="Times New Roman"/>
                      <w:color w:val="auto"/>
                      <w:szCs w:val="21"/>
                      <w:highlight w:val="none"/>
                    </w:rPr>
                    <w:t>0.0</w:t>
                  </w:r>
                  <w:r>
                    <w:rPr>
                      <w:rFonts w:hint="default" w:ascii="Times New Roman" w:hAnsi="Times New Roman" w:eastAsia="宋体" w:cs="Times New Roman"/>
                      <w:color w:val="auto"/>
                      <w:szCs w:val="21"/>
                      <w:highlight w:val="none"/>
                      <w:lang w:val="en-US" w:eastAsia="zh-CN"/>
                    </w:rPr>
                    <w:t>2</w:t>
                  </w:r>
                </w:p>
              </w:tc>
              <w:tc>
                <w:tcPr>
                  <w:tcW w:w="2192" w:type="pct"/>
                  <w:vMerge w:val="restart"/>
                  <w:noWrap w:val="0"/>
                  <w:vAlign w:val="center"/>
                </w:tcPr>
                <w:p w14:paraId="50523EAF">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暂存于</w:t>
                  </w:r>
                  <w:r>
                    <w:rPr>
                      <w:rFonts w:hint="eastAsia" w:ascii="Times New Roman" w:hAnsi="Times New Roman" w:cs="Times New Roman"/>
                      <w:color w:val="auto"/>
                      <w:szCs w:val="21"/>
                      <w:highlight w:val="none"/>
                      <w:lang w:eastAsia="zh-CN"/>
                    </w:rPr>
                    <w:t>危废贮存点</w:t>
                  </w:r>
                  <w:r>
                    <w:rPr>
                      <w:rFonts w:hint="default" w:ascii="Times New Roman" w:hAnsi="Times New Roman" w:cs="Times New Roman"/>
                      <w:color w:val="auto"/>
                      <w:szCs w:val="21"/>
                      <w:highlight w:val="none"/>
                    </w:rPr>
                    <w:t>，定期交由有资质单位统一处置</w:t>
                  </w:r>
                </w:p>
              </w:tc>
            </w:tr>
            <w:tr w14:paraId="6B2986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077" w:type="pct"/>
                  <w:vMerge w:val="continue"/>
                  <w:noWrap w:val="0"/>
                  <w:vAlign w:val="center"/>
                </w:tcPr>
                <w:p w14:paraId="56BC3AF9">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c>
                <w:tcPr>
                  <w:tcW w:w="779" w:type="pct"/>
                  <w:noWrap w:val="0"/>
                  <w:vAlign w:val="center"/>
                </w:tcPr>
                <w:p w14:paraId="234911AE">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废灯管</w:t>
                  </w:r>
                </w:p>
              </w:tc>
              <w:tc>
                <w:tcPr>
                  <w:tcW w:w="950" w:type="pct"/>
                  <w:noWrap w:val="0"/>
                  <w:vAlign w:val="center"/>
                </w:tcPr>
                <w:p w14:paraId="0EFD52BE">
                  <w:pPr>
                    <w:widowControl/>
                    <w:kinsoku w:val="0"/>
                    <w:autoSpaceDE w:val="0"/>
                    <w:autoSpaceDN w:val="0"/>
                    <w:adjustRightInd w:val="0"/>
                    <w:snapToGrid w:val="0"/>
                    <w:jc w:val="center"/>
                    <w:textAlignment w:val="baseline"/>
                    <w:rPr>
                      <w:rFonts w:hint="default" w:ascii="Times New Roman" w:hAnsi="Times New Roman" w:eastAsia="Times New Roman" w:cs="Times New Roman"/>
                      <w:color w:val="auto"/>
                      <w:szCs w:val="21"/>
                      <w:highlight w:val="none"/>
                    </w:rPr>
                  </w:pPr>
                  <w:r>
                    <w:rPr>
                      <w:rFonts w:hint="default" w:ascii="Times New Roman" w:hAnsi="Times New Roman" w:eastAsia="Times New Roman" w:cs="Times New Roman"/>
                      <w:color w:val="auto"/>
                      <w:szCs w:val="21"/>
                      <w:highlight w:val="none"/>
                    </w:rPr>
                    <w:t>0.02</w:t>
                  </w:r>
                </w:p>
              </w:tc>
              <w:tc>
                <w:tcPr>
                  <w:tcW w:w="2192" w:type="pct"/>
                  <w:vMerge w:val="continue"/>
                  <w:noWrap w:val="0"/>
                  <w:vAlign w:val="center"/>
                </w:tcPr>
                <w:p w14:paraId="45702915">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r>
            <w:tr w14:paraId="51981F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1077" w:type="pct"/>
                  <w:vMerge w:val="continue"/>
                  <w:noWrap w:val="0"/>
                  <w:vAlign w:val="center"/>
                </w:tcPr>
                <w:p w14:paraId="5E440442">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c>
                <w:tcPr>
                  <w:tcW w:w="779" w:type="pct"/>
                  <w:noWrap w:val="0"/>
                  <w:vAlign w:val="center"/>
                </w:tcPr>
                <w:p w14:paraId="447DAEC7">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废活性炭</w:t>
                  </w:r>
                </w:p>
              </w:tc>
              <w:tc>
                <w:tcPr>
                  <w:tcW w:w="950" w:type="pct"/>
                  <w:noWrap w:val="0"/>
                  <w:vAlign w:val="center"/>
                </w:tcPr>
                <w:p w14:paraId="3BD12180">
                  <w:pPr>
                    <w:widowControl/>
                    <w:kinsoku w:val="0"/>
                    <w:autoSpaceDE w:val="0"/>
                    <w:autoSpaceDN w:val="0"/>
                    <w:adjustRightInd w:val="0"/>
                    <w:snapToGrid w:val="0"/>
                    <w:jc w:val="center"/>
                    <w:textAlignment w:val="baseline"/>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2.5</w:t>
                  </w:r>
                </w:p>
              </w:tc>
              <w:tc>
                <w:tcPr>
                  <w:tcW w:w="2192" w:type="pct"/>
                  <w:vMerge w:val="continue"/>
                  <w:noWrap w:val="0"/>
                  <w:vAlign w:val="center"/>
                </w:tcPr>
                <w:p w14:paraId="2DB1D30A">
                  <w:pPr>
                    <w:widowControl/>
                    <w:kinsoku w:val="0"/>
                    <w:autoSpaceDE w:val="0"/>
                    <w:autoSpaceDN w:val="0"/>
                    <w:adjustRightInd w:val="0"/>
                    <w:snapToGrid w:val="0"/>
                    <w:jc w:val="center"/>
                    <w:textAlignment w:val="baseline"/>
                    <w:rPr>
                      <w:rFonts w:hint="default" w:ascii="Times New Roman" w:hAnsi="Times New Roman" w:cs="Times New Roman"/>
                      <w:color w:val="auto"/>
                      <w:szCs w:val="21"/>
                      <w:highlight w:val="none"/>
                    </w:rPr>
                  </w:pPr>
                </w:p>
              </w:tc>
            </w:tr>
          </w:tbl>
          <w:p w14:paraId="4BF8E01F">
            <w:pPr>
              <w:widowControl/>
              <w:spacing w:line="360" w:lineRule="auto"/>
              <w:jc w:val="left"/>
              <w:rPr>
                <w:rFonts w:hint="default" w:ascii="Times New Roman" w:hAnsi="Times New Roman" w:cs="Times New Roman"/>
                <w:b/>
                <w:color w:val="auto"/>
                <w:sz w:val="24"/>
                <w:highlight w:val="none"/>
                <w:lang w:val="en-US" w:eastAsia="zh-CN"/>
              </w:rPr>
            </w:pPr>
            <w:r>
              <w:rPr>
                <w:rFonts w:hint="default" w:ascii="Times New Roman" w:hAnsi="Times New Roman" w:cs="Times New Roman"/>
                <w:b/>
                <w:color w:val="auto"/>
                <w:sz w:val="24"/>
                <w:highlight w:val="none"/>
                <w:lang w:val="en-US" w:eastAsia="zh-CN"/>
              </w:rPr>
              <w:t>2.2.7现有项目污染物排放汇总</w:t>
            </w:r>
          </w:p>
          <w:p w14:paraId="628B1B9E">
            <w:pPr>
              <w:pStyle w:val="8"/>
              <w:keepNext/>
              <w:keepLines/>
              <w:pageBreakBefore w:val="0"/>
              <w:widowControl w:val="0"/>
              <w:tabs>
                <w:tab w:val="left" w:pos="1080"/>
              </w:tabs>
              <w:kinsoku/>
              <w:wordWrap/>
              <w:overflowPunct/>
              <w:topLinePunct w:val="0"/>
              <w:autoSpaceDE/>
              <w:autoSpaceDN/>
              <w:bidi w:val="0"/>
              <w:adjustRightInd/>
              <w:snapToGrid/>
              <w:spacing w:before="0" w:beforeLines="0" w:after="0" w:afterLines="0"/>
              <w:ind w:left="480"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现有项目污染物排放量详见表2-1</w:t>
            </w:r>
            <w:r>
              <w:rPr>
                <w:rFonts w:hint="eastAsia" w:ascii="Times New Roman" w:hAnsi="Times New Roman" w:cs="Times New Roman"/>
                <w:b w:val="0"/>
                <w:bCs w:val="0"/>
                <w:color w:val="auto"/>
                <w:kern w:val="0"/>
                <w:sz w:val="24"/>
                <w:szCs w:val="24"/>
                <w:highlight w:val="none"/>
                <w:lang w:val="en-US" w:eastAsia="zh-CN" w:bidi="ar-SA"/>
              </w:rPr>
              <w:t>5</w:t>
            </w:r>
          </w:p>
          <w:p w14:paraId="3513D64B">
            <w:pPr>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bidi="ar-SA"/>
              </w:rPr>
              <w:t>表2-1</w:t>
            </w:r>
            <w:r>
              <w:rPr>
                <w:rFonts w:hint="eastAsia" w:ascii="Times New Roman" w:hAnsi="Times New Roman" w:cs="Times New Roman"/>
                <w:b/>
                <w:bCs/>
                <w:color w:val="auto"/>
                <w:kern w:val="0"/>
                <w:sz w:val="21"/>
                <w:szCs w:val="21"/>
                <w:highlight w:val="none"/>
                <w:lang w:val="en-US" w:eastAsia="zh-CN" w:bidi="ar-SA"/>
              </w:rPr>
              <w:t>5</w:t>
            </w:r>
            <w:r>
              <w:rPr>
                <w:rFonts w:hint="default" w:ascii="Times New Roman" w:hAnsi="Times New Roman" w:cs="Times New Roman"/>
                <w:b/>
                <w:bCs/>
                <w:color w:val="auto"/>
                <w:kern w:val="0"/>
                <w:sz w:val="21"/>
                <w:szCs w:val="21"/>
                <w:highlight w:val="none"/>
                <w:lang w:val="en-US" w:eastAsia="zh-CN" w:bidi="ar-SA"/>
              </w:rPr>
              <w:t xml:space="preserve">   </w:t>
            </w:r>
            <w:r>
              <w:rPr>
                <w:rFonts w:hint="default" w:ascii="Times New Roman" w:hAnsi="Times New Roman" w:eastAsia="宋体" w:cs="Times New Roman"/>
                <w:b/>
                <w:bCs/>
                <w:color w:val="auto"/>
                <w:kern w:val="0"/>
                <w:sz w:val="21"/>
                <w:szCs w:val="21"/>
                <w:highlight w:val="none"/>
                <w:lang w:val="en-US" w:eastAsia="zh-CN" w:bidi="ar-SA"/>
              </w:rPr>
              <w:t>现有项目污染物排放量</w:t>
            </w:r>
            <w:r>
              <w:rPr>
                <w:rFonts w:hint="default" w:ascii="Times New Roman" w:hAnsi="Times New Roman" w:cs="Times New Roman"/>
                <w:b/>
                <w:bCs/>
                <w:color w:val="auto"/>
                <w:kern w:val="0"/>
                <w:sz w:val="21"/>
                <w:szCs w:val="21"/>
                <w:highlight w:val="none"/>
                <w:lang w:val="en-US" w:eastAsia="zh-CN" w:bidi="ar-SA"/>
              </w:rPr>
              <w:t>一览表</w:t>
            </w:r>
          </w:p>
          <w:tbl>
            <w:tblPr>
              <w:tblStyle w:val="54"/>
              <w:tblW w:w="49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36"/>
              <w:gridCol w:w="2271"/>
              <w:gridCol w:w="3366"/>
            </w:tblGrid>
            <w:tr w14:paraId="0BB8B2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tcBorders>
                    <w:bottom w:val="single" w:color="000000" w:sz="12" w:space="0"/>
                  </w:tcBorders>
                  <w:vAlign w:val="center"/>
                </w:tcPr>
                <w:p w14:paraId="31B011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Arial" w:cs="Times New Roman"/>
                      <w:b/>
                      <w:bCs/>
                      <w:color w:val="auto"/>
                      <w:spacing w:val="0"/>
                      <w:w w:val="100"/>
                      <w:kern w:val="2"/>
                      <w:position w:val="0"/>
                      <w:sz w:val="21"/>
                      <w:szCs w:val="21"/>
                      <w:highlight w:val="none"/>
                      <w:lang w:val="en-US" w:eastAsia="en-US" w:bidi="ar-SA"/>
                    </w:rPr>
                  </w:pPr>
                  <w:r>
                    <w:rPr>
                      <w:rFonts w:hint="default" w:ascii="Times New Roman" w:hAnsi="Times New Roman" w:eastAsia="Arial" w:cs="Times New Roman"/>
                      <w:b/>
                      <w:bCs/>
                      <w:color w:val="auto"/>
                      <w:spacing w:val="0"/>
                      <w:w w:val="100"/>
                      <w:kern w:val="2"/>
                      <w:position w:val="0"/>
                      <w:sz w:val="21"/>
                      <w:szCs w:val="21"/>
                      <w:highlight w:val="none"/>
                      <w:lang w:val="en-US" w:eastAsia="en-US" w:bidi="ar-SA"/>
                    </w:rPr>
                    <w:t>项目分类</w:t>
                  </w:r>
                </w:p>
              </w:tc>
              <w:tc>
                <w:tcPr>
                  <w:tcW w:w="2271" w:type="dxa"/>
                  <w:tcBorders>
                    <w:bottom w:val="single" w:color="000000" w:sz="12" w:space="0"/>
                  </w:tcBorders>
                  <w:vAlign w:val="center"/>
                </w:tcPr>
                <w:p w14:paraId="37BCC7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Arial" w:cs="Times New Roman"/>
                      <w:b/>
                      <w:bCs/>
                      <w:color w:val="auto"/>
                      <w:spacing w:val="0"/>
                      <w:w w:val="100"/>
                      <w:kern w:val="2"/>
                      <w:position w:val="0"/>
                      <w:sz w:val="21"/>
                      <w:szCs w:val="21"/>
                      <w:highlight w:val="none"/>
                      <w:lang w:val="en-US" w:eastAsia="en-US" w:bidi="ar-SA"/>
                    </w:rPr>
                  </w:pPr>
                  <w:r>
                    <w:rPr>
                      <w:rFonts w:hint="default" w:ascii="Times New Roman" w:hAnsi="Times New Roman" w:eastAsia="Arial" w:cs="Times New Roman"/>
                      <w:b/>
                      <w:bCs/>
                      <w:color w:val="auto"/>
                      <w:spacing w:val="0"/>
                      <w:w w:val="100"/>
                      <w:kern w:val="2"/>
                      <w:position w:val="0"/>
                      <w:sz w:val="21"/>
                      <w:szCs w:val="21"/>
                      <w:highlight w:val="none"/>
                      <w:lang w:val="en-US" w:eastAsia="en-US" w:bidi="ar-SA"/>
                    </w:rPr>
                    <w:t>污染物名称</w:t>
                  </w:r>
                </w:p>
              </w:tc>
              <w:tc>
                <w:tcPr>
                  <w:tcW w:w="3366" w:type="dxa"/>
                  <w:tcBorders>
                    <w:bottom w:val="single" w:color="000000" w:sz="12" w:space="0"/>
                  </w:tcBorders>
                  <w:vAlign w:val="center"/>
                </w:tcPr>
                <w:p w14:paraId="0D4BFBD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Arial" w:cs="Times New Roman"/>
                      <w:b/>
                      <w:bCs/>
                      <w:color w:val="auto"/>
                      <w:spacing w:val="0"/>
                      <w:w w:val="100"/>
                      <w:kern w:val="2"/>
                      <w:position w:val="0"/>
                      <w:sz w:val="21"/>
                      <w:szCs w:val="21"/>
                      <w:highlight w:val="none"/>
                      <w:lang w:val="en-US" w:eastAsia="en-US" w:bidi="ar-SA"/>
                    </w:rPr>
                  </w:pPr>
                  <w:r>
                    <w:rPr>
                      <w:rFonts w:hint="default" w:ascii="Times New Roman" w:hAnsi="Times New Roman" w:eastAsia="Arial" w:cs="Times New Roman"/>
                      <w:b/>
                      <w:bCs/>
                      <w:color w:val="auto"/>
                      <w:spacing w:val="0"/>
                      <w:w w:val="100"/>
                      <w:kern w:val="2"/>
                      <w:position w:val="0"/>
                      <w:sz w:val="21"/>
                      <w:szCs w:val="21"/>
                      <w:highlight w:val="none"/>
                      <w:lang w:val="en-US" w:eastAsia="en-US" w:bidi="ar-SA"/>
                    </w:rPr>
                    <w:t>现有工程排放量</w:t>
                  </w:r>
                </w:p>
              </w:tc>
            </w:tr>
            <w:tr w14:paraId="092BDC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tcBorders>
                    <w:top w:val="single" w:color="000000" w:sz="12" w:space="0"/>
                    <w:tl2br w:val="nil"/>
                    <w:tr2bl w:val="nil"/>
                  </w:tcBorders>
                  <w:vAlign w:val="center"/>
                </w:tcPr>
                <w:p w14:paraId="78AB8982">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废气</w:t>
                  </w:r>
                </w:p>
              </w:tc>
              <w:tc>
                <w:tcPr>
                  <w:tcW w:w="2271" w:type="dxa"/>
                  <w:tcBorders>
                    <w:top w:val="single" w:color="000000" w:sz="12" w:space="0"/>
                    <w:tl2br w:val="nil"/>
                    <w:tr2bl w:val="nil"/>
                  </w:tcBorders>
                  <w:vAlign w:val="center"/>
                </w:tcPr>
                <w:p w14:paraId="74D70AA1">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非甲烷总烃</w:t>
                  </w:r>
                </w:p>
              </w:tc>
              <w:tc>
                <w:tcPr>
                  <w:tcW w:w="3366" w:type="dxa"/>
                  <w:tcBorders>
                    <w:top w:val="single" w:color="000000" w:sz="12" w:space="0"/>
                    <w:tl2br w:val="nil"/>
                    <w:tr2bl w:val="nil"/>
                  </w:tcBorders>
                  <w:vAlign w:val="center"/>
                </w:tcPr>
                <w:p w14:paraId="113E0B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1.251t/a</w:t>
                  </w:r>
                </w:p>
              </w:tc>
            </w:tr>
            <w:tr w14:paraId="13B062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vMerge w:val="restart"/>
                  <w:tcBorders>
                    <w:tl2br w:val="nil"/>
                    <w:tr2bl w:val="nil"/>
                  </w:tcBorders>
                  <w:vAlign w:val="center"/>
                </w:tcPr>
                <w:p w14:paraId="54B8AF42">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废水</w:t>
                  </w:r>
                </w:p>
              </w:tc>
              <w:tc>
                <w:tcPr>
                  <w:tcW w:w="2271" w:type="dxa"/>
                  <w:tcBorders>
                    <w:tl2br w:val="nil"/>
                    <w:tr2bl w:val="nil"/>
                  </w:tcBorders>
                  <w:vAlign w:val="center"/>
                </w:tcPr>
                <w:p w14:paraId="3DAE5F1A">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生活污水</w:t>
                  </w:r>
                </w:p>
              </w:tc>
              <w:tc>
                <w:tcPr>
                  <w:tcW w:w="3366" w:type="dxa"/>
                  <w:tcBorders>
                    <w:tl2br w:val="nil"/>
                    <w:tr2bl w:val="nil"/>
                  </w:tcBorders>
                  <w:vAlign w:val="center"/>
                </w:tcPr>
                <w:p w14:paraId="465A37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126</w:t>
                  </w:r>
                  <w:r>
                    <w:rPr>
                      <w:rFonts w:hint="default" w:ascii="Times New Roman" w:hAnsi="Times New Roman" w:eastAsia="Times New Roman" w:cs="Times New Roman"/>
                      <w:color w:val="auto"/>
                      <w:spacing w:val="0"/>
                      <w:w w:val="100"/>
                      <w:position w:val="0"/>
                      <w:sz w:val="21"/>
                      <w:szCs w:val="21"/>
                      <w:highlight w:val="none"/>
                    </w:rPr>
                    <w:t>m</w:t>
                  </w:r>
                  <w:r>
                    <w:rPr>
                      <w:rFonts w:hint="default" w:ascii="Times New Roman" w:hAnsi="Times New Roman" w:eastAsia="Times New Roman" w:cs="Times New Roman"/>
                      <w:color w:val="auto"/>
                      <w:spacing w:val="0"/>
                      <w:w w:val="100"/>
                      <w:position w:val="0"/>
                      <w:sz w:val="21"/>
                      <w:szCs w:val="21"/>
                      <w:highlight w:val="none"/>
                      <w:vertAlign w:val="superscript"/>
                    </w:rPr>
                    <w:t>3</w:t>
                  </w:r>
                  <w:r>
                    <w:rPr>
                      <w:rFonts w:hint="default" w:ascii="Times New Roman" w:hAnsi="Times New Roman" w:eastAsia="Times New Roman" w:cs="Times New Roman"/>
                      <w:color w:val="auto"/>
                      <w:spacing w:val="0"/>
                      <w:w w:val="100"/>
                      <w:position w:val="0"/>
                      <w:sz w:val="21"/>
                      <w:szCs w:val="21"/>
                      <w:highlight w:val="none"/>
                    </w:rPr>
                    <w:t>/a</w:t>
                  </w:r>
                </w:p>
              </w:tc>
            </w:tr>
            <w:tr w14:paraId="4D3409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vMerge w:val="continue"/>
                  <w:tcBorders>
                    <w:tl2br w:val="nil"/>
                    <w:tr2bl w:val="nil"/>
                  </w:tcBorders>
                  <w:vAlign w:val="center"/>
                </w:tcPr>
                <w:p w14:paraId="767014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p>
              </w:tc>
              <w:tc>
                <w:tcPr>
                  <w:tcW w:w="2271" w:type="dxa"/>
                  <w:tcBorders>
                    <w:tl2br w:val="nil"/>
                    <w:tr2bl w:val="nil"/>
                  </w:tcBorders>
                  <w:vAlign w:val="center"/>
                </w:tcPr>
                <w:p w14:paraId="2C84E7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Times New Roman" w:cs="Times New Roman"/>
                      <w:color w:val="auto"/>
                      <w:spacing w:val="0"/>
                      <w:w w:val="100"/>
                      <w:position w:val="0"/>
                      <w:sz w:val="21"/>
                      <w:szCs w:val="21"/>
                      <w:highlight w:val="none"/>
                    </w:rPr>
                    <w:t>COD</w:t>
                  </w:r>
                  <w:r>
                    <w:rPr>
                      <w:rFonts w:hint="default" w:ascii="Times New Roman" w:hAnsi="Times New Roman" w:eastAsia="宋体" w:cs="Times New Roman"/>
                      <w:color w:val="auto"/>
                      <w:spacing w:val="0"/>
                      <w:w w:val="100"/>
                      <w:position w:val="0"/>
                      <w:sz w:val="21"/>
                      <w:szCs w:val="21"/>
                      <w:highlight w:val="none"/>
                      <w:lang w:val="en-US" w:eastAsia="zh-CN"/>
                    </w:rPr>
                    <w:t>cr</w:t>
                  </w:r>
                </w:p>
              </w:tc>
              <w:tc>
                <w:tcPr>
                  <w:tcW w:w="3366" w:type="dxa"/>
                  <w:tcBorders>
                    <w:tl2br w:val="nil"/>
                    <w:tr2bl w:val="nil"/>
                  </w:tcBorders>
                  <w:vAlign w:val="center"/>
                </w:tcPr>
                <w:p w14:paraId="795A5F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pacing w:val="0"/>
                      <w:w w:val="100"/>
                      <w:position w:val="0"/>
                      <w:sz w:val="21"/>
                      <w:szCs w:val="21"/>
                      <w:highlight w:val="none"/>
                    </w:rPr>
                  </w:pPr>
                  <w:r>
                    <w:rPr>
                      <w:rFonts w:hint="default" w:ascii="Times New Roman" w:hAnsi="Times New Roman" w:eastAsia="Times New Roman" w:cs="Times New Roman"/>
                      <w:color w:val="auto"/>
                      <w:spacing w:val="0"/>
                      <w:w w:val="100"/>
                      <w:position w:val="0"/>
                      <w:sz w:val="21"/>
                      <w:szCs w:val="21"/>
                      <w:highlight w:val="none"/>
                    </w:rPr>
                    <w:t>0.</w:t>
                  </w:r>
                  <w:r>
                    <w:rPr>
                      <w:rFonts w:hint="default" w:ascii="Times New Roman" w:hAnsi="Times New Roman" w:eastAsia="宋体" w:cs="Times New Roman"/>
                      <w:color w:val="auto"/>
                      <w:spacing w:val="0"/>
                      <w:w w:val="100"/>
                      <w:position w:val="0"/>
                      <w:sz w:val="21"/>
                      <w:szCs w:val="21"/>
                      <w:highlight w:val="none"/>
                      <w:lang w:val="en-US" w:eastAsia="zh-CN"/>
                    </w:rPr>
                    <w:t>0</w:t>
                  </w:r>
                  <w:r>
                    <w:rPr>
                      <w:rFonts w:hint="default" w:ascii="Times New Roman" w:hAnsi="Times New Roman" w:eastAsia="Times New Roman" w:cs="Times New Roman"/>
                      <w:color w:val="auto"/>
                      <w:spacing w:val="0"/>
                      <w:w w:val="100"/>
                      <w:position w:val="0"/>
                      <w:sz w:val="21"/>
                      <w:szCs w:val="21"/>
                      <w:highlight w:val="none"/>
                    </w:rPr>
                    <w:t>4</w:t>
                  </w:r>
                  <w:r>
                    <w:rPr>
                      <w:rFonts w:hint="default" w:ascii="Times New Roman" w:hAnsi="Times New Roman" w:eastAsia="宋体" w:cs="Times New Roman"/>
                      <w:color w:val="auto"/>
                      <w:spacing w:val="0"/>
                      <w:w w:val="100"/>
                      <w:position w:val="0"/>
                      <w:sz w:val="21"/>
                      <w:szCs w:val="21"/>
                      <w:highlight w:val="none"/>
                      <w:lang w:val="en-US" w:eastAsia="zh-CN"/>
                    </w:rPr>
                    <w:t>4</w:t>
                  </w:r>
                  <w:r>
                    <w:rPr>
                      <w:rFonts w:hint="default" w:ascii="Times New Roman" w:hAnsi="Times New Roman" w:eastAsia="Times New Roman" w:cs="Times New Roman"/>
                      <w:color w:val="auto"/>
                      <w:spacing w:val="0"/>
                      <w:w w:val="100"/>
                      <w:position w:val="0"/>
                      <w:sz w:val="21"/>
                      <w:szCs w:val="21"/>
                      <w:highlight w:val="none"/>
                    </w:rPr>
                    <w:t>t/a</w:t>
                  </w:r>
                </w:p>
              </w:tc>
            </w:tr>
            <w:tr w14:paraId="1C8FC1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vMerge w:val="continue"/>
                  <w:tcBorders>
                    <w:tl2br w:val="nil"/>
                    <w:tr2bl w:val="nil"/>
                  </w:tcBorders>
                  <w:vAlign w:val="center"/>
                </w:tcPr>
                <w:p w14:paraId="4C3F22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p>
              </w:tc>
              <w:tc>
                <w:tcPr>
                  <w:tcW w:w="2271" w:type="dxa"/>
                  <w:tcBorders>
                    <w:tl2br w:val="nil"/>
                    <w:tr2bl w:val="nil"/>
                  </w:tcBorders>
                  <w:vAlign w:val="center"/>
                </w:tcPr>
                <w:p w14:paraId="0191CD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pacing w:val="0"/>
                      <w:w w:val="100"/>
                      <w:position w:val="0"/>
                      <w:sz w:val="21"/>
                      <w:szCs w:val="21"/>
                      <w:highlight w:val="none"/>
                    </w:rPr>
                  </w:pPr>
                  <w:r>
                    <w:rPr>
                      <w:rFonts w:hint="default" w:ascii="Times New Roman" w:hAnsi="Times New Roman" w:eastAsia="Times New Roman" w:cs="Times New Roman"/>
                      <w:color w:val="auto"/>
                      <w:spacing w:val="0"/>
                      <w:w w:val="100"/>
                      <w:position w:val="0"/>
                      <w:sz w:val="21"/>
                      <w:szCs w:val="21"/>
                      <w:highlight w:val="none"/>
                    </w:rPr>
                    <w:t>BOD</w:t>
                  </w:r>
                  <w:r>
                    <w:rPr>
                      <w:rFonts w:hint="default" w:ascii="Times New Roman" w:hAnsi="Times New Roman" w:eastAsia="Times New Roman" w:cs="Times New Roman"/>
                      <w:color w:val="auto"/>
                      <w:spacing w:val="0"/>
                      <w:w w:val="100"/>
                      <w:position w:val="0"/>
                      <w:sz w:val="21"/>
                      <w:szCs w:val="21"/>
                      <w:highlight w:val="none"/>
                      <w:vertAlign w:val="subscript"/>
                    </w:rPr>
                    <w:t>5</w:t>
                  </w:r>
                </w:p>
              </w:tc>
              <w:tc>
                <w:tcPr>
                  <w:tcW w:w="3366" w:type="dxa"/>
                  <w:tcBorders>
                    <w:tl2br w:val="nil"/>
                    <w:tr2bl w:val="nil"/>
                  </w:tcBorders>
                  <w:vAlign w:val="center"/>
                </w:tcPr>
                <w:p w14:paraId="028612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pacing w:val="0"/>
                      <w:w w:val="100"/>
                      <w:position w:val="0"/>
                      <w:sz w:val="21"/>
                      <w:szCs w:val="21"/>
                      <w:highlight w:val="none"/>
                    </w:rPr>
                  </w:pPr>
                  <w:r>
                    <w:rPr>
                      <w:rFonts w:hint="default" w:ascii="Times New Roman" w:hAnsi="Times New Roman" w:eastAsia="Times New Roman" w:cs="Times New Roman"/>
                      <w:color w:val="auto"/>
                      <w:spacing w:val="0"/>
                      <w:w w:val="100"/>
                      <w:position w:val="0"/>
                      <w:sz w:val="21"/>
                      <w:szCs w:val="21"/>
                      <w:highlight w:val="none"/>
                    </w:rPr>
                    <w:t>0.</w:t>
                  </w:r>
                  <w:r>
                    <w:rPr>
                      <w:rFonts w:hint="default" w:ascii="Times New Roman" w:hAnsi="Times New Roman" w:eastAsia="宋体" w:cs="Times New Roman"/>
                      <w:color w:val="auto"/>
                      <w:spacing w:val="0"/>
                      <w:w w:val="100"/>
                      <w:position w:val="0"/>
                      <w:sz w:val="21"/>
                      <w:szCs w:val="21"/>
                      <w:highlight w:val="none"/>
                      <w:lang w:val="en-US" w:eastAsia="zh-CN"/>
                    </w:rPr>
                    <w:t>028</w:t>
                  </w:r>
                  <w:r>
                    <w:rPr>
                      <w:rFonts w:hint="default" w:ascii="Times New Roman" w:hAnsi="Times New Roman" w:eastAsia="Times New Roman" w:cs="Times New Roman"/>
                      <w:color w:val="auto"/>
                      <w:spacing w:val="0"/>
                      <w:w w:val="100"/>
                      <w:position w:val="0"/>
                      <w:sz w:val="21"/>
                      <w:szCs w:val="21"/>
                      <w:highlight w:val="none"/>
                    </w:rPr>
                    <w:t>t/a</w:t>
                  </w:r>
                </w:p>
              </w:tc>
            </w:tr>
            <w:tr w14:paraId="77A60D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vMerge w:val="continue"/>
                  <w:tcBorders>
                    <w:tl2br w:val="nil"/>
                    <w:tr2bl w:val="nil"/>
                  </w:tcBorders>
                  <w:vAlign w:val="center"/>
                </w:tcPr>
                <w:p w14:paraId="435FC93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p>
              </w:tc>
              <w:tc>
                <w:tcPr>
                  <w:tcW w:w="2271" w:type="dxa"/>
                  <w:tcBorders>
                    <w:tl2br w:val="nil"/>
                    <w:tr2bl w:val="nil"/>
                  </w:tcBorders>
                  <w:vAlign w:val="center"/>
                </w:tcPr>
                <w:p w14:paraId="63AFD37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pacing w:val="0"/>
                      <w:w w:val="100"/>
                      <w:position w:val="0"/>
                      <w:sz w:val="21"/>
                      <w:szCs w:val="21"/>
                      <w:highlight w:val="none"/>
                    </w:rPr>
                  </w:pPr>
                  <w:r>
                    <w:rPr>
                      <w:rFonts w:hint="default" w:ascii="Times New Roman" w:hAnsi="Times New Roman" w:eastAsia="Times New Roman" w:cs="Times New Roman"/>
                      <w:color w:val="auto"/>
                      <w:spacing w:val="0"/>
                      <w:w w:val="100"/>
                      <w:position w:val="0"/>
                      <w:sz w:val="21"/>
                      <w:szCs w:val="21"/>
                      <w:highlight w:val="none"/>
                    </w:rPr>
                    <w:t>NH</w:t>
                  </w:r>
                  <w:r>
                    <w:rPr>
                      <w:rFonts w:hint="default" w:ascii="Times New Roman" w:hAnsi="Times New Roman" w:eastAsia="Times New Roman" w:cs="Times New Roman"/>
                      <w:color w:val="auto"/>
                      <w:spacing w:val="0"/>
                      <w:w w:val="100"/>
                      <w:position w:val="0"/>
                      <w:sz w:val="21"/>
                      <w:szCs w:val="21"/>
                      <w:highlight w:val="none"/>
                      <w:vertAlign w:val="subscript"/>
                    </w:rPr>
                    <w:t>3</w:t>
                  </w:r>
                  <w:r>
                    <w:rPr>
                      <w:rFonts w:hint="default" w:ascii="Times New Roman" w:hAnsi="Times New Roman" w:eastAsia="Times New Roman" w:cs="Times New Roman"/>
                      <w:color w:val="auto"/>
                      <w:spacing w:val="0"/>
                      <w:w w:val="100"/>
                      <w:position w:val="0"/>
                      <w:sz w:val="21"/>
                      <w:szCs w:val="21"/>
                      <w:highlight w:val="none"/>
                    </w:rPr>
                    <w:t>-N</w:t>
                  </w:r>
                </w:p>
              </w:tc>
              <w:tc>
                <w:tcPr>
                  <w:tcW w:w="3366" w:type="dxa"/>
                  <w:tcBorders>
                    <w:tl2br w:val="nil"/>
                    <w:tr2bl w:val="nil"/>
                  </w:tcBorders>
                  <w:vAlign w:val="center"/>
                </w:tcPr>
                <w:p w14:paraId="67C4B1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pacing w:val="0"/>
                      <w:w w:val="100"/>
                      <w:position w:val="0"/>
                      <w:sz w:val="21"/>
                      <w:szCs w:val="21"/>
                      <w:highlight w:val="none"/>
                    </w:rPr>
                  </w:pPr>
                  <w:r>
                    <w:rPr>
                      <w:rFonts w:hint="default" w:ascii="Times New Roman" w:hAnsi="Times New Roman" w:eastAsia="Times New Roman" w:cs="Times New Roman"/>
                      <w:color w:val="auto"/>
                      <w:spacing w:val="0"/>
                      <w:w w:val="100"/>
                      <w:position w:val="0"/>
                      <w:sz w:val="21"/>
                      <w:szCs w:val="21"/>
                      <w:highlight w:val="none"/>
                    </w:rPr>
                    <w:t>0.028t/a</w:t>
                  </w:r>
                </w:p>
              </w:tc>
            </w:tr>
            <w:tr w14:paraId="273A0B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vMerge w:val="continue"/>
                  <w:tcBorders>
                    <w:tl2br w:val="nil"/>
                    <w:tr2bl w:val="nil"/>
                  </w:tcBorders>
                  <w:vAlign w:val="center"/>
                </w:tcPr>
                <w:p w14:paraId="2AD5DC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p>
              </w:tc>
              <w:tc>
                <w:tcPr>
                  <w:tcW w:w="2271" w:type="dxa"/>
                  <w:tcBorders>
                    <w:tl2br w:val="nil"/>
                    <w:tr2bl w:val="nil"/>
                  </w:tcBorders>
                  <w:vAlign w:val="center"/>
                </w:tcPr>
                <w:p w14:paraId="3C38661B">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动植物油</w:t>
                  </w:r>
                </w:p>
              </w:tc>
              <w:tc>
                <w:tcPr>
                  <w:tcW w:w="3366" w:type="dxa"/>
                  <w:tcBorders>
                    <w:tl2br w:val="nil"/>
                    <w:tr2bl w:val="nil"/>
                  </w:tcBorders>
                  <w:vAlign w:val="center"/>
                </w:tcPr>
                <w:p w14:paraId="2599A5F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Times New Roman" w:cs="Times New Roman"/>
                      <w:color w:val="auto"/>
                      <w:spacing w:val="0"/>
                      <w:w w:val="100"/>
                      <w:position w:val="0"/>
                      <w:sz w:val="21"/>
                      <w:szCs w:val="21"/>
                      <w:highlight w:val="none"/>
                    </w:rPr>
                    <w:t>0</w:t>
                  </w:r>
                  <w:r>
                    <w:rPr>
                      <w:rFonts w:hint="default" w:ascii="Times New Roman" w:hAnsi="Times New Roman" w:eastAsia="宋体" w:cs="Times New Roman"/>
                      <w:color w:val="auto"/>
                      <w:spacing w:val="0"/>
                      <w:w w:val="100"/>
                      <w:position w:val="0"/>
                      <w:sz w:val="21"/>
                      <w:szCs w:val="21"/>
                      <w:highlight w:val="none"/>
                      <w:lang w:val="en-US" w:eastAsia="zh-CN"/>
                    </w:rPr>
                    <w:t>.013</w:t>
                  </w:r>
                </w:p>
              </w:tc>
            </w:tr>
            <w:tr w14:paraId="42FFBC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vMerge w:val="restart"/>
                  <w:tcBorders>
                    <w:tl2br w:val="nil"/>
                    <w:tr2bl w:val="nil"/>
                  </w:tcBorders>
                  <w:vAlign w:val="center"/>
                </w:tcPr>
                <w:p w14:paraId="173798CE">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一般工业固体废物</w:t>
                  </w:r>
                </w:p>
              </w:tc>
              <w:tc>
                <w:tcPr>
                  <w:tcW w:w="2271" w:type="dxa"/>
                  <w:tcBorders>
                    <w:tl2br w:val="nil"/>
                    <w:tr2bl w:val="nil"/>
                  </w:tcBorders>
                  <w:vAlign w:val="center"/>
                </w:tcPr>
                <w:p w14:paraId="5DCEE93C">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w w:val="100"/>
                      <w:position w:val="0"/>
                      <w:sz w:val="21"/>
                      <w:szCs w:val="21"/>
                      <w:highlight w:val="none"/>
                      <w:lang w:eastAsia="zh-CN"/>
                    </w:rPr>
                  </w:pPr>
                  <w:r>
                    <w:rPr>
                      <w:rFonts w:hint="default" w:ascii="Times New Roman" w:hAnsi="Times New Roman" w:cs="Times New Roman"/>
                      <w:color w:val="auto"/>
                      <w:spacing w:val="0"/>
                      <w:w w:val="100"/>
                      <w:position w:val="0"/>
                      <w:sz w:val="21"/>
                      <w:szCs w:val="21"/>
                      <w:highlight w:val="none"/>
                      <w:lang w:eastAsia="zh-CN"/>
                    </w:rPr>
                    <w:t>废包装袋</w:t>
                  </w:r>
                </w:p>
              </w:tc>
              <w:tc>
                <w:tcPr>
                  <w:tcW w:w="3366" w:type="dxa"/>
                  <w:tcBorders>
                    <w:tl2br w:val="nil"/>
                    <w:tr2bl w:val="nil"/>
                  </w:tcBorders>
                  <w:vAlign w:val="center"/>
                </w:tcPr>
                <w:p w14:paraId="595C1A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pacing w:val="0"/>
                      <w:w w:val="100"/>
                      <w:position w:val="0"/>
                      <w:sz w:val="21"/>
                      <w:szCs w:val="21"/>
                      <w:highlight w:val="none"/>
                      <w:lang w:val="en-US"/>
                    </w:rPr>
                  </w:pPr>
                  <w:r>
                    <w:rPr>
                      <w:rFonts w:hint="default" w:ascii="Times New Roman" w:hAnsi="Times New Roman" w:cs="Times New Roman"/>
                      <w:color w:val="auto"/>
                      <w:spacing w:val="0"/>
                      <w:w w:val="100"/>
                      <w:position w:val="0"/>
                      <w:sz w:val="21"/>
                      <w:szCs w:val="21"/>
                      <w:highlight w:val="none"/>
                      <w:lang w:val="en-US" w:eastAsia="zh-CN"/>
                    </w:rPr>
                    <w:t>1.5</w:t>
                  </w:r>
                </w:p>
              </w:tc>
            </w:tr>
            <w:tr w14:paraId="0BB9B7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136" w:type="dxa"/>
                  <w:vMerge w:val="continue"/>
                  <w:tcBorders>
                    <w:tl2br w:val="nil"/>
                    <w:tr2bl w:val="nil"/>
                  </w:tcBorders>
                  <w:vAlign w:val="center"/>
                </w:tcPr>
                <w:p w14:paraId="3686CE1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p>
              </w:tc>
              <w:tc>
                <w:tcPr>
                  <w:tcW w:w="2271" w:type="dxa"/>
                  <w:tcBorders>
                    <w:tl2br w:val="nil"/>
                    <w:tr2bl w:val="nil"/>
                  </w:tcBorders>
                  <w:vAlign w:val="center"/>
                </w:tcPr>
                <w:p w14:paraId="7441FB08">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不合格品</w:t>
                  </w:r>
                </w:p>
              </w:tc>
              <w:tc>
                <w:tcPr>
                  <w:tcW w:w="3366" w:type="dxa"/>
                  <w:tcBorders>
                    <w:tl2br w:val="nil"/>
                    <w:tr2bl w:val="nil"/>
                  </w:tcBorders>
                  <w:vAlign w:val="center"/>
                </w:tcPr>
                <w:p w14:paraId="3A24647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8.4</w:t>
                  </w:r>
                </w:p>
              </w:tc>
            </w:tr>
            <w:tr w14:paraId="33B63D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vMerge w:val="continue"/>
                  <w:tcBorders>
                    <w:tl2br w:val="nil"/>
                    <w:tr2bl w:val="nil"/>
                  </w:tcBorders>
                  <w:vAlign w:val="center"/>
                </w:tcPr>
                <w:p w14:paraId="6049F1B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p>
              </w:tc>
              <w:tc>
                <w:tcPr>
                  <w:tcW w:w="2271" w:type="dxa"/>
                  <w:tcBorders>
                    <w:tl2br w:val="nil"/>
                    <w:tr2bl w:val="nil"/>
                  </w:tcBorders>
                  <w:vAlign w:val="center"/>
                </w:tcPr>
                <w:p w14:paraId="6801D8A0">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z w:val="21"/>
                      <w:szCs w:val="21"/>
                      <w:highlight w:val="none"/>
                      <w:lang w:val="en-US" w:eastAsia="zh-CN"/>
                    </w:rPr>
                    <w:t>沉淀池底泥</w:t>
                  </w:r>
                </w:p>
              </w:tc>
              <w:tc>
                <w:tcPr>
                  <w:tcW w:w="3366" w:type="dxa"/>
                  <w:tcBorders>
                    <w:tl2br w:val="nil"/>
                    <w:tr2bl w:val="nil"/>
                  </w:tcBorders>
                  <w:vAlign w:val="center"/>
                </w:tcPr>
                <w:p w14:paraId="161D24F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10</w:t>
                  </w:r>
                </w:p>
              </w:tc>
            </w:tr>
            <w:tr w14:paraId="3CA8E3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tcBorders>
                    <w:tl2br w:val="nil"/>
                    <w:tr2bl w:val="nil"/>
                  </w:tcBorders>
                  <w:vAlign w:val="center"/>
                </w:tcPr>
                <w:p w14:paraId="1ED8A3C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生活垃圾</w:t>
                  </w:r>
                </w:p>
              </w:tc>
              <w:tc>
                <w:tcPr>
                  <w:tcW w:w="2271" w:type="dxa"/>
                  <w:tcBorders>
                    <w:tl2br w:val="nil"/>
                    <w:tr2bl w:val="nil"/>
                  </w:tcBorders>
                  <w:vAlign w:val="center"/>
                </w:tcPr>
                <w:p w14:paraId="326841C2">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生活垃圾</w:t>
                  </w:r>
                </w:p>
              </w:tc>
              <w:tc>
                <w:tcPr>
                  <w:tcW w:w="3366" w:type="dxa"/>
                  <w:tcBorders>
                    <w:tl2br w:val="nil"/>
                    <w:tr2bl w:val="nil"/>
                  </w:tcBorders>
                  <w:vAlign w:val="center"/>
                </w:tcPr>
                <w:p w14:paraId="6D2E97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pacing w:val="0"/>
                      <w:w w:val="100"/>
                      <w:position w:val="0"/>
                      <w:sz w:val="21"/>
                      <w:szCs w:val="21"/>
                      <w:highlight w:val="none"/>
                    </w:rPr>
                  </w:pPr>
                  <w:r>
                    <w:rPr>
                      <w:rFonts w:hint="default" w:ascii="Times New Roman" w:hAnsi="Times New Roman" w:eastAsia="宋体" w:cs="Times New Roman"/>
                      <w:color w:val="auto"/>
                      <w:spacing w:val="0"/>
                      <w:w w:val="100"/>
                      <w:position w:val="0"/>
                      <w:sz w:val="21"/>
                      <w:szCs w:val="21"/>
                      <w:highlight w:val="none"/>
                      <w:lang w:val="en-US" w:eastAsia="zh-CN"/>
                    </w:rPr>
                    <w:t>5.25</w:t>
                  </w:r>
                  <w:r>
                    <w:rPr>
                      <w:rFonts w:hint="default" w:ascii="Times New Roman" w:hAnsi="Times New Roman" w:eastAsia="Times New Roman" w:cs="Times New Roman"/>
                      <w:color w:val="auto"/>
                      <w:spacing w:val="0"/>
                      <w:w w:val="100"/>
                      <w:position w:val="0"/>
                      <w:sz w:val="21"/>
                      <w:szCs w:val="21"/>
                      <w:highlight w:val="none"/>
                    </w:rPr>
                    <w:t>t/a</w:t>
                  </w:r>
                </w:p>
              </w:tc>
            </w:tr>
            <w:tr w14:paraId="467A3E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vMerge w:val="restart"/>
                  <w:tcBorders>
                    <w:tl2br w:val="nil"/>
                    <w:tr2bl w:val="nil"/>
                  </w:tcBorders>
                  <w:vAlign w:val="center"/>
                </w:tcPr>
                <w:p w14:paraId="53FB7A70">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危险废物</w:t>
                  </w:r>
                </w:p>
              </w:tc>
              <w:tc>
                <w:tcPr>
                  <w:tcW w:w="2271" w:type="dxa"/>
                  <w:tcBorders>
                    <w:tl2br w:val="nil"/>
                    <w:tr2bl w:val="nil"/>
                  </w:tcBorders>
                  <w:vAlign w:val="center"/>
                </w:tcPr>
                <w:p w14:paraId="3342C6C6">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废润滑油</w:t>
                  </w:r>
                </w:p>
              </w:tc>
              <w:tc>
                <w:tcPr>
                  <w:tcW w:w="3366" w:type="dxa"/>
                  <w:tcBorders>
                    <w:tl2br w:val="nil"/>
                    <w:tr2bl w:val="nil"/>
                  </w:tcBorders>
                  <w:vAlign w:val="center"/>
                </w:tcPr>
                <w:p w14:paraId="549FB4B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Times New Roman" w:cs="Times New Roman"/>
                      <w:color w:val="auto"/>
                      <w:spacing w:val="0"/>
                      <w:w w:val="100"/>
                      <w:position w:val="0"/>
                      <w:sz w:val="21"/>
                      <w:szCs w:val="21"/>
                      <w:highlight w:val="none"/>
                    </w:rPr>
                  </w:pPr>
                  <w:r>
                    <w:rPr>
                      <w:rFonts w:hint="default" w:ascii="Times New Roman" w:hAnsi="Times New Roman" w:eastAsia="Times New Roman" w:cs="Times New Roman"/>
                      <w:color w:val="auto"/>
                      <w:spacing w:val="0"/>
                      <w:w w:val="100"/>
                      <w:position w:val="0"/>
                      <w:sz w:val="21"/>
                      <w:szCs w:val="21"/>
                      <w:highlight w:val="none"/>
                    </w:rPr>
                    <w:t>0.0</w:t>
                  </w:r>
                  <w:r>
                    <w:rPr>
                      <w:rFonts w:hint="default" w:ascii="Times New Roman" w:hAnsi="Times New Roman" w:eastAsia="宋体" w:cs="Times New Roman"/>
                      <w:color w:val="auto"/>
                      <w:spacing w:val="0"/>
                      <w:w w:val="100"/>
                      <w:position w:val="0"/>
                      <w:sz w:val="21"/>
                      <w:szCs w:val="21"/>
                      <w:highlight w:val="none"/>
                      <w:lang w:val="en-US" w:eastAsia="zh-CN"/>
                    </w:rPr>
                    <w:t>2</w:t>
                  </w:r>
                  <w:r>
                    <w:rPr>
                      <w:rFonts w:hint="default" w:ascii="Times New Roman" w:hAnsi="Times New Roman" w:eastAsia="Times New Roman" w:cs="Times New Roman"/>
                      <w:color w:val="auto"/>
                      <w:spacing w:val="0"/>
                      <w:w w:val="100"/>
                      <w:position w:val="0"/>
                      <w:sz w:val="21"/>
                      <w:szCs w:val="21"/>
                      <w:highlight w:val="none"/>
                    </w:rPr>
                    <w:t>t/a</w:t>
                  </w:r>
                </w:p>
              </w:tc>
            </w:tr>
            <w:tr w14:paraId="216938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vMerge w:val="continue"/>
                  <w:tcBorders>
                    <w:tl2br w:val="nil"/>
                    <w:tr2bl w:val="nil"/>
                  </w:tcBorders>
                  <w:vAlign w:val="center"/>
                </w:tcPr>
                <w:p w14:paraId="12577F0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p>
              </w:tc>
              <w:tc>
                <w:tcPr>
                  <w:tcW w:w="2271" w:type="dxa"/>
                  <w:tcBorders>
                    <w:tl2br w:val="nil"/>
                    <w:tr2bl w:val="nil"/>
                  </w:tcBorders>
                  <w:vAlign w:val="center"/>
                </w:tcPr>
                <w:p w14:paraId="544291AA">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废灯管</w:t>
                  </w:r>
                </w:p>
              </w:tc>
              <w:tc>
                <w:tcPr>
                  <w:tcW w:w="3366" w:type="dxa"/>
                  <w:tcBorders>
                    <w:tl2br w:val="nil"/>
                    <w:tr2bl w:val="nil"/>
                  </w:tcBorders>
                  <w:vAlign w:val="center"/>
                </w:tcPr>
                <w:p w14:paraId="36A129E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eastAsia="宋体" w:cs="Times New Roman"/>
                      <w:color w:val="auto"/>
                      <w:spacing w:val="0"/>
                      <w:w w:val="100"/>
                      <w:position w:val="0"/>
                      <w:sz w:val="21"/>
                      <w:szCs w:val="21"/>
                      <w:highlight w:val="none"/>
                      <w:lang w:val="en-US" w:eastAsia="zh-CN"/>
                    </w:rPr>
                    <w:t>0.02</w:t>
                  </w:r>
                </w:p>
              </w:tc>
            </w:tr>
            <w:tr w14:paraId="40EF5E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36" w:type="dxa"/>
                  <w:vMerge w:val="continue"/>
                  <w:tcBorders>
                    <w:tl2br w:val="nil"/>
                    <w:tr2bl w:val="nil"/>
                  </w:tcBorders>
                  <w:vAlign w:val="center"/>
                </w:tcPr>
                <w:p w14:paraId="315B39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rPr>
                  </w:pPr>
                </w:p>
              </w:tc>
              <w:tc>
                <w:tcPr>
                  <w:tcW w:w="2271" w:type="dxa"/>
                  <w:tcBorders>
                    <w:tl2br w:val="nil"/>
                    <w:tr2bl w:val="nil"/>
                  </w:tcBorders>
                  <w:vAlign w:val="center"/>
                </w:tcPr>
                <w:p w14:paraId="5420407D">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废活性炭</w:t>
                  </w:r>
                </w:p>
              </w:tc>
              <w:tc>
                <w:tcPr>
                  <w:tcW w:w="3366" w:type="dxa"/>
                  <w:tcBorders>
                    <w:tl2br w:val="nil"/>
                    <w:tr2bl w:val="nil"/>
                  </w:tcBorders>
                  <w:vAlign w:val="center"/>
                </w:tcPr>
                <w:p w14:paraId="46AE828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pacing w:val="0"/>
                      <w:w w:val="100"/>
                      <w:position w:val="0"/>
                      <w:sz w:val="21"/>
                      <w:szCs w:val="21"/>
                      <w:highlight w:val="none"/>
                      <w:lang w:val="en-US" w:eastAsia="zh-CN"/>
                    </w:rPr>
                  </w:pPr>
                  <w:r>
                    <w:rPr>
                      <w:rFonts w:hint="default" w:ascii="Times New Roman" w:hAnsi="Times New Roman" w:cs="Times New Roman"/>
                      <w:color w:val="auto"/>
                      <w:spacing w:val="0"/>
                      <w:w w:val="100"/>
                      <w:position w:val="0"/>
                      <w:sz w:val="21"/>
                      <w:szCs w:val="21"/>
                      <w:highlight w:val="none"/>
                      <w:lang w:val="en-US" w:eastAsia="zh-CN"/>
                    </w:rPr>
                    <w:t>2.5</w:t>
                  </w:r>
                </w:p>
              </w:tc>
            </w:tr>
          </w:tbl>
          <w:p w14:paraId="5DA98375">
            <w:pPr>
              <w:rPr>
                <w:rFonts w:hint="default" w:ascii="Times New Roman" w:hAnsi="Times New Roman" w:cs="Times New Roman"/>
                <w:color w:val="auto"/>
                <w:highlight w:val="none"/>
                <w:lang w:val="en-US" w:eastAsia="zh-CN"/>
              </w:rPr>
            </w:pPr>
          </w:p>
          <w:p w14:paraId="2A409A0F">
            <w:pPr>
              <w:widowControl/>
              <w:spacing w:line="360" w:lineRule="auto"/>
              <w:jc w:val="left"/>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rPr>
              <w:t>3.排污许可执行及自行监测实施情况</w:t>
            </w:r>
          </w:p>
          <w:p w14:paraId="6C4F33A4">
            <w:pPr>
              <w:pStyle w:val="31"/>
              <w:keepNext w:val="0"/>
              <w:keepLines w:val="0"/>
              <w:pageBreakBefore w:val="0"/>
              <w:widowControl w:val="0"/>
              <w:kinsoku/>
              <w:wordWrap/>
              <w:overflowPunct/>
              <w:bidi w:val="0"/>
              <w:adjustRightInd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新疆凯狮威塑业有限责任公司于2020年6月8日在全国排污许可证管理信息平台进行登记，2023年10月27日进行变更，最终取得登记回执，登记编号为92652301556466017A001X。</w:t>
            </w:r>
          </w:p>
          <w:p w14:paraId="7189F590">
            <w:pPr>
              <w:keepNext w:val="0"/>
              <w:keepLines w:val="0"/>
              <w:pageBreakBefore w:val="0"/>
              <w:widowControl w:val="0"/>
              <w:kinsoku/>
              <w:wordWrap/>
              <w:overflowPunct/>
              <w:topLinePunct/>
              <w:bidi w:val="0"/>
              <w:adjustRightInd w:val="0"/>
              <w:snapToGrid w:val="0"/>
              <w:spacing w:line="360" w:lineRule="auto"/>
              <w:ind w:firstLine="480" w:firstLineChars="200"/>
              <w:jc w:val="left"/>
              <w:textAlignment w:val="auto"/>
              <w:rPr>
                <w:rFonts w:hint="default" w:ascii="Times New Roman" w:hAnsi="Times New Roman" w:cs="Times New Roman"/>
                <w:bCs/>
                <w:color w:val="auto"/>
                <w:sz w:val="32"/>
                <w:szCs w:val="32"/>
                <w:highlight w:val="none"/>
              </w:rPr>
            </w:pPr>
            <w:r>
              <w:rPr>
                <w:rFonts w:hint="default" w:ascii="Times New Roman" w:hAnsi="Times New Roman" w:eastAsia="宋体" w:cs="Times New Roman"/>
                <w:color w:val="auto"/>
                <w:kern w:val="2"/>
                <w:sz w:val="24"/>
                <w:szCs w:val="24"/>
                <w:highlight w:val="none"/>
                <w:lang w:val="en-US" w:eastAsia="zh-CN" w:bidi="ar-SA"/>
              </w:rPr>
              <w:t>根据查阅企业排污许可公示公开信息，企业执行年报已填报并建立相关台账，缺失</w:t>
            </w:r>
            <w:r>
              <w:rPr>
                <w:rFonts w:hint="default" w:ascii="Times New Roman" w:hAnsi="Times New Roman" w:cs="Times New Roman"/>
                <w:color w:val="auto"/>
                <w:sz w:val="24"/>
                <w:highlight w:val="none"/>
              </w:rPr>
              <w:t>企业自行监测信息资料，未按要求开展自行监测。</w:t>
            </w:r>
          </w:p>
          <w:p w14:paraId="22AAE9DE">
            <w:pPr>
              <w:widowControl/>
              <w:spacing w:line="360" w:lineRule="auto"/>
              <w:jc w:val="left"/>
              <w:rPr>
                <w:rFonts w:hint="default" w:ascii="Times New Roman" w:hAnsi="Times New Roman" w:cs="Times New Roman"/>
                <w:b/>
                <w:bCs/>
                <w:color w:val="auto"/>
                <w:sz w:val="24"/>
                <w:szCs w:val="32"/>
                <w:highlight w:val="none"/>
              </w:rPr>
            </w:pPr>
            <w:r>
              <w:rPr>
                <w:rFonts w:hint="default" w:ascii="Times New Roman" w:hAnsi="Times New Roman" w:cs="Times New Roman"/>
                <w:b/>
                <w:color w:val="auto"/>
                <w:kern w:val="0"/>
                <w:sz w:val="24"/>
                <w:szCs w:val="32"/>
                <w:highlight w:val="none"/>
                <w:lang w:val="en-US" w:eastAsia="zh-CN" w:bidi="ar"/>
              </w:rPr>
              <w:t>4</w:t>
            </w:r>
            <w:r>
              <w:rPr>
                <w:rFonts w:hint="default" w:ascii="Times New Roman" w:hAnsi="Times New Roman" w:cs="Times New Roman"/>
                <w:b/>
                <w:color w:val="auto"/>
                <w:kern w:val="0"/>
                <w:sz w:val="24"/>
                <w:szCs w:val="32"/>
                <w:highlight w:val="none"/>
                <w:lang w:bidi="ar"/>
              </w:rPr>
              <w:t>.</w:t>
            </w:r>
            <w:r>
              <w:rPr>
                <w:rFonts w:hint="default" w:ascii="Times New Roman" w:hAnsi="Times New Roman" w:cs="Times New Roman"/>
                <w:b/>
                <w:bCs/>
                <w:color w:val="auto"/>
                <w:sz w:val="24"/>
                <w:highlight w:val="none"/>
              </w:rPr>
              <w:t>存在的主要环境问题</w:t>
            </w:r>
          </w:p>
          <w:p w14:paraId="76EF3E73">
            <w:pPr>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cs="Times New Roman"/>
                <w:color w:val="auto"/>
                <w:kern w:val="0"/>
                <w:sz w:val="24"/>
                <w:highlight w:val="none"/>
                <w:lang w:val="en-US" w:eastAsia="zh-CN"/>
              </w:rPr>
              <w:t>根据</w:t>
            </w:r>
            <w:r>
              <w:rPr>
                <w:rFonts w:hint="default" w:ascii="Times New Roman" w:hAnsi="Times New Roman" w:cs="Times New Roman"/>
                <w:color w:val="auto"/>
                <w:kern w:val="0"/>
                <w:sz w:val="24"/>
                <w:highlight w:val="none"/>
              </w:rPr>
              <w:t>《危险废物贮存污染控制标准》（GB18597-2023）</w:t>
            </w:r>
            <w:r>
              <w:rPr>
                <w:rFonts w:hint="default" w:ascii="Times New Roman" w:hAnsi="Times New Roman" w:cs="Times New Roman"/>
                <w:color w:val="auto"/>
                <w:kern w:val="0"/>
                <w:sz w:val="24"/>
                <w:highlight w:val="none"/>
                <w:lang w:val="en-US" w:eastAsia="zh-CN"/>
              </w:rPr>
              <w:t>要求，</w:t>
            </w:r>
            <w:r>
              <w:rPr>
                <w:rFonts w:hint="default" w:ascii="Times New Roman" w:hAnsi="Times New Roman" w:eastAsia="宋体" w:cs="Times New Roman"/>
                <w:color w:val="auto"/>
                <w:sz w:val="24"/>
                <w:szCs w:val="24"/>
                <w:highlight w:val="none"/>
              </w:rPr>
              <w:t>在贮存库内或通过贮存分区方式贮存液态危险废物的，应具有液体泄漏堵截设施，堵截设施最小容积不应低于对应贮存区域最大液态废物容器容积或液态废物总储量1/10（二者取较大者）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cs="Times New Roman"/>
                <w:color w:val="auto"/>
                <w:sz w:val="24"/>
                <w:szCs w:val="24"/>
                <w:highlight w:val="none"/>
                <w:lang w:val="en-US" w:eastAsia="zh-CN"/>
              </w:rPr>
              <w:t>现场勘查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kern w:val="0"/>
                <w:sz w:val="24"/>
                <w:highlight w:val="none"/>
                <w:lang w:eastAsia="zh-CN"/>
              </w:rPr>
              <w:t>现有</w:t>
            </w:r>
            <w:r>
              <w:rPr>
                <w:rFonts w:hint="default" w:ascii="Times New Roman" w:hAnsi="Times New Roman" w:cs="Times New Roman"/>
                <w:color w:val="auto"/>
                <w:kern w:val="0"/>
                <w:sz w:val="24"/>
                <w:highlight w:val="none"/>
              </w:rPr>
              <w:t>工程</w:t>
            </w:r>
            <w:r>
              <w:rPr>
                <w:rFonts w:hint="eastAsia" w:ascii="Times New Roman" w:hAnsi="Times New Roman" w:cs="Times New Roman"/>
                <w:color w:val="auto"/>
                <w:kern w:val="0"/>
                <w:sz w:val="24"/>
                <w:highlight w:val="none"/>
                <w:lang w:eastAsia="zh-CN"/>
              </w:rPr>
              <w:t>危废贮存点</w:t>
            </w:r>
            <w:r>
              <w:rPr>
                <w:rFonts w:hint="default" w:ascii="Times New Roman" w:hAnsi="Times New Roman" w:eastAsia="宋体" w:cs="Times New Roman"/>
                <w:color w:val="auto"/>
                <w:kern w:val="0"/>
                <w:sz w:val="24"/>
                <w:highlight w:val="none"/>
                <w:lang w:val="en-US" w:eastAsia="zh-CN"/>
              </w:rPr>
              <w:t>内废矿物油贮存区域无液体导流和收集设施。</w:t>
            </w:r>
          </w:p>
          <w:p w14:paraId="381E2BC1">
            <w:pPr>
              <w:topLinePunct/>
              <w:adjustRightInd w:val="0"/>
              <w:snapToGrid w:val="0"/>
              <w:spacing w:line="360" w:lineRule="auto"/>
              <w:jc w:val="lef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lang w:val="en-US" w:eastAsia="zh-CN"/>
              </w:rPr>
              <w:t>5</w:t>
            </w:r>
            <w:r>
              <w:rPr>
                <w:rFonts w:hint="default" w:ascii="Times New Roman" w:hAnsi="Times New Roman" w:cs="Times New Roman"/>
                <w:b/>
                <w:bCs/>
                <w:color w:val="auto"/>
                <w:sz w:val="24"/>
                <w:highlight w:val="none"/>
              </w:rPr>
              <w:t>.整改措施</w:t>
            </w:r>
          </w:p>
          <w:p w14:paraId="22C8CB91">
            <w:pPr>
              <w:spacing w:line="360" w:lineRule="auto"/>
              <w:ind w:firstLine="480" w:firstLineChars="200"/>
              <w:rPr>
                <w:rFonts w:hint="default" w:ascii="Times New Roman" w:hAnsi="Times New Roman" w:eastAsia="宋体" w:cs="Times New Roman"/>
                <w:color w:val="auto"/>
                <w:sz w:val="24"/>
                <w:szCs w:val="32"/>
                <w:highlight w:val="none"/>
                <w:lang w:val="en-US" w:eastAsia="zh-CN"/>
              </w:rPr>
            </w:pPr>
            <w:r>
              <w:rPr>
                <w:rFonts w:hint="default" w:ascii="Times New Roman" w:hAnsi="Times New Roman" w:cs="Times New Roman"/>
                <w:color w:val="auto"/>
                <w:kern w:val="0"/>
                <w:sz w:val="24"/>
                <w:highlight w:val="none"/>
                <w:lang w:val="en-US" w:eastAsia="zh-CN"/>
              </w:rPr>
              <w:t>根据</w:t>
            </w:r>
            <w:r>
              <w:rPr>
                <w:rFonts w:hint="default" w:ascii="Times New Roman" w:hAnsi="Times New Roman" w:cs="Times New Roman"/>
                <w:color w:val="auto"/>
                <w:kern w:val="0"/>
                <w:sz w:val="24"/>
                <w:highlight w:val="none"/>
              </w:rPr>
              <w:t>《危险废物贮存污染控制标准》（GB18597-2023）</w:t>
            </w:r>
            <w:r>
              <w:rPr>
                <w:rFonts w:hint="default" w:ascii="Times New Roman" w:hAnsi="Times New Roman"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要求建设单位对</w:t>
            </w:r>
            <w:r>
              <w:rPr>
                <w:rFonts w:hint="eastAsia" w:ascii="Times New Roman" w:hAnsi="Times New Roman" w:cs="Times New Roman"/>
                <w:color w:val="auto"/>
                <w:kern w:val="0"/>
                <w:sz w:val="24"/>
                <w:highlight w:val="none"/>
                <w:lang w:val="en-US" w:eastAsia="zh-CN"/>
              </w:rPr>
              <w:t>危废贮存点</w:t>
            </w:r>
            <w:r>
              <w:rPr>
                <w:rFonts w:hint="default" w:ascii="Times New Roman" w:hAnsi="Times New Roman" w:eastAsia="宋体" w:cs="Times New Roman"/>
                <w:color w:val="auto"/>
                <w:kern w:val="0"/>
                <w:sz w:val="24"/>
                <w:highlight w:val="none"/>
                <w:lang w:val="en-US" w:eastAsia="zh-CN"/>
              </w:rPr>
              <w:t>进行改造，在</w:t>
            </w:r>
            <w:r>
              <w:rPr>
                <w:rFonts w:hint="eastAsia" w:ascii="Times New Roman" w:hAnsi="Times New Roman" w:cs="Times New Roman"/>
                <w:color w:val="auto"/>
                <w:kern w:val="0"/>
                <w:sz w:val="24"/>
                <w:highlight w:val="none"/>
                <w:lang w:val="en-US" w:eastAsia="zh-CN"/>
              </w:rPr>
              <w:t>危废贮存点</w:t>
            </w:r>
            <w:r>
              <w:rPr>
                <w:rFonts w:hint="default" w:ascii="Times New Roman" w:hAnsi="Times New Roman" w:eastAsia="宋体" w:cs="Times New Roman"/>
                <w:color w:val="auto"/>
                <w:kern w:val="0"/>
                <w:sz w:val="24"/>
                <w:highlight w:val="none"/>
                <w:lang w:val="en-US" w:eastAsia="zh-CN"/>
              </w:rPr>
              <w:t>内</w:t>
            </w:r>
            <w:r>
              <w:rPr>
                <w:rFonts w:hint="default" w:ascii="Times New Roman" w:hAnsi="Times New Roman" w:cs="Times New Roman"/>
                <w:color w:val="auto"/>
                <w:kern w:val="0"/>
                <w:sz w:val="24"/>
                <w:highlight w:val="none"/>
                <w:lang w:bidi="ar"/>
              </w:rPr>
              <w:t>废矿物油</w:t>
            </w:r>
            <w:r>
              <w:rPr>
                <w:rFonts w:hint="default" w:ascii="Times New Roman" w:hAnsi="Times New Roman" w:cs="Times New Roman"/>
                <w:color w:val="auto"/>
                <w:kern w:val="0"/>
                <w:sz w:val="24"/>
                <w:highlight w:val="none"/>
                <w:lang w:val="en-US" w:eastAsia="zh-CN" w:bidi="ar"/>
              </w:rPr>
              <w:t>贮存区域设置导流沟并建设收集池，收集池</w:t>
            </w:r>
            <w:r>
              <w:rPr>
                <w:rFonts w:hint="default" w:ascii="Times New Roman" w:hAnsi="Times New Roman" w:eastAsia="宋体" w:cs="Times New Roman"/>
                <w:color w:val="auto"/>
                <w:sz w:val="24"/>
                <w:szCs w:val="24"/>
                <w:highlight w:val="none"/>
              </w:rPr>
              <w:t>最小容积不应低于对应贮存区域最大液态废物容器容积或液态废物总储量1/10（二者取较大者）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kern w:val="0"/>
                <w:sz w:val="24"/>
                <w:highlight w:val="none"/>
                <w:lang w:val="en-US" w:eastAsia="zh-CN" w:bidi="ar"/>
              </w:rPr>
              <w:t>用于防止废矿物油贮存期间因事故泄漏导致环境污染。</w:t>
            </w:r>
          </w:p>
          <w:p w14:paraId="02B168BB">
            <w:pPr>
              <w:pStyle w:val="31"/>
              <w:rPr>
                <w:rFonts w:hint="default" w:ascii="Times New Roman" w:hAnsi="Times New Roman" w:eastAsia="宋体" w:cs="Times New Roman"/>
                <w:color w:val="auto"/>
                <w:highlight w:val="none"/>
                <w:lang w:val="en-US" w:eastAsia="zh-CN"/>
              </w:rPr>
            </w:pPr>
          </w:p>
          <w:p w14:paraId="18E5EA19">
            <w:pPr>
              <w:rPr>
                <w:rFonts w:hint="default" w:ascii="Times New Roman" w:hAnsi="Times New Roman" w:eastAsia="宋体" w:cs="Times New Roman"/>
                <w:color w:val="auto"/>
                <w:highlight w:val="none"/>
                <w:lang w:val="en-US" w:eastAsia="zh-CN"/>
              </w:rPr>
            </w:pPr>
          </w:p>
          <w:p w14:paraId="0687E2E6">
            <w:pPr>
              <w:rPr>
                <w:rFonts w:hint="default" w:ascii="Times New Roman" w:hAnsi="Times New Roman" w:eastAsia="宋体" w:cs="Times New Roman"/>
                <w:color w:val="auto"/>
                <w:highlight w:val="none"/>
                <w:lang w:val="en-US" w:eastAsia="zh-CN"/>
              </w:rPr>
            </w:pPr>
          </w:p>
          <w:p w14:paraId="12E07EB1">
            <w:pPr>
              <w:pStyle w:val="8"/>
              <w:rPr>
                <w:rFonts w:hint="default" w:ascii="Times New Roman" w:hAnsi="Times New Roman" w:eastAsia="宋体" w:cs="Times New Roman"/>
                <w:color w:val="auto"/>
                <w:highlight w:val="none"/>
                <w:lang w:val="en-US" w:eastAsia="zh-CN"/>
              </w:rPr>
            </w:pPr>
          </w:p>
          <w:p w14:paraId="2A3D1BF2">
            <w:pPr>
              <w:rPr>
                <w:rFonts w:hint="default" w:ascii="Times New Roman" w:hAnsi="Times New Roman" w:eastAsia="宋体" w:cs="Times New Roman"/>
                <w:color w:val="auto"/>
                <w:highlight w:val="none"/>
                <w:lang w:val="en-US" w:eastAsia="zh-CN"/>
              </w:rPr>
            </w:pPr>
          </w:p>
          <w:p w14:paraId="52E06FF7">
            <w:pPr>
              <w:pStyle w:val="8"/>
              <w:rPr>
                <w:rFonts w:hint="default" w:ascii="Times New Roman" w:hAnsi="Times New Roman" w:eastAsia="宋体" w:cs="Times New Roman"/>
                <w:color w:val="auto"/>
                <w:highlight w:val="none"/>
                <w:lang w:val="en-US" w:eastAsia="zh-CN"/>
              </w:rPr>
            </w:pPr>
          </w:p>
          <w:p w14:paraId="1AE6B2A5">
            <w:pPr>
              <w:rPr>
                <w:rFonts w:hint="default" w:ascii="Times New Roman" w:hAnsi="Times New Roman" w:eastAsia="宋体" w:cs="Times New Roman"/>
                <w:color w:val="auto"/>
                <w:highlight w:val="none"/>
                <w:lang w:val="en-US" w:eastAsia="zh-CN"/>
              </w:rPr>
            </w:pPr>
          </w:p>
          <w:p w14:paraId="02FB111C">
            <w:pPr>
              <w:pStyle w:val="8"/>
              <w:rPr>
                <w:rFonts w:hint="default" w:ascii="Times New Roman" w:hAnsi="Times New Roman" w:eastAsia="宋体" w:cs="Times New Roman"/>
                <w:color w:val="auto"/>
                <w:highlight w:val="none"/>
                <w:lang w:val="en-US" w:eastAsia="zh-CN"/>
              </w:rPr>
            </w:pPr>
          </w:p>
          <w:p w14:paraId="1C8C2982">
            <w:pPr>
              <w:rPr>
                <w:rFonts w:hint="default" w:ascii="Times New Roman" w:hAnsi="Times New Roman" w:eastAsia="宋体" w:cs="Times New Roman"/>
                <w:color w:val="auto"/>
                <w:highlight w:val="none"/>
                <w:lang w:val="en-US" w:eastAsia="zh-CN"/>
              </w:rPr>
            </w:pPr>
          </w:p>
          <w:p w14:paraId="4B96EB07">
            <w:pPr>
              <w:rPr>
                <w:rFonts w:hint="default" w:ascii="Times New Roman" w:hAnsi="Times New Roman" w:eastAsia="宋体" w:cs="Times New Roman"/>
                <w:color w:val="auto"/>
                <w:highlight w:val="none"/>
                <w:lang w:val="en-US" w:eastAsia="zh-CN"/>
              </w:rPr>
            </w:pPr>
          </w:p>
          <w:p w14:paraId="4022FE5C">
            <w:pPr>
              <w:rPr>
                <w:rFonts w:hint="default" w:ascii="Times New Roman" w:hAnsi="Times New Roman" w:eastAsia="宋体" w:cs="Times New Roman"/>
                <w:color w:val="auto"/>
                <w:highlight w:val="none"/>
                <w:lang w:val="en-US" w:eastAsia="zh-CN"/>
              </w:rPr>
            </w:pPr>
          </w:p>
          <w:p w14:paraId="70F69D03">
            <w:pPr>
              <w:rPr>
                <w:rFonts w:hint="default" w:ascii="Times New Roman" w:hAnsi="Times New Roman" w:eastAsia="宋体" w:cs="Times New Roman"/>
                <w:color w:val="auto"/>
                <w:highlight w:val="none"/>
                <w:lang w:val="en-US" w:eastAsia="zh-CN"/>
              </w:rPr>
            </w:pPr>
          </w:p>
          <w:p w14:paraId="525596FA">
            <w:pPr>
              <w:rPr>
                <w:rFonts w:hint="default" w:ascii="Times New Roman" w:hAnsi="Times New Roman" w:eastAsia="宋体" w:cs="Times New Roman"/>
                <w:color w:val="auto"/>
                <w:highlight w:val="none"/>
                <w:lang w:val="en-US" w:eastAsia="zh-CN"/>
              </w:rPr>
            </w:pPr>
          </w:p>
        </w:tc>
      </w:tr>
    </w:tbl>
    <w:p w14:paraId="7EB84BB9">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1B51CE93">
      <w:pPr>
        <w:pStyle w:val="22"/>
        <w:keepNext w:val="0"/>
        <w:keepLines w:val="0"/>
        <w:pageBreakBefore w:val="0"/>
        <w:widowControl/>
        <w:kinsoku/>
        <w:wordWrap/>
        <w:overflowPunct/>
        <w:topLinePunct w:val="0"/>
        <w:autoSpaceDE/>
        <w:autoSpaceDN/>
        <w:bidi w:val="0"/>
        <w:adjustRightInd/>
        <w:snapToGrid/>
        <w:spacing w:before="0" w:beforeAutospacing="0" w:after="0" w:afterAutospacing="0" w:line="480" w:lineRule="auto"/>
        <w:jc w:val="center"/>
        <w:textAlignment w:val="auto"/>
        <w:outlineLvl w:val="0"/>
        <w:rPr>
          <w:rFonts w:hint="default" w:ascii="Times New Roman" w:hAnsi="Times New Roman" w:eastAsia="黑体" w:cs="Times New Roman"/>
          <w:b w:val="0"/>
          <w:bCs w:val="0"/>
          <w:snapToGrid w:val="0"/>
          <w:color w:val="auto"/>
          <w:sz w:val="30"/>
          <w:szCs w:val="30"/>
          <w:highlight w:val="none"/>
        </w:rPr>
      </w:pPr>
      <w:r>
        <w:rPr>
          <w:rFonts w:hint="default" w:ascii="Times New Roman" w:hAnsi="Times New Roman" w:eastAsia="黑体" w:cs="Times New Roman"/>
          <w:b w:val="0"/>
          <w:bCs w:val="0"/>
          <w:snapToGrid w:val="0"/>
          <w:color w:val="auto"/>
          <w:sz w:val="30"/>
          <w:szCs w:val="30"/>
          <w:highlight w:val="none"/>
        </w:rPr>
        <w:t>三、区域环境质量现状、环境保护目标及评价标准</w:t>
      </w:r>
    </w:p>
    <w:tbl>
      <w:tblPr>
        <w:tblStyle w:val="24"/>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7986"/>
      </w:tblGrid>
      <w:tr w14:paraId="42A1E1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3" w:hRule="atLeast"/>
          <w:jc w:val="center"/>
        </w:trPr>
        <w:tc>
          <w:tcPr>
            <w:tcW w:w="800" w:type="dxa"/>
            <w:tcBorders>
              <w:tl2br w:val="nil"/>
              <w:tr2bl w:val="nil"/>
            </w:tcBorders>
            <w:noWrap w:val="0"/>
            <w:vAlign w:val="center"/>
          </w:tcPr>
          <w:p w14:paraId="40DFB86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14:paraId="65D755A9">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4A61EB5B">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14:paraId="0E07F68E">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现状</w:t>
            </w:r>
          </w:p>
        </w:tc>
        <w:tc>
          <w:tcPr>
            <w:tcW w:w="8190" w:type="dxa"/>
            <w:tcBorders>
              <w:tl2br w:val="nil"/>
              <w:tr2bl w:val="nil"/>
            </w:tcBorders>
            <w:noWrap w:val="0"/>
            <w:vAlign w:val="center"/>
          </w:tcPr>
          <w:p w14:paraId="07BB5E19">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环境</w:t>
            </w:r>
            <w:r>
              <w:rPr>
                <w:rFonts w:hint="default" w:ascii="Times New Roman" w:hAnsi="Times New Roman" w:cs="Times New Roman"/>
                <w:b/>
                <w:bCs/>
                <w:color w:val="auto"/>
                <w:sz w:val="24"/>
                <w:szCs w:val="24"/>
                <w:highlight w:val="none"/>
                <w:lang w:eastAsia="zh-CN"/>
              </w:rPr>
              <w:t>空气</w:t>
            </w:r>
            <w:r>
              <w:rPr>
                <w:rFonts w:hint="default" w:ascii="Times New Roman" w:hAnsi="Times New Roman" w:cs="Times New Roman"/>
                <w:b/>
                <w:bCs/>
                <w:color w:val="auto"/>
                <w:sz w:val="24"/>
                <w:szCs w:val="24"/>
                <w:highlight w:val="none"/>
              </w:rPr>
              <w:t>质量现状</w:t>
            </w:r>
            <w:r>
              <w:rPr>
                <w:rFonts w:hint="default" w:ascii="Times New Roman" w:hAnsi="Times New Roman" w:cs="Times New Roman"/>
                <w:b/>
                <w:bCs/>
                <w:color w:val="auto"/>
                <w:sz w:val="24"/>
                <w:szCs w:val="24"/>
                <w:highlight w:val="none"/>
                <w:lang w:eastAsia="zh-CN"/>
              </w:rPr>
              <w:t>调查与评价</w:t>
            </w:r>
          </w:p>
          <w:p w14:paraId="2AAD6C86">
            <w:pPr>
              <w:keepNext w:val="0"/>
              <w:keepLines w:val="0"/>
              <w:pageBreakBefore w:val="0"/>
              <w:widowControl w:val="0"/>
              <w:kinsoku/>
              <w:wordWrap/>
              <w:overflowPunct/>
              <w:topLinePunct w:val="0"/>
              <w:autoSpaceDE/>
              <w:autoSpaceDN/>
              <w:bidi w:val="0"/>
              <w:spacing w:line="360" w:lineRule="auto"/>
              <w:textAlignment w:val="auto"/>
              <w:rPr>
                <w:rFonts w:hint="default" w:ascii="Times New Roman" w:hAnsi="Times New Roman" w:cs="Times New Roman"/>
                <w:b/>
                <w:bCs/>
                <w:color w:val="auto"/>
                <w:sz w:val="24"/>
                <w:highlight w:val="none"/>
              </w:rPr>
            </w:pPr>
            <w:bookmarkStart w:id="2" w:name="_Toc31443"/>
            <w:r>
              <w:rPr>
                <w:rFonts w:hint="default" w:ascii="Times New Roman" w:hAnsi="Times New Roman" w:cs="Times New Roman"/>
                <w:b/>
                <w:bCs/>
                <w:color w:val="auto"/>
                <w:sz w:val="24"/>
                <w:highlight w:val="none"/>
              </w:rPr>
              <w:t>1.1项目所在区域达标判定</w:t>
            </w:r>
          </w:p>
          <w:bookmarkEnd w:id="2"/>
          <w:p w14:paraId="6D818C1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kern w:val="0"/>
                <w:sz w:val="24"/>
                <w:szCs w:val="20"/>
                <w:highlight w:val="none"/>
              </w:rPr>
              <w:t>根据《环境影响评价技术导则大气环境》（HJ2.2-2018），大气基本因子可直接采用国家或地方</w:t>
            </w:r>
            <w:r>
              <w:rPr>
                <w:rFonts w:hint="default" w:ascii="Times New Roman" w:hAnsi="Times New Roman" w:cs="Times New Roman"/>
                <w:color w:val="auto"/>
                <w:kern w:val="0"/>
                <w:sz w:val="24"/>
                <w:szCs w:val="20"/>
                <w:highlight w:val="none"/>
                <w:lang w:eastAsia="zh-CN"/>
              </w:rPr>
              <w:t>生态环境</w:t>
            </w:r>
            <w:r>
              <w:rPr>
                <w:rFonts w:hint="default" w:ascii="Times New Roman" w:hAnsi="Times New Roman" w:eastAsia="宋体" w:cs="Times New Roman"/>
                <w:color w:val="auto"/>
                <w:kern w:val="0"/>
                <w:sz w:val="24"/>
                <w:szCs w:val="20"/>
                <w:highlight w:val="none"/>
              </w:rPr>
              <w:t>主管部门公开发布的评价基准年环境质量公告或环境质量报告中的数据或结论。本环评根据导则要求，选取202</w:t>
            </w:r>
            <w:r>
              <w:rPr>
                <w:rFonts w:hint="default" w:ascii="Times New Roman" w:hAnsi="Times New Roman" w:cs="Times New Roman"/>
                <w:color w:val="auto"/>
                <w:kern w:val="0"/>
                <w:sz w:val="24"/>
                <w:szCs w:val="20"/>
                <w:highlight w:val="none"/>
                <w:lang w:val="en-US" w:eastAsia="zh-CN"/>
              </w:rPr>
              <w:t>3</w:t>
            </w:r>
            <w:r>
              <w:rPr>
                <w:rFonts w:hint="default" w:ascii="Times New Roman" w:hAnsi="Times New Roman" w:eastAsia="宋体" w:cs="Times New Roman"/>
                <w:color w:val="auto"/>
                <w:kern w:val="0"/>
                <w:sz w:val="24"/>
                <w:szCs w:val="20"/>
                <w:highlight w:val="none"/>
              </w:rPr>
              <w:t>年，选取位于昌吉市的昌吉州环境空气自动监测站，202</w:t>
            </w:r>
            <w:r>
              <w:rPr>
                <w:rFonts w:hint="default" w:ascii="Times New Roman" w:hAnsi="Times New Roman" w:cs="Times New Roman"/>
                <w:color w:val="auto"/>
                <w:kern w:val="0"/>
                <w:sz w:val="24"/>
                <w:szCs w:val="20"/>
                <w:highlight w:val="none"/>
                <w:lang w:val="en-US" w:eastAsia="zh-CN"/>
              </w:rPr>
              <w:t>3</w:t>
            </w:r>
            <w:r>
              <w:rPr>
                <w:rFonts w:hint="default" w:ascii="Times New Roman" w:hAnsi="Times New Roman" w:eastAsia="宋体" w:cs="Times New Roman"/>
                <w:color w:val="auto"/>
                <w:kern w:val="0"/>
                <w:sz w:val="24"/>
                <w:szCs w:val="20"/>
                <w:highlight w:val="none"/>
              </w:rPr>
              <w:t>年的监测数据，作为本项目环境空气现状评价基本污染物SO</w:t>
            </w:r>
            <w:r>
              <w:rPr>
                <w:rFonts w:hint="default" w:ascii="Times New Roman" w:hAnsi="Times New Roman" w:eastAsia="宋体" w:cs="Times New Roman"/>
                <w:color w:val="auto"/>
                <w:kern w:val="0"/>
                <w:sz w:val="24"/>
                <w:szCs w:val="20"/>
                <w:highlight w:val="none"/>
                <w:vertAlign w:val="subscript"/>
              </w:rPr>
              <w:t>2</w:t>
            </w:r>
            <w:r>
              <w:rPr>
                <w:rFonts w:hint="default" w:ascii="Times New Roman" w:hAnsi="Times New Roman" w:eastAsia="宋体" w:cs="Times New Roman"/>
                <w:color w:val="auto"/>
                <w:kern w:val="0"/>
                <w:sz w:val="24"/>
                <w:szCs w:val="20"/>
                <w:highlight w:val="none"/>
              </w:rPr>
              <w:t>、NO</w:t>
            </w:r>
            <w:r>
              <w:rPr>
                <w:rFonts w:hint="default" w:ascii="Times New Roman" w:hAnsi="Times New Roman" w:eastAsia="宋体" w:cs="Times New Roman"/>
                <w:color w:val="auto"/>
                <w:kern w:val="0"/>
                <w:sz w:val="24"/>
                <w:szCs w:val="20"/>
                <w:highlight w:val="none"/>
                <w:vertAlign w:val="subscript"/>
              </w:rPr>
              <w:t>2</w:t>
            </w:r>
            <w:r>
              <w:rPr>
                <w:rFonts w:hint="default" w:ascii="Times New Roman" w:hAnsi="Times New Roman" w:eastAsia="宋体" w:cs="Times New Roman"/>
                <w:color w:val="auto"/>
                <w:kern w:val="0"/>
                <w:sz w:val="24"/>
                <w:szCs w:val="20"/>
                <w:highlight w:val="none"/>
              </w:rPr>
              <w:t>、PM</w:t>
            </w:r>
            <w:r>
              <w:rPr>
                <w:rFonts w:hint="default" w:ascii="Times New Roman" w:hAnsi="Times New Roman" w:eastAsia="宋体" w:cs="Times New Roman"/>
                <w:color w:val="auto"/>
                <w:kern w:val="0"/>
                <w:sz w:val="24"/>
                <w:szCs w:val="20"/>
                <w:highlight w:val="none"/>
                <w:vertAlign w:val="subscript"/>
              </w:rPr>
              <w:t>10</w:t>
            </w:r>
            <w:r>
              <w:rPr>
                <w:rFonts w:hint="default" w:ascii="Times New Roman" w:hAnsi="Times New Roman" w:eastAsia="宋体" w:cs="Times New Roman"/>
                <w:color w:val="auto"/>
                <w:kern w:val="0"/>
                <w:sz w:val="24"/>
                <w:szCs w:val="20"/>
                <w:highlight w:val="none"/>
              </w:rPr>
              <w:t>、PM</w:t>
            </w:r>
            <w:r>
              <w:rPr>
                <w:rFonts w:hint="default" w:ascii="Times New Roman" w:hAnsi="Times New Roman" w:eastAsia="宋体" w:cs="Times New Roman"/>
                <w:color w:val="auto"/>
                <w:kern w:val="0"/>
                <w:sz w:val="24"/>
                <w:szCs w:val="20"/>
                <w:highlight w:val="none"/>
                <w:vertAlign w:val="subscript"/>
              </w:rPr>
              <w:t>2.5</w:t>
            </w:r>
            <w:r>
              <w:rPr>
                <w:rFonts w:hint="default" w:ascii="Times New Roman" w:hAnsi="Times New Roman" w:eastAsia="宋体" w:cs="Times New Roman"/>
                <w:color w:val="auto"/>
                <w:kern w:val="0"/>
                <w:sz w:val="24"/>
                <w:szCs w:val="20"/>
                <w:highlight w:val="none"/>
              </w:rPr>
              <w:t>、CO和O</w:t>
            </w:r>
            <w:r>
              <w:rPr>
                <w:rFonts w:hint="default" w:ascii="Times New Roman" w:hAnsi="Times New Roman" w:eastAsia="宋体" w:cs="Times New Roman"/>
                <w:color w:val="auto"/>
                <w:kern w:val="0"/>
                <w:sz w:val="24"/>
                <w:szCs w:val="20"/>
                <w:highlight w:val="none"/>
                <w:vertAlign w:val="subscript"/>
              </w:rPr>
              <w:t>3</w:t>
            </w:r>
            <w:r>
              <w:rPr>
                <w:rFonts w:hint="default" w:ascii="Times New Roman" w:hAnsi="Times New Roman" w:eastAsia="宋体" w:cs="Times New Roman"/>
                <w:color w:val="auto"/>
                <w:kern w:val="0"/>
                <w:sz w:val="24"/>
                <w:szCs w:val="20"/>
                <w:highlight w:val="none"/>
              </w:rPr>
              <w:t>的数据来源。</w:t>
            </w:r>
          </w:p>
          <w:p w14:paraId="300A184A">
            <w:pPr>
              <w:spacing w:line="240" w:lineRule="auto"/>
              <w:ind w:firstLine="480" w:firstLineChars="200"/>
              <w:jc w:val="center"/>
              <w:rPr>
                <w:rFonts w:hint="default" w:ascii="Times New Roman" w:hAnsi="Times New Roman" w:eastAsia="黑体" w:cs="Times New Roman"/>
                <w:color w:val="auto"/>
                <w:sz w:val="24"/>
                <w:szCs w:val="40"/>
                <w:highlight w:val="none"/>
              </w:rPr>
            </w:pPr>
            <w:r>
              <w:rPr>
                <w:rFonts w:hint="default" w:ascii="Times New Roman" w:hAnsi="Times New Roman" w:eastAsia="黑体" w:cs="Times New Roman"/>
                <w:color w:val="auto"/>
                <w:kern w:val="0"/>
                <w:sz w:val="24"/>
                <w:highlight w:val="none"/>
                <w:lang w:val="zh-CN" w:bidi="zh-CN"/>
              </w:rPr>
              <w:t>表</w:t>
            </w:r>
            <w:r>
              <w:rPr>
                <w:rFonts w:hint="default" w:ascii="Times New Roman" w:hAnsi="Times New Roman" w:eastAsia="黑体" w:cs="Times New Roman"/>
                <w:color w:val="auto"/>
                <w:kern w:val="0"/>
                <w:sz w:val="24"/>
                <w:highlight w:val="none"/>
                <w:lang w:bidi="zh-CN"/>
              </w:rPr>
              <w:t>3-1环境空气常规因子现状监测及评价结果</w:t>
            </w:r>
          </w:p>
          <w:tbl>
            <w:tblPr>
              <w:tblStyle w:val="24"/>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19"/>
              <w:gridCol w:w="2383"/>
              <w:gridCol w:w="1169"/>
              <w:gridCol w:w="1186"/>
              <w:gridCol w:w="1040"/>
              <w:gridCol w:w="1170"/>
            </w:tblGrid>
            <w:tr w14:paraId="68895E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bottom w:val="single" w:color="auto" w:sz="12" w:space="0"/>
                  </w:tcBorders>
                  <w:vAlign w:val="center"/>
                </w:tcPr>
                <w:p w14:paraId="5F38A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33" w:type="pct"/>
                  <w:tcBorders>
                    <w:bottom w:val="single" w:color="auto" w:sz="12" w:space="0"/>
                  </w:tcBorders>
                  <w:vAlign w:val="center"/>
                </w:tcPr>
                <w:p w14:paraId="3DD790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年度评价指标</w:t>
                  </w:r>
                </w:p>
              </w:tc>
              <w:tc>
                <w:tcPr>
                  <w:tcW w:w="752" w:type="pct"/>
                  <w:tcBorders>
                    <w:bottom w:val="single" w:color="auto" w:sz="12" w:space="0"/>
                  </w:tcBorders>
                  <w:vAlign w:val="center"/>
                </w:tcPr>
                <w:p w14:paraId="15872F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现状浓度</w:t>
                  </w:r>
                </w:p>
                <w:p w14:paraId="21DC48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黑体" w:cs="Times New Roman"/>
                      <w:color w:val="auto"/>
                      <w:sz w:val="21"/>
                      <w:szCs w:val="21"/>
                      <w:highlight w:val="none"/>
                    </w:rPr>
                    <w:t>µg/m</w:t>
                  </w:r>
                  <w:r>
                    <w:rPr>
                      <w:rFonts w:hint="default" w:ascii="Times New Roman" w:hAnsi="Times New Roman" w:eastAsia="黑体" w:cs="Times New Roman"/>
                      <w:color w:val="auto"/>
                      <w:sz w:val="21"/>
                      <w:szCs w:val="21"/>
                      <w:highlight w:val="none"/>
                      <w:vertAlign w:val="superscript"/>
                    </w:rPr>
                    <w:t>3</w:t>
                  </w:r>
                </w:p>
              </w:tc>
              <w:tc>
                <w:tcPr>
                  <w:tcW w:w="763" w:type="pct"/>
                  <w:tcBorders>
                    <w:bottom w:val="single" w:color="auto" w:sz="12" w:space="0"/>
                  </w:tcBorders>
                  <w:vAlign w:val="center"/>
                </w:tcPr>
                <w:p w14:paraId="717AA7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w:t>
                  </w:r>
                </w:p>
                <w:p w14:paraId="4C61AE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黑体" w:cs="Times New Roman"/>
                      <w:color w:val="auto"/>
                      <w:sz w:val="21"/>
                      <w:szCs w:val="21"/>
                      <w:highlight w:val="none"/>
                    </w:rPr>
                    <w:t>µg/m</w:t>
                  </w:r>
                  <w:r>
                    <w:rPr>
                      <w:rFonts w:hint="default" w:ascii="Times New Roman" w:hAnsi="Times New Roman" w:eastAsia="黑体" w:cs="Times New Roman"/>
                      <w:color w:val="auto"/>
                      <w:sz w:val="21"/>
                      <w:szCs w:val="21"/>
                      <w:highlight w:val="none"/>
                      <w:vertAlign w:val="superscript"/>
                    </w:rPr>
                    <w:t>3</w:t>
                  </w:r>
                </w:p>
              </w:tc>
              <w:tc>
                <w:tcPr>
                  <w:tcW w:w="669" w:type="pct"/>
                  <w:tcBorders>
                    <w:bottom w:val="single" w:color="auto" w:sz="12" w:space="0"/>
                  </w:tcBorders>
                  <w:vAlign w:val="center"/>
                </w:tcPr>
                <w:p w14:paraId="095A6F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p w14:paraId="2006B2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w:t>
                  </w:r>
                </w:p>
              </w:tc>
              <w:tc>
                <w:tcPr>
                  <w:tcW w:w="753" w:type="pct"/>
                  <w:tcBorders>
                    <w:bottom w:val="single" w:color="auto" w:sz="12" w:space="0"/>
                  </w:tcBorders>
                  <w:vAlign w:val="center"/>
                </w:tcPr>
                <w:p w14:paraId="72319A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7744D9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op w:val="single" w:color="auto" w:sz="12" w:space="0"/>
                    <w:tl2br w:val="nil"/>
                    <w:tr2bl w:val="nil"/>
                  </w:tcBorders>
                  <w:vAlign w:val="center"/>
                </w:tcPr>
                <w:p w14:paraId="18BDFA1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533" w:type="pct"/>
                  <w:tcBorders>
                    <w:top w:val="single" w:color="auto" w:sz="12" w:space="0"/>
                    <w:tl2br w:val="nil"/>
                    <w:tr2bl w:val="nil"/>
                  </w:tcBorders>
                  <w:vAlign w:val="center"/>
                </w:tcPr>
                <w:p w14:paraId="50C91C81">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752" w:type="pct"/>
                  <w:tcBorders>
                    <w:top w:val="single" w:color="auto" w:sz="12" w:space="0"/>
                    <w:tl2br w:val="nil"/>
                    <w:tr2bl w:val="nil"/>
                  </w:tcBorders>
                </w:tcPr>
                <w:p w14:paraId="2C155AF4">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763" w:type="pct"/>
                  <w:tcBorders>
                    <w:top w:val="single" w:color="auto" w:sz="12" w:space="0"/>
                    <w:tl2br w:val="nil"/>
                    <w:tr2bl w:val="nil"/>
                  </w:tcBorders>
                  <w:vAlign w:val="center"/>
                </w:tcPr>
                <w:p w14:paraId="14D18F6B">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669" w:type="pct"/>
                  <w:tcBorders>
                    <w:top w:val="single" w:color="auto" w:sz="12" w:space="0"/>
                    <w:tl2br w:val="nil"/>
                    <w:tr2bl w:val="nil"/>
                  </w:tcBorders>
                </w:tcPr>
                <w:p w14:paraId="6608B718">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w:t>
                  </w:r>
                </w:p>
              </w:tc>
              <w:tc>
                <w:tcPr>
                  <w:tcW w:w="753" w:type="pct"/>
                  <w:tcBorders>
                    <w:top w:val="single" w:color="auto" w:sz="12" w:space="0"/>
                    <w:tl2br w:val="nil"/>
                    <w:tr2bl w:val="nil"/>
                  </w:tcBorders>
                  <w:vAlign w:val="center"/>
                </w:tcPr>
                <w:p w14:paraId="78F65A28">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6BFD42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14:paraId="04ABC78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533" w:type="pct"/>
                  <w:tcBorders>
                    <w:tl2br w:val="nil"/>
                    <w:tr2bl w:val="nil"/>
                  </w:tcBorders>
                  <w:vAlign w:val="center"/>
                </w:tcPr>
                <w:p w14:paraId="059183B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752" w:type="pct"/>
                  <w:tcBorders>
                    <w:tl2br w:val="nil"/>
                    <w:tr2bl w:val="nil"/>
                  </w:tcBorders>
                </w:tcPr>
                <w:p w14:paraId="6B8D394C">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r>
                    <w:rPr>
                      <w:rFonts w:hint="default" w:ascii="Times New Roman" w:hAnsi="Times New Roman" w:eastAsia="宋体" w:cs="Times New Roman"/>
                      <w:color w:val="auto"/>
                      <w:sz w:val="21"/>
                      <w:szCs w:val="21"/>
                      <w:highlight w:val="none"/>
                    </w:rPr>
                    <w:t>2</w:t>
                  </w:r>
                </w:p>
              </w:tc>
              <w:tc>
                <w:tcPr>
                  <w:tcW w:w="763" w:type="pct"/>
                  <w:tcBorders>
                    <w:tl2br w:val="nil"/>
                    <w:tr2bl w:val="nil"/>
                  </w:tcBorders>
                  <w:vAlign w:val="center"/>
                </w:tcPr>
                <w:p w14:paraId="70BFB721">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669" w:type="pct"/>
                  <w:tcBorders>
                    <w:tl2br w:val="nil"/>
                    <w:tr2bl w:val="nil"/>
                  </w:tcBorders>
                </w:tcPr>
                <w:p w14:paraId="3824EA2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753" w:type="pct"/>
                  <w:tcBorders>
                    <w:tl2br w:val="nil"/>
                    <w:tr2bl w:val="nil"/>
                  </w:tcBorders>
                  <w:vAlign w:val="center"/>
                </w:tcPr>
                <w:p w14:paraId="76B9564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543EFE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14:paraId="2056D206">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533" w:type="pct"/>
                  <w:tcBorders>
                    <w:tl2br w:val="nil"/>
                    <w:tr2bl w:val="nil"/>
                  </w:tcBorders>
                  <w:vAlign w:val="center"/>
                </w:tcPr>
                <w:p w14:paraId="5E497A07">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752" w:type="pct"/>
                  <w:tcBorders>
                    <w:tl2br w:val="nil"/>
                    <w:tr2bl w:val="nil"/>
                  </w:tcBorders>
                </w:tcPr>
                <w:p w14:paraId="56FCD246">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w:t>
                  </w:r>
                </w:p>
              </w:tc>
              <w:tc>
                <w:tcPr>
                  <w:tcW w:w="763" w:type="pct"/>
                  <w:tcBorders>
                    <w:tl2br w:val="nil"/>
                    <w:tr2bl w:val="nil"/>
                  </w:tcBorders>
                  <w:vAlign w:val="center"/>
                </w:tcPr>
                <w:p w14:paraId="2C12EFA8">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669" w:type="pct"/>
                  <w:tcBorders>
                    <w:tl2br w:val="nil"/>
                    <w:tr2bl w:val="nil"/>
                  </w:tcBorders>
                </w:tcPr>
                <w:p w14:paraId="747C3EB2">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z w:val="21"/>
                      <w:szCs w:val="21"/>
                      <w:highlight w:val="none"/>
                    </w:rPr>
                    <w:t>11</w:t>
                  </w:r>
                  <w:r>
                    <w:rPr>
                      <w:rFonts w:hint="default" w:ascii="Times New Roman" w:hAnsi="Times New Roman" w:eastAsia="宋体" w:cs="Times New Roman"/>
                      <w:color w:val="auto"/>
                      <w:sz w:val="21"/>
                      <w:szCs w:val="21"/>
                      <w:highlight w:val="none"/>
                    </w:rPr>
                    <w:t>4</w:t>
                  </w:r>
                </w:p>
              </w:tc>
              <w:tc>
                <w:tcPr>
                  <w:tcW w:w="753" w:type="pct"/>
                  <w:tcBorders>
                    <w:tl2br w:val="nil"/>
                    <w:tr2bl w:val="nil"/>
                  </w:tcBorders>
                  <w:vAlign w:val="center"/>
                </w:tcPr>
                <w:p w14:paraId="186E68DB">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w:t>
                  </w:r>
                </w:p>
              </w:tc>
            </w:tr>
            <w:tr w14:paraId="3C07FF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14:paraId="4561B871">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533" w:type="pct"/>
                  <w:tcBorders>
                    <w:tl2br w:val="nil"/>
                    <w:tr2bl w:val="nil"/>
                  </w:tcBorders>
                  <w:vAlign w:val="center"/>
                </w:tcPr>
                <w:p w14:paraId="3268676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年平均质量浓度</w:t>
                  </w:r>
                </w:p>
              </w:tc>
              <w:tc>
                <w:tcPr>
                  <w:tcW w:w="752" w:type="pct"/>
                  <w:tcBorders>
                    <w:tl2br w:val="nil"/>
                    <w:tr2bl w:val="nil"/>
                  </w:tcBorders>
                </w:tcPr>
                <w:p w14:paraId="4B0A2644">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763" w:type="pct"/>
                  <w:tcBorders>
                    <w:tl2br w:val="nil"/>
                    <w:tr2bl w:val="nil"/>
                  </w:tcBorders>
                  <w:vAlign w:val="center"/>
                </w:tcPr>
                <w:p w14:paraId="346806D9">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669" w:type="pct"/>
                  <w:tcBorders>
                    <w:tl2br w:val="nil"/>
                    <w:tr2bl w:val="nil"/>
                  </w:tcBorders>
                </w:tcPr>
                <w:p w14:paraId="6CCFE26D">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142.00</w:t>
                  </w:r>
                </w:p>
              </w:tc>
              <w:tc>
                <w:tcPr>
                  <w:tcW w:w="753" w:type="pct"/>
                  <w:tcBorders>
                    <w:tl2br w:val="nil"/>
                    <w:tr2bl w:val="nil"/>
                  </w:tcBorders>
                  <w:vAlign w:val="center"/>
                </w:tcPr>
                <w:p w14:paraId="68EF0744">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w:t>
                  </w:r>
                </w:p>
              </w:tc>
            </w:tr>
            <w:tr w14:paraId="7BB936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14:paraId="3B76CFB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533" w:type="pct"/>
                  <w:tcBorders>
                    <w:tl2br w:val="nil"/>
                    <w:tr2bl w:val="nil"/>
                  </w:tcBorders>
                  <w:vAlign w:val="center"/>
                </w:tcPr>
                <w:p w14:paraId="660B067A">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日平均95百分位数</w:t>
                  </w:r>
                </w:p>
              </w:tc>
              <w:tc>
                <w:tcPr>
                  <w:tcW w:w="752" w:type="pct"/>
                  <w:tcBorders>
                    <w:tl2br w:val="nil"/>
                    <w:tr2bl w:val="nil"/>
                  </w:tcBorders>
                </w:tcPr>
                <w:p w14:paraId="49C26630">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2800</w:t>
                  </w:r>
                </w:p>
              </w:tc>
              <w:tc>
                <w:tcPr>
                  <w:tcW w:w="763" w:type="pct"/>
                  <w:tcBorders>
                    <w:tl2br w:val="nil"/>
                    <w:tr2bl w:val="nil"/>
                  </w:tcBorders>
                  <w:vAlign w:val="center"/>
                </w:tcPr>
                <w:p w14:paraId="3B74E8F3">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c>
                <w:tcPr>
                  <w:tcW w:w="669" w:type="pct"/>
                  <w:tcBorders>
                    <w:tl2br w:val="nil"/>
                    <w:tr2bl w:val="nil"/>
                  </w:tcBorders>
                </w:tcPr>
                <w:p w14:paraId="5AFF8B53">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70.00</w:t>
                  </w:r>
                </w:p>
              </w:tc>
              <w:tc>
                <w:tcPr>
                  <w:tcW w:w="753" w:type="pct"/>
                  <w:tcBorders>
                    <w:tl2br w:val="nil"/>
                    <w:tr2bl w:val="nil"/>
                  </w:tcBorders>
                  <w:vAlign w:val="center"/>
                </w:tcPr>
                <w:p w14:paraId="55EBA2B7">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1E033B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27" w:type="pct"/>
                  <w:tcBorders>
                    <w:tl2br w:val="nil"/>
                    <w:tr2bl w:val="nil"/>
                  </w:tcBorders>
                  <w:vAlign w:val="center"/>
                </w:tcPr>
                <w:p w14:paraId="00ED7B7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w:t>
                  </w:r>
                  <w:r>
                    <w:rPr>
                      <w:rFonts w:hint="default" w:ascii="Times New Roman" w:hAnsi="Times New Roman" w:eastAsia="宋体" w:cs="Times New Roman"/>
                      <w:color w:val="auto"/>
                      <w:sz w:val="21"/>
                      <w:szCs w:val="21"/>
                      <w:highlight w:val="none"/>
                      <w:vertAlign w:val="subscript"/>
                    </w:rPr>
                    <w:t>3</w:t>
                  </w:r>
                </w:p>
              </w:tc>
              <w:tc>
                <w:tcPr>
                  <w:tcW w:w="1533" w:type="pct"/>
                  <w:tcBorders>
                    <w:tl2br w:val="nil"/>
                    <w:tr2bl w:val="nil"/>
                  </w:tcBorders>
                  <w:vAlign w:val="center"/>
                </w:tcPr>
                <w:p w14:paraId="7683EB13">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8h最大平均第90百分位数</w:t>
                  </w:r>
                </w:p>
              </w:tc>
              <w:tc>
                <w:tcPr>
                  <w:tcW w:w="752" w:type="pct"/>
                  <w:tcBorders>
                    <w:tl2br w:val="nil"/>
                    <w:tr2bl w:val="nil"/>
                  </w:tcBorders>
                  <w:vAlign w:val="center"/>
                </w:tcPr>
                <w:p w14:paraId="432C604C">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z w:val="21"/>
                      <w:szCs w:val="21"/>
                      <w:highlight w:val="none"/>
                    </w:rPr>
                    <w:t>9</w:t>
                  </w:r>
                  <w:r>
                    <w:rPr>
                      <w:rFonts w:hint="default" w:ascii="Times New Roman" w:hAnsi="Times New Roman" w:eastAsia="宋体" w:cs="Times New Roman"/>
                      <w:color w:val="auto"/>
                      <w:sz w:val="21"/>
                      <w:szCs w:val="21"/>
                      <w:highlight w:val="none"/>
                    </w:rPr>
                    <w:t>2</w:t>
                  </w:r>
                </w:p>
              </w:tc>
              <w:tc>
                <w:tcPr>
                  <w:tcW w:w="763" w:type="pct"/>
                  <w:tcBorders>
                    <w:tl2br w:val="nil"/>
                    <w:tr2bl w:val="nil"/>
                  </w:tcBorders>
                  <w:vAlign w:val="center"/>
                </w:tcPr>
                <w:p w14:paraId="2110CEB7">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669" w:type="pct"/>
                  <w:tcBorders>
                    <w:tl2br w:val="nil"/>
                    <w:tr2bl w:val="nil"/>
                  </w:tcBorders>
                  <w:vAlign w:val="center"/>
                </w:tcPr>
                <w:p w14:paraId="381598DE">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z w:val="21"/>
                      <w:szCs w:val="21"/>
                      <w:highlight w:val="none"/>
                    </w:rPr>
                    <w:t>57</w:t>
                  </w:r>
                  <w:r>
                    <w:rPr>
                      <w:rFonts w:hint="default" w:ascii="Times New Roman" w:hAnsi="Times New Roman" w:eastAsia="宋体" w:cs="Times New Roman"/>
                      <w:color w:val="auto"/>
                      <w:sz w:val="21"/>
                      <w:szCs w:val="21"/>
                      <w:highlight w:val="none"/>
                    </w:rPr>
                    <w:t>.5</w:t>
                  </w:r>
                </w:p>
              </w:tc>
              <w:tc>
                <w:tcPr>
                  <w:tcW w:w="753" w:type="pct"/>
                  <w:tcBorders>
                    <w:tl2br w:val="nil"/>
                    <w:tr2bl w:val="nil"/>
                  </w:tcBorders>
                  <w:vAlign w:val="center"/>
                </w:tcPr>
                <w:p w14:paraId="63D2100F">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690793D9">
            <w:pPr>
              <w:widowControl/>
              <w:spacing w:line="360" w:lineRule="auto"/>
              <w:ind w:firstLine="480" w:firstLineChars="200"/>
              <w:jc w:val="left"/>
              <w:rPr>
                <w:rFonts w:hint="default" w:ascii="Times New Roman" w:hAnsi="Times New Roman" w:eastAsia="宋体" w:cs="Times New Roman"/>
                <w:color w:val="auto"/>
                <w:kern w:val="0"/>
                <w:sz w:val="24"/>
                <w:highlight w:val="none"/>
                <w:lang w:bidi="zh-CN"/>
              </w:rPr>
            </w:pPr>
            <w:r>
              <w:rPr>
                <w:rFonts w:hint="default" w:ascii="Times New Roman" w:hAnsi="Times New Roman" w:eastAsia="宋体" w:cs="Times New Roman"/>
                <w:color w:val="auto"/>
                <w:kern w:val="0"/>
                <w:sz w:val="24"/>
                <w:highlight w:val="none"/>
              </w:rPr>
              <w:t>由上表可知，</w:t>
            </w:r>
            <w:r>
              <w:rPr>
                <w:rFonts w:hint="default" w:ascii="Times New Roman" w:hAnsi="Times New Roman" w:eastAsia="宋体" w:cs="Times New Roman"/>
                <w:color w:val="auto"/>
                <w:kern w:val="0"/>
                <w:sz w:val="24"/>
                <w:highlight w:val="none"/>
                <w:lang w:bidi="ar"/>
              </w:rPr>
              <w:t>本项目所在区域SO</w:t>
            </w:r>
            <w:r>
              <w:rPr>
                <w:rFonts w:hint="default" w:ascii="Times New Roman" w:hAnsi="Times New Roman" w:eastAsia="宋体" w:cs="Times New Roman"/>
                <w:color w:val="auto"/>
                <w:kern w:val="0"/>
                <w:sz w:val="24"/>
                <w:highlight w:val="none"/>
                <w:vertAlign w:val="subscript"/>
                <w:lang w:bidi="ar"/>
              </w:rPr>
              <w:t>2</w:t>
            </w:r>
            <w:r>
              <w:rPr>
                <w:rFonts w:hint="default" w:ascii="Times New Roman" w:hAnsi="Times New Roman" w:eastAsia="宋体" w:cs="Times New Roman"/>
                <w:color w:val="auto"/>
                <w:kern w:val="0"/>
                <w:sz w:val="24"/>
                <w:highlight w:val="none"/>
                <w:lang w:bidi="ar"/>
              </w:rPr>
              <w:t>、NO</w:t>
            </w:r>
            <w:r>
              <w:rPr>
                <w:rFonts w:hint="default" w:ascii="Times New Roman" w:hAnsi="Times New Roman" w:eastAsia="宋体" w:cs="Times New Roman"/>
                <w:color w:val="auto"/>
                <w:kern w:val="0"/>
                <w:sz w:val="24"/>
                <w:highlight w:val="none"/>
                <w:vertAlign w:val="subscript"/>
                <w:lang w:bidi="ar"/>
              </w:rPr>
              <w:t>2</w:t>
            </w:r>
            <w:r>
              <w:rPr>
                <w:rFonts w:hint="default" w:ascii="Times New Roman" w:hAnsi="Times New Roman" w:eastAsia="宋体" w:cs="Times New Roman"/>
                <w:color w:val="auto"/>
                <w:kern w:val="0"/>
                <w:sz w:val="24"/>
                <w:highlight w:val="none"/>
                <w:lang w:bidi="ar"/>
              </w:rPr>
              <w:t>、CO、O</w:t>
            </w:r>
            <w:r>
              <w:rPr>
                <w:rFonts w:hint="default" w:ascii="Times New Roman" w:hAnsi="Times New Roman" w:eastAsia="宋体" w:cs="Times New Roman"/>
                <w:color w:val="auto"/>
                <w:kern w:val="0"/>
                <w:sz w:val="24"/>
                <w:highlight w:val="none"/>
                <w:vertAlign w:val="subscript"/>
                <w:lang w:bidi="ar"/>
              </w:rPr>
              <w:t>3</w:t>
            </w:r>
            <w:r>
              <w:rPr>
                <w:rFonts w:hint="default" w:ascii="Times New Roman" w:hAnsi="Times New Roman" w:eastAsia="宋体" w:cs="Times New Roman"/>
                <w:color w:val="auto"/>
                <w:kern w:val="0"/>
                <w:sz w:val="24"/>
                <w:highlight w:val="none"/>
                <w:lang w:bidi="ar"/>
              </w:rPr>
              <w:t>的年评价指标为达标；颗粒物PM</w:t>
            </w:r>
            <w:r>
              <w:rPr>
                <w:rFonts w:hint="default" w:ascii="Times New Roman" w:hAnsi="Times New Roman" w:eastAsia="宋体" w:cs="Times New Roman"/>
                <w:color w:val="auto"/>
                <w:kern w:val="0"/>
                <w:sz w:val="24"/>
                <w:highlight w:val="none"/>
                <w:vertAlign w:val="subscript"/>
                <w:lang w:bidi="ar"/>
              </w:rPr>
              <w:t>2.5</w:t>
            </w:r>
            <w:r>
              <w:rPr>
                <w:rFonts w:hint="default" w:ascii="Times New Roman" w:hAnsi="Times New Roman" w:eastAsia="宋体" w:cs="Times New Roman"/>
                <w:color w:val="auto"/>
                <w:kern w:val="0"/>
                <w:sz w:val="24"/>
                <w:highlight w:val="none"/>
                <w:lang w:bidi="ar"/>
              </w:rPr>
              <w:t>、PM</w:t>
            </w:r>
            <w:r>
              <w:rPr>
                <w:rFonts w:hint="default" w:ascii="Times New Roman" w:hAnsi="Times New Roman" w:eastAsia="宋体" w:cs="Times New Roman"/>
                <w:color w:val="auto"/>
                <w:kern w:val="0"/>
                <w:sz w:val="24"/>
                <w:highlight w:val="none"/>
                <w:vertAlign w:val="subscript"/>
                <w:lang w:bidi="ar"/>
              </w:rPr>
              <w:t>10</w:t>
            </w:r>
            <w:r>
              <w:rPr>
                <w:rFonts w:hint="default" w:ascii="Times New Roman" w:hAnsi="Times New Roman" w:eastAsia="宋体" w:cs="Times New Roman"/>
                <w:color w:val="auto"/>
                <w:kern w:val="0"/>
                <w:sz w:val="24"/>
                <w:highlight w:val="none"/>
                <w:lang w:bidi="ar"/>
              </w:rPr>
              <w:t>的年评价指标均为超标，因此本项目区域为不达标区。</w:t>
            </w:r>
            <w:r>
              <w:rPr>
                <w:rFonts w:hint="default" w:ascii="Times New Roman" w:hAnsi="Times New Roman" w:eastAsia="宋体" w:cs="Times New Roman"/>
                <w:color w:val="auto"/>
                <w:kern w:val="0"/>
                <w:sz w:val="24"/>
                <w:highlight w:val="none"/>
                <w:lang w:bidi="zh-CN"/>
              </w:rPr>
              <w:t>PM</w:t>
            </w:r>
            <w:r>
              <w:rPr>
                <w:rFonts w:hint="default" w:ascii="Times New Roman" w:hAnsi="Times New Roman" w:eastAsia="宋体" w:cs="Times New Roman"/>
                <w:color w:val="auto"/>
                <w:kern w:val="0"/>
                <w:sz w:val="24"/>
                <w:highlight w:val="none"/>
                <w:vertAlign w:val="subscript"/>
                <w:lang w:bidi="zh-CN"/>
              </w:rPr>
              <w:t>2.5</w:t>
            </w:r>
            <w:r>
              <w:rPr>
                <w:rFonts w:hint="default" w:ascii="Times New Roman" w:hAnsi="Times New Roman" w:eastAsia="宋体" w:cs="Times New Roman"/>
                <w:color w:val="auto"/>
                <w:kern w:val="0"/>
                <w:sz w:val="24"/>
                <w:highlight w:val="none"/>
                <w:lang w:bidi="zh-CN"/>
              </w:rPr>
              <w:t>、PM</w:t>
            </w:r>
            <w:r>
              <w:rPr>
                <w:rFonts w:hint="default" w:ascii="Times New Roman" w:hAnsi="Times New Roman" w:eastAsia="宋体" w:cs="Times New Roman"/>
                <w:color w:val="auto"/>
                <w:kern w:val="0"/>
                <w:sz w:val="24"/>
                <w:highlight w:val="none"/>
                <w:vertAlign w:val="subscript"/>
                <w:lang w:bidi="zh-CN"/>
              </w:rPr>
              <w:t>10</w:t>
            </w:r>
            <w:r>
              <w:rPr>
                <w:rFonts w:hint="default" w:ascii="Times New Roman" w:hAnsi="Times New Roman" w:eastAsia="宋体" w:cs="Times New Roman"/>
                <w:color w:val="auto"/>
                <w:kern w:val="0"/>
                <w:sz w:val="24"/>
                <w:highlight w:val="none"/>
                <w:lang w:bidi="zh-CN"/>
              </w:rPr>
              <w:t>受沙尘天气影响导致超标。</w:t>
            </w:r>
          </w:p>
          <w:p w14:paraId="59B2B8E5">
            <w:pPr>
              <w:adjustRightInd w:val="0"/>
              <w:snapToGrid w:val="0"/>
              <w:spacing w:line="360" w:lineRule="auto"/>
              <w:rPr>
                <w:rFonts w:hint="default" w:ascii="Times New Roman" w:hAnsi="Times New Roman" w:cs="Times New Roman"/>
                <w:b/>
                <w:color w:val="auto"/>
                <w:sz w:val="24"/>
                <w:szCs w:val="24"/>
                <w:highlight w:val="none"/>
                <w:lang w:val="en-US" w:eastAsia="zh-CN"/>
              </w:rPr>
            </w:pPr>
            <w:r>
              <w:rPr>
                <w:rFonts w:hint="default" w:ascii="Times New Roman" w:hAnsi="Times New Roman" w:cs="Times New Roman"/>
                <w:b/>
                <w:color w:val="auto"/>
                <w:sz w:val="24"/>
                <w:szCs w:val="24"/>
                <w:highlight w:val="none"/>
                <w:lang w:val="en-US" w:eastAsia="zh-CN"/>
              </w:rPr>
              <w:t>2.地表水环境现状调查及评价</w:t>
            </w:r>
          </w:p>
          <w:p w14:paraId="0536D6E3">
            <w:pPr>
              <w:spacing w:line="360" w:lineRule="auto"/>
              <w:ind w:firstLine="480"/>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本项目所在区域距离地表水较远且无水力联系，按《环境影响评价技术导则·地表水环境》(HJ2.3-2018)对地表水环境影响评价工作进行</w:t>
            </w:r>
            <w:r>
              <w:rPr>
                <w:rFonts w:hint="default" w:ascii="Times New Roman" w:hAnsi="Times New Roman" w:cs="Times New Roman"/>
                <w:color w:val="auto"/>
                <w:sz w:val="24"/>
                <w:szCs w:val="32"/>
                <w:highlight w:val="none"/>
                <w:lang w:eastAsia="zh-CN"/>
              </w:rPr>
              <w:t>等级</w:t>
            </w:r>
            <w:r>
              <w:rPr>
                <w:rFonts w:hint="default" w:ascii="Times New Roman" w:hAnsi="Times New Roman" w:cs="Times New Roman"/>
                <w:color w:val="auto"/>
                <w:sz w:val="24"/>
                <w:szCs w:val="32"/>
                <w:highlight w:val="none"/>
              </w:rPr>
              <w:t>划分，本项目地表水评价等级为三级B，故本次评价不对地表水环境影响进行评价。</w:t>
            </w:r>
          </w:p>
          <w:p w14:paraId="433B3034">
            <w:pPr>
              <w:adjustRightInd w:val="0"/>
              <w:snapToGrid w:val="0"/>
              <w:spacing w:line="360" w:lineRule="auto"/>
              <w:rPr>
                <w:rFonts w:hint="default" w:ascii="Times New Roman" w:hAnsi="Times New Roman" w:cs="Times New Roman"/>
                <w:b/>
                <w:color w:val="auto"/>
                <w:sz w:val="24"/>
                <w:szCs w:val="24"/>
                <w:highlight w:val="none"/>
              </w:rPr>
            </w:pPr>
            <w:r>
              <w:rPr>
                <w:rFonts w:hint="default" w:ascii="Times New Roman" w:hAnsi="Times New Roman" w:cs="Times New Roman"/>
                <w:b/>
                <w:color w:val="auto"/>
                <w:sz w:val="24"/>
                <w:szCs w:val="24"/>
                <w:highlight w:val="none"/>
                <w:lang w:val="en-US" w:eastAsia="zh-CN"/>
              </w:rPr>
              <w:t>3.</w:t>
            </w:r>
            <w:r>
              <w:rPr>
                <w:rFonts w:hint="default" w:ascii="Times New Roman" w:hAnsi="Times New Roman" w:cs="Times New Roman"/>
                <w:b/>
                <w:color w:val="auto"/>
                <w:sz w:val="24"/>
                <w:szCs w:val="24"/>
                <w:highlight w:val="none"/>
              </w:rPr>
              <w:t>声环境质量现状</w:t>
            </w:r>
          </w:p>
          <w:p w14:paraId="03297682">
            <w:pPr>
              <w:spacing w:line="360" w:lineRule="auto"/>
              <w:ind w:firstLine="480" w:firstLineChars="200"/>
              <w:rPr>
                <w:rFonts w:hint="default" w:ascii="Times New Roman" w:hAnsi="Times New Roman" w:cs="Times New Roman"/>
                <w:b/>
                <w:color w:val="auto"/>
                <w:sz w:val="24"/>
                <w:highlight w:val="none"/>
                <w:lang w:val="en-US" w:eastAsia="zh-CN"/>
              </w:rPr>
            </w:pPr>
            <w:r>
              <w:rPr>
                <w:rFonts w:hint="default" w:ascii="Times New Roman" w:hAnsi="Times New Roman" w:cs="Times New Roman"/>
                <w:color w:val="auto"/>
                <w:sz w:val="24"/>
                <w:highlight w:val="none"/>
              </w:rPr>
              <w:t>根据《建设项目环境影响报告表编制技术指南（污染影响类）（试行）》本项目50m范围内无环境敏感目标，不开展声环境质量现状调查。</w:t>
            </w:r>
          </w:p>
          <w:p w14:paraId="276300A0">
            <w:pPr>
              <w:pStyle w:val="31"/>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cs="Times New Roman"/>
                <w:b/>
                <w:color w:val="auto"/>
                <w:sz w:val="24"/>
                <w:highlight w:val="none"/>
                <w:lang w:val="en-US" w:eastAsia="zh-CN"/>
              </w:rPr>
              <w:t>4.地下水、</w:t>
            </w:r>
            <w:r>
              <w:rPr>
                <w:rFonts w:hint="default" w:ascii="Times New Roman" w:hAnsi="Times New Roman" w:cs="Times New Roman"/>
                <w:b/>
                <w:bCs/>
                <w:color w:val="auto"/>
                <w:kern w:val="0"/>
                <w:sz w:val="24"/>
                <w:highlight w:val="none"/>
                <w:lang w:val="en-US" w:eastAsia="zh-CN"/>
              </w:rPr>
              <w:t>土壤环境现状调查</w:t>
            </w:r>
          </w:p>
          <w:p w14:paraId="520E7CF3">
            <w:pPr>
              <w:keepNext w:val="0"/>
              <w:keepLines w:val="0"/>
              <w:pageBreakBefore w:val="0"/>
              <w:widowControl w:val="0"/>
              <w:tabs>
                <w:tab w:val="left" w:pos="1091"/>
              </w:tabs>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根据《建设项目环境影响报告表编制技术指南（污染影响类）（试行）》本项目不涉及地下水、土壤环境污染途径，不开展土壤环境质量现状调查。</w:t>
            </w:r>
          </w:p>
          <w:p w14:paraId="6FC88F1B">
            <w:pPr>
              <w:keepNext w:val="0"/>
              <w:keepLines w:val="0"/>
              <w:pageBreakBefore w:val="0"/>
              <w:widowControl w:val="0"/>
              <w:numPr>
                <w:ilvl w:val="0"/>
                <w:numId w:val="0"/>
              </w:numPr>
              <w:tabs>
                <w:tab w:val="left" w:pos="1091"/>
              </w:tabs>
              <w:kinsoku/>
              <w:wordWrap/>
              <w:overflowPunct/>
              <w:topLinePunct w:val="0"/>
              <w:bidi w:val="0"/>
              <w:adjustRightInd w:val="0"/>
              <w:snapToGrid w:val="0"/>
              <w:spacing w:line="360" w:lineRule="auto"/>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lang w:eastAsia="zh-CN"/>
              </w:rPr>
              <w:t>生态环境现状与评价</w:t>
            </w:r>
          </w:p>
          <w:p w14:paraId="7452B9A0">
            <w:pPr>
              <w:keepNext w:val="0"/>
              <w:keepLines w:val="0"/>
              <w:pageBreakBefore w:val="0"/>
              <w:widowControl w:val="0"/>
              <w:numPr>
                <w:ilvl w:val="0"/>
                <w:numId w:val="0"/>
              </w:numPr>
              <w:tabs>
                <w:tab w:val="left" w:pos="1091"/>
              </w:tabs>
              <w:kinsoku/>
              <w:wordWrap/>
              <w:overflowPunct/>
              <w:topLinePunct w:val="0"/>
              <w:bidi w:val="0"/>
              <w:adjustRightInd w:val="0"/>
              <w:snapToGrid w:val="0"/>
              <w:spacing w:line="360" w:lineRule="auto"/>
              <w:ind w:firstLine="48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sz w:val="24"/>
                <w:szCs w:val="24"/>
                <w:highlight w:val="none"/>
                <w:lang w:val="en-US" w:eastAsia="zh-CN"/>
              </w:rPr>
              <w:t>根据《建设项目环境影响报告表编制技术指南（污染影响类）（试行）》，本项目不新增用地，因此不进行生态现状调查。</w:t>
            </w:r>
          </w:p>
        </w:tc>
      </w:tr>
      <w:tr w14:paraId="445B4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tcBorders>
              <w:tl2br w:val="nil"/>
              <w:tr2bl w:val="nil"/>
            </w:tcBorders>
            <w:noWrap w:val="0"/>
            <w:vAlign w:val="center"/>
          </w:tcPr>
          <w:p w14:paraId="6C0AE13F">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w:t>
            </w:r>
          </w:p>
          <w:p w14:paraId="71FDD7BA">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保护</w:t>
            </w:r>
          </w:p>
          <w:p w14:paraId="00BA04C5">
            <w:pPr>
              <w:adjustRightInd w:val="0"/>
              <w:snapToGrid w:val="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目标</w:t>
            </w:r>
          </w:p>
        </w:tc>
        <w:tc>
          <w:tcPr>
            <w:tcW w:w="8190" w:type="dxa"/>
            <w:tcBorders>
              <w:tl2br w:val="nil"/>
              <w:tr2bl w:val="nil"/>
            </w:tcBorders>
            <w:noWrap w:val="0"/>
            <w:vAlign w:val="center"/>
          </w:tcPr>
          <w:p w14:paraId="1CE361F5">
            <w:pPr>
              <w:pStyle w:val="6"/>
              <w:keepNext/>
              <w:keepLines w:val="0"/>
              <w:pageBreakBefore w:val="0"/>
              <w:widowControl w:val="0"/>
              <w:kinsoku/>
              <w:wordWrap/>
              <w:overflowPunct w:val="0"/>
              <w:topLinePunct w:val="0"/>
              <w:autoSpaceDE/>
              <w:autoSpaceDN/>
              <w:bidi w:val="0"/>
              <w:adjustRightInd/>
              <w:snapToGrid w:val="0"/>
              <w:spacing w:before="0" w:after="0" w:line="360" w:lineRule="auto"/>
              <w:ind w:left="0" w:leftChars="0"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本项目厂界外500m范围内无地下水集中式饮用水水源和热水、矿泉水、温泉等特殊地下水资源。</w:t>
            </w:r>
          </w:p>
          <w:p w14:paraId="4F5A9A03">
            <w:pPr>
              <w:pStyle w:val="6"/>
              <w:keepNext/>
              <w:keepLines w:val="0"/>
              <w:pageBreakBefore w:val="0"/>
              <w:widowControl w:val="0"/>
              <w:kinsoku/>
              <w:wordWrap/>
              <w:overflowPunct w:val="0"/>
              <w:topLinePunct w:val="0"/>
              <w:autoSpaceDE/>
              <w:autoSpaceDN/>
              <w:bidi w:val="0"/>
              <w:adjustRightInd/>
              <w:snapToGrid w:val="0"/>
              <w:spacing w:before="0" w:after="0" w:line="360" w:lineRule="auto"/>
              <w:ind w:left="0" w:leftChars="0"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本项目厂界外1000m范围内无河流，项目区北侧及西侧为S231省道，无铁路，</w:t>
            </w:r>
          </w:p>
          <w:p w14:paraId="589A07FE">
            <w:pP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drawing>
                <wp:inline distT="0" distB="0" distL="114300" distR="114300">
                  <wp:extent cx="4920615" cy="3090545"/>
                  <wp:effectExtent l="0" t="0" r="13335" b="1460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5"/>
                          <a:stretch>
                            <a:fillRect/>
                          </a:stretch>
                        </pic:blipFill>
                        <pic:spPr>
                          <a:xfrm>
                            <a:off x="0" y="0"/>
                            <a:ext cx="4920615" cy="3090545"/>
                          </a:xfrm>
                          <a:prstGeom prst="rect">
                            <a:avLst/>
                          </a:prstGeom>
                          <a:noFill/>
                          <a:ln>
                            <a:noFill/>
                          </a:ln>
                        </pic:spPr>
                      </pic:pic>
                    </a:graphicData>
                  </a:graphic>
                </wp:inline>
              </w:drawing>
            </w:r>
          </w:p>
          <w:p w14:paraId="61153A74">
            <w:pPr>
              <w:pStyle w:val="6"/>
              <w:keepNext/>
              <w:keepLines w:val="0"/>
              <w:pageBreakBefore w:val="0"/>
              <w:widowControl w:val="0"/>
              <w:kinsoku/>
              <w:wordWrap/>
              <w:overflowPunct w:val="0"/>
              <w:topLinePunct w:val="0"/>
              <w:autoSpaceDE/>
              <w:autoSpaceDN/>
              <w:bidi w:val="0"/>
              <w:adjustRightInd/>
              <w:snapToGrid w:val="0"/>
              <w:spacing w:before="0" w:after="0" w:line="360" w:lineRule="auto"/>
              <w:ind w:left="0" w:leftChars="0" w:firstLine="480" w:firstLineChars="200"/>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本项目厂界外500m范围内存在居住区和农村地区中人群较集中的区域，有大气环境保护目标。</w:t>
            </w:r>
          </w:p>
          <w:p w14:paraId="238CE541">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黑体" w:cs="Times New Roman"/>
                <w:b w:val="0"/>
                <w:bCs/>
                <w:color w:val="auto"/>
                <w:sz w:val="24"/>
                <w:szCs w:val="24"/>
                <w:highlight w:val="none"/>
              </w:rPr>
            </w:pPr>
            <w:r>
              <w:rPr>
                <w:rFonts w:hint="default" w:ascii="Times New Roman" w:hAnsi="Times New Roman" w:eastAsia="黑体" w:cs="Times New Roman"/>
                <w:b w:val="0"/>
                <w:bCs/>
                <w:color w:val="auto"/>
                <w:sz w:val="24"/>
                <w:szCs w:val="24"/>
                <w:highlight w:val="none"/>
              </w:rPr>
              <w:t>表</w:t>
            </w:r>
            <w:r>
              <w:rPr>
                <w:rFonts w:hint="default" w:ascii="Times New Roman" w:hAnsi="Times New Roman" w:eastAsia="黑体" w:cs="Times New Roman"/>
                <w:b w:val="0"/>
                <w:bCs/>
                <w:color w:val="auto"/>
                <w:sz w:val="24"/>
                <w:szCs w:val="24"/>
                <w:highlight w:val="none"/>
                <w:lang w:val="en-US" w:eastAsia="zh-CN"/>
              </w:rPr>
              <w:t>3-2</w:t>
            </w:r>
            <w:r>
              <w:rPr>
                <w:rFonts w:hint="default" w:ascii="Times New Roman" w:hAnsi="Times New Roman" w:eastAsia="黑体" w:cs="Times New Roman"/>
                <w:b w:val="0"/>
                <w:bCs/>
                <w:color w:val="auto"/>
                <w:sz w:val="24"/>
                <w:szCs w:val="24"/>
                <w:highlight w:val="none"/>
              </w:rPr>
              <w:t>项目环境</w:t>
            </w:r>
            <w:r>
              <w:rPr>
                <w:rFonts w:hint="default" w:ascii="Times New Roman" w:hAnsi="Times New Roman" w:eastAsia="黑体" w:cs="Times New Roman"/>
                <w:b w:val="0"/>
                <w:bCs/>
                <w:color w:val="auto"/>
                <w:sz w:val="24"/>
                <w:szCs w:val="24"/>
                <w:highlight w:val="none"/>
                <w:lang w:eastAsia="zh-CN"/>
              </w:rPr>
              <w:t>敏感保护</w:t>
            </w:r>
            <w:r>
              <w:rPr>
                <w:rFonts w:hint="default" w:ascii="Times New Roman" w:hAnsi="Times New Roman" w:eastAsia="黑体" w:cs="Times New Roman"/>
                <w:b w:val="0"/>
                <w:bCs/>
                <w:color w:val="auto"/>
                <w:sz w:val="24"/>
                <w:szCs w:val="24"/>
                <w:highlight w:val="none"/>
              </w:rPr>
              <w:t>目标</w:t>
            </w:r>
            <w:r>
              <w:rPr>
                <w:rFonts w:hint="default" w:ascii="Times New Roman" w:hAnsi="Times New Roman" w:eastAsia="黑体" w:cs="Times New Roman"/>
                <w:b w:val="0"/>
                <w:bCs/>
                <w:color w:val="auto"/>
                <w:sz w:val="24"/>
                <w:szCs w:val="24"/>
                <w:highlight w:val="none"/>
                <w:lang w:eastAsia="zh-CN"/>
              </w:rPr>
              <w:t>一览</w:t>
            </w:r>
            <w:r>
              <w:rPr>
                <w:rFonts w:hint="default" w:ascii="Times New Roman" w:hAnsi="Times New Roman" w:eastAsia="黑体" w:cs="Times New Roman"/>
                <w:b w:val="0"/>
                <w:bCs/>
                <w:color w:val="auto"/>
                <w:sz w:val="24"/>
                <w:szCs w:val="24"/>
                <w:highlight w:val="none"/>
              </w:rPr>
              <w:t>表</w:t>
            </w:r>
          </w:p>
          <w:tbl>
            <w:tblPr>
              <w:tblStyle w:val="24"/>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201"/>
              <w:gridCol w:w="1464"/>
              <w:gridCol w:w="1061"/>
              <w:gridCol w:w="1600"/>
              <w:gridCol w:w="2438"/>
            </w:tblGrid>
            <w:tr w14:paraId="3531EE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tblHeader/>
              </w:trPr>
              <w:tc>
                <w:tcPr>
                  <w:tcW w:w="773" w:type="pct"/>
                  <w:tcBorders>
                    <w:bottom w:val="single" w:color="auto" w:sz="12" w:space="0"/>
                  </w:tcBorders>
                  <w:noWrap w:val="0"/>
                  <w:vAlign w:val="center"/>
                </w:tcPr>
                <w:p w14:paraId="34ED4E3A">
                  <w:pPr>
                    <w:pStyle w:val="56"/>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保护类别</w:t>
                  </w:r>
                </w:p>
              </w:tc>
              <w:tc>
                <w:tcPr>
                  <w:tcW w:w="942" w:type="pct"/>
                  <w:tcBorders>
                    <w:bottom w:val="single" w:color="auto" w:sz="12" w:space="0"/>
                  </w:tcBorders>
                  <w:noWrap w:val="0"/>
                  <w:vAlign w:val="center"/>
                </w:tcPr>
                <w:p w14:paraId="3A8F5E8F">
                  <w:pPr>
                    <w:pStyle w:val="56"/>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环境保护目标</w:t>
                  </w:r>
                </w:p>
              </w:tc>
              <w:tc>
                <w:tcPr>
                  <w:tcW w:w="683" w:type="pct"/>
                  <w:tcBorders>
                    <w:bottom w:val="single" w:color="auto" w:sz="12" w:space="0"/>
                  </w:tcBorders>
                  <w:noWrap w:val="0"/>
                  <w:vAlign w:val="center"/>
                </w:tcPr>
                <w:p w14:paraId="6C60B107">
                  <w:pPr>
                    <w:pStyle w:val="56"/>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相对位置</w:t>
                  </w:r>
                </w:p>
              </w:tc>
              <w:tc>
                <w:tcPr>
                  <w:tcW w:w="1030" w:type="pct"/>
                  <w:tcBorders>
                    <w:bottom w:val="single" w:color="auto" w:sz="12" w:space="0"/>
                  </w:tcBorders>
                  <w:noWrap w:val="0"/>
                  <w:vAlign w:val="center"/>
                </w:tcPr>
                <w:p w14:paraId="6AD4C1F7">
                  <w:pPr>
                    <w:pStyle w:val="56"/>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eastAsia="zh-CN"/>
                    </w:rPr>
                    <w:t>相对</w:t>
                  </w:r>
                  <w:r>
                    <w:rPr>
                      <w:rFonts w:hint="default" w:ascii="Times New Roman" w:hAnsi="Times New Roman" w:cs="Times New Roman"/>
                      <w:b/>
                      <w:bCs/>
                      <w:color w:val="auto"/>
                      <w:sz w:val="21"/>
                      <w:szCs w:val="21"/>
                      <w:highlight w:val="none"/>
                    </w:rPr>
                    <w:t>距离（m）</w:t>
                  </w:r>
                </w:p>
              </w:tc>
              <w:tc>
                <w:tcPr>
                  <w:tcW w:w="1569" w:type="pct"/>
                  <w:tcBorders>
                    <w:bottom w:val="single" w:color="auto" w:sz="12" w:space="0"/>
                  </w:tcBorders>
                  <w:noWrap w:val="0"/>
                  <w:vAlign w:val="center"/>
                </w:tcPr>
                <w:p w14:paraId="1E5229D0">
                  <w:pPr>
                    <w:pStyle w:val="56"/>
                    <w:bidi w:val="0"/>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rPr>
                    <w:t>保护级别</w:t>
                  </w:r>
                </w:p>
              </w:tc>
            </w:tr>
            <w:tr w14:paraId="74660F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0" w:hRule="atLeast"/>
              </w:trPr>
              <w:tc>
                <w:tcPr>
                  <w:tcW w:w="773" w:type="pct"/>
                  <w:tcBorders>
                    <w:top w:val="single" w:color="auto" w:sz="12" w:space="0"/>
                    <w:bottom w:val="single" w:color="auto" w:sz="12" w:space="0"/>
                    <w:tl2br w:val="nil"/>
                    <w:tr2bl w:val="nil"/>
                  </w:tcBorders>
                  <w:noWrap w:val="0"/>
                  <w:vAlign w:val="center"/>
                </w:tcPr>
                <w:p w14:paraId="5182E7C2">
                  <w:pPr>
                    <w:pStyle w:val="56"/>
                    <w:bidi w:val="0"/>
                    <w:rPr>
                      <w:rFonts w:hint="default" w:ascii="Times New Roman" w:hAnsi="Times New Roman" w:cs="Times New Roman"/>
                      <w:color w:val="auto"/>
                      <w:sz w:val="21"/>
                      <w:szCs w:val="21"/>
                      <w:highlight w:val="none"/>
                      <w:lang w:eastAsia="zh-CN"/>
                    </w:rPr>
                  </w:pPr>
                  <w:r>
                    <w:rPr>
                      <w:rFonts w:hint="default" w:ascii="Times New Roman" w:hAnsi="Times New Roman" w:cs="Times New Roman"/>
                      <w:color w:val="auto"/>
                      <w:sz w:val="21"/>
                      <w:szCs w:val="21"/>
                      <w:highlight w:val="none"/>
                      <w:lang w:eastAsia="zh-CN"/>
                    </w:rPr>
                    <w:t>大气环境保护目标</w:t>
                  </w:r>
                </w:p>
              </w:tc>
              <w:tc>
                <w:tcPr>
                  <w:tcW w:w="942" w:type="pct"/>
                  <w:tcBorders>
                    <w:top w:val="single" w:color="auto" w:sz="12" w:space="0"/>
                    <w:bottom w:val="single" w:color="auto" w:sz="12" w:space="0"/>
                    <w:tl2br w:val="nil"/>
                    <w:tr2bl w:val="nil"/>
                  </w:tcBorders>
                  <w:noWrap w:val="0"/>
                  <w:vAlign w:val="center"/>
                </w:tcPr>
                <w:p w14:paraId="657E055F">
                  <w:pPr>
                    <w:autoSpaceDE w:val="0"/>
                    <w:autoSpaceDN w:val="0"/>
                    <w:spacing w:line="240" w:lineRule="auto"/>
                    <w:ind w:firstLine="0" w:firstLineChars="0"/>
                    <w:jc w:val="center"/>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六工镇</w:t>
                  </w:r>
                </w:p>
              </w:tc>
              <w:tc>
                <w:tcPr>
                  <w:tcW w:w="683" w:type="pct"/>
                  <w:tcBorders>
                    <w:top w:val="single" w:color="auto" w:sz="12" w:space="0"/>
                    <w:bottom w:val="single" w:color="auto" w:sz="12" w:space="0"/>
                    <w:tl2br w:val="nil"/>
                    <w:tr2bl w:val="nil"/>
                  </w:tcBorders>
                  <w:noWrap w:val="0"/>
                  <w:vAlign w:val="center"/>
                </w:tcPr>
                <w:p w14:paraId="4851905C">
                  <w:pPr>
                    <w:pStyle w:val="5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西北侧</w:t>
                  </w:r>
                </w:p>
              </w:tc>
              <w:tc>
                <w:tcPr>
                  <w:tcW w:w="1030" w:type="pct"/>
                  <w:tcBorders>
                    <w:top w:val="single" w:color="auto" w:sz="12" w:space="0"/>
                    <w:bottom w:val="single" w:color="auto" w:sz="12" w:space="0"/>
                    <w:tl2br w:val="nil"/>
                    <w:tr2bl w:val="nil"/>
                  </w:tcBorders>
                  <w:noWrap w:val="0"/>
                  <w:vAlign w:val="center"/>
                </w:tcPr>
                <w:p w14:paraId="791231A2">
                  <w:pPr>
                    <w:pStyle w:val="56"/>
                    <w:bidi w:val="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257</w:t>
                  </w:r>
                </w:p>
              </w:tc>
              <w:tc>
                <w:tcPr>
                  <w:tcW w:w="1569" w:type="pct"/>
                  <w:tcBorders>
                    <w:top w:val="single" w:color="auto" w:sz="12" w:space="0"/>
                    <w:bottom w:val="single" w:color="auto" w:sz="12" w:space="0"/>
                    <w:tl2br w:val="nil"/>
                    <w:tr2bl w:val="nil"/>
                  </w:tcBorders>
                  <w:noWrap w:val="0"/>
                  <w:vAlign w:val="center"/>
                </w:tcPr>
                <w:p w14:paraId="43A952AA">
                  <w:pPr>
                    <w:pStyle w:val="56"/>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《声环境质量标准》(GB 3096</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rPr>
                    <w:t>2008)中</w:t>
                  </w:r>
                  <w:r>
                    <w:rPr>
                      <w:rFonts w:hint="default" w:ascii="Times New Roman" w:hAnsi="Times New Roman" w:cs="Times New Roman"/>
                      <w:color w:val="auto"/>
                      <w:sz w:val="21"/>
                      <w:szCs w:val="21"/>
                      <w:highlight w:val="none"/>
                      <w:lang w:val="en-US" w:eastAsia="zh-CN"/>
                    </w:rPr>
                    <w:t>1类、2</w:t>
                  </w:r>
                  <w:r>
                    <w:rPr>
                      <w:rFonts w:hint="default" w:ascii="Times New Roman" w:hAnsi="Times New Roman" w:cs="Times New Roman"/>
                      <w:color w:val="auto"/>
                      <w:sz w:val="21"/>
                      <w:szCs w:val="21"/>
                      <w:highlight w:val="none"/>
                    </w:rPr>
                    <w:t>类</w:t>
                  </w:r>
                  <w:r>
                    <w:rPr>
                      <w:rFonts w:hint="default" w:ascii="Times New Roman" w:hAnsi="Times New Roman" w:cs="Times New Roman"/>
                      <w:color w:val="auto"/>
                      <w:sz w:val="21"/>
                      <w:szCs w:val="21"/>
                      <w:highlight w:val="none"/>
                      <w:lang w:eastAsia="zh-CN"/>
                    </w:rPr>
                    <w:t>；</w:t>
                  </w:r>
                </w:p>
                <w:p w14:paraId="606F8C4A">
                  <w:pPr>
                    <w:pStyle w:val="56"/>
                    <w:bidi w:val="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《环境空气质量标准》（GB3095-</w:t>
                  </w:r>
                  <w:r>
                    <w:rPr>
                      <w:rFonts w:hint="default" w:ascii="Times New Roman" w:hAnsi="Times New Roman" w:cs="Times New Roman"/>
                      <w:color w:val="auto"/>
                      <w:sz w:val="21"/>
                      <w:szCs w:val="21"/>
                      <w:highlight w:val="none"/>
                      <w:lang w:val="en-US" w:eastAsia="zh-CN"/>
                    </w:rPr>
                    <w:t>2012</w:t>
                  </w:r>
                  <w:r>
                    <w:rPr>
                      <w:rFonts w:hint="default" w:ascii="Times New Roman" w:hAnsi="Times New Roman" w:cs="Times New Roman"/>
                      <w:color w:val="auto"/>
                      <w:sz w:val="21"/>
                      <w:szCs w:val="21"/>
                      <w:highlight w:val="none"/>
                    </w:rPr>
                    <w:t>）二级标准</w:t>
                  </w:r>
                </w:p>
              </w:tc>
            </w:tr>
          </w:tbl>
          <w:p w14:paraId="66BE9426">
            <w:pPr>
              <w:pStyle w:val="6"/>
              <w:keepNext/>
              <w:keepLines w:val="0"/>
              <w:pageBreakBefore w:val="0"/>
              <w:widowControl w:val="0"/>
              <w:kinsoku/>
              <w:wordWrap/>
              <w:overflowPunct w:val="0"/>
              <w:topLinePunct w:val="0"/>
              <w:autoSpaceDE/>
              <w:autoSpaceDN/>
              <w:bidi w:val="0"/>
              <w:adjustRightInd/>
              <w:snapToGrid w:val="0"/>
              <w:spacing w:before="0" w:after="0" w:line="360" w:lineRule="auto"/>
              <w:ind w:left="0" w:leftChars="0" w:firstLine="602" w:firstLineChars="200"/>
              <w:textAlignment w:val="auto"/>
              <w:rPr>
                <w:rFonts w:hint="default" w:ascii="Times New Roman" w:hAnsi="Times New Roman" w:cs="Times New Roman"/>
                <w:color w:val="auto"/>
                <w:kern w:val="0"/>
                <w:szCs w:val="21"/>
                <w:highlight w:val="none"/>
              </w:rPr>
            </w:pPr>
          </w:p>
        </w:tc>
      </w:tr>
      <w:tr w14:paraId="1CD6E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tcBorders>
              <w:tl2br w:val="nil"/>
              <w:tr2bl w:val="nil"/>
            </w:tcBorders>
            <w:noWrap w:val="0"/>
            <w:vAlign w:val="center"/>
          </w:tcPr>
          <w:p w14:paraId="28CD506C">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污染</w:t>
            </w:r>
          </w:p>
          <w:p w14:paraId="7B1D0829">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物排</w:t>
            </w:r>
          </w:p>
          <w:p w14:paraId="066CDA4D">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放控</w:t>
            </w:r>
          </w:p>
          <w:p w14:paraId="2499CEB5">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制标</w:t>
            </w:r>
          </w:p>
          <w:p w14:paraId="2C79DD31">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准</w:t>
            </w:r>
          </w:p>
        </w:tc>
        <w:tc>
          <w:tcPr>
            <w:tcW w:w="8190" w:type="dxa"/>
            <w:tcBorders>
              <w:tl2br w:val="nil"/>
              <w:tr2bl w:val="nil"/>
            </w:tcBorders>
            <w:noWrap w:val="0"/>
            <w:vAlign w:val="center"/>
          </w:tcPr>
          <w:p w14:paraId="35C72EEE">
            <w:pPr>
              <w:adjustRightInd w:val="0"/>
              <w:snapToGrid w:val="0"/>
              <w:spacing w:line="360" w:lineRule="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1.废气</w:t>
            </w:r>
            <w:r>
              <w:rPr>
                <w:rFonts w:hint="default" w:ascii="Times New Roman" w:hAnsi="Times New Roman" w:eastAsia="宋体" w:cs="Times New Roman"/>
                <w:b/>
                <w:bCs/>
                <w:color w:val="auto"/>
                <w:kern w:val="0"/>
                <w:sz w:val="24"/>
                <w:szCs w:val="24"/>
                <w:highlight w:val="none"/>
                <w:lang w:val="en-US" w:eastAsia="zh-CN"/>
              </w:rPr>
              <w:t>污染物排放标准</w:t>
            </w:r>
          </w:p>
          <w:p w14:paraId="7822861B">
            <w:pPr>
              <w:adjustRightInd w:val="0"/>
              <w:snapToGrid w:val="0"/>
              <w:spacing w:line="360" w:lineRule="auto"/>
              <w:ind w:firstLine="480" w:firstLineChars="200"/>
              <w:rPr>
                <w:rFonts w:hint="default" w:ascii="Times New Roman" w:hAnsi="Times New Roman" w:eastAsia="宋体" w:cs="Times New Roman"/>
                <w:bCs/>
                <w:color w:val="auto"/>
                <w:sz w:val="24"/>
                <w:szCs w:val="24"/>
                <w:highlight w:val="none"/>
              </w:rPr>
            </w:pPr>
            <w:r>
              <w:rPr>
                <w:rFonts w:hint="default" w:ascii="Times New Roman" w:hAnsi="Times New Roman" w:cs="Times New Roman"/>
                <w:color w:val="auto"/>
                <w:sz w:val="24"/>
                <w:szCs w:val="24"/>
                <w:highlight w:val="none"/>
                <w:lang w:val="en-US" w:eastAsia="zh-CN"/>
              </w:rPr>
              <w:t>（1）</w:t>
            </w:r>
            <w:r>
              <w:rPr>
                <w:rFonts w:hint="default" w:ascii="Times New Roman" w:hAnsi="Times New Roman" w:eastAsia="宋体" w:cs="Times New Roman"/>
                <w:bCs/>
                <w:color w:val="auto"/>
                <w:sz w:val="24"/>
                <w:szCs w:val="24"/>
                <w:highlight w:val="none"/>
                <w:lang w:val="en-US" w:eastAsia="zh-CN"/>
              </w:rPr>
              <w:t>非甲烷总烃执行</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合成树脂工业污染物排放标准</w:t>
            </w:r>
            <w:r>
              <w:rPr>
                <w:rFonts w:hint="default" w:ascii="Times New Roman" w:hAnsi="Times New Roman" w:eastAsia="宋体" w:cs="Times New Roman"/>
                <w:bCs/>
                <w:color w:val="auto"/>
                <w:sz w:val="24"/>
                <w:szCs w:val="24"/>
                <w:highlight w:val="none"/>
              </w:rPr>
              <w:t>》（GB</w:t>
            </w:r>
            <w:r>
              <w:rPr>
                <w:rFonts w:hint="default" w:ascii="Times New Roman" w:hAnsi="Times New Roman" w:eastAsia="宋体" w:cs="Times New Roman"/>
                <w:bCs/>
                <w:color w:val="auto"/>
                <w:sz w:val="24"/>
                <w:szCs w:val="24"/>
                <w:highlight w:val="none"/>
                <w:lang w:val="en-US" w:eastAsia="zh-CN"/>
              </w:rPr>
              <w:t>31572-2015</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表5特别排放限值（20mg/m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）及表9无组织排放限值（1.0mg/m</w:t>
            </w:r>
            <w:r>
              <w:rPr>
                <w:rFonts w:hint="default" w:ascii="Times New Roman" w:hAnsi="Times New Roman" w:eastAsia="宋体" w:cs="Times New Roman"/>
                <w:bCs/>
                <w:color w:val="auto"/>
                <w:sz w:val="24"/>
                <w:szCs w:val="24"/>
                <w:highlight w:val="none"/>
                <w:vertAlign w:val="superscript"/>
                <w:lang w:val="en-US" w:eastAsia="zh-CN"/>
              </w:rPr>
              <w:t>3</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rPr>
              <w:t>；</w:t>
            </w:r>
          </w:p>
          <w:p w14:paraId="26DB7DD6">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《挥发性有机物无组织排放控制标准》（GB37822-2019）中库房外</w:t>
            </w:r>
            <w:r>
              <w:rPr>
                <w:rFonts w:hint="default" w:ascii="Times New Roman" w:hAnsi="Times New Roman" w:cs="Times New Roman"/>
                <w:color w:val="auto"/>
                <w:sz w:val="24"/>
                <w:szCs w:val="24"/>
                <w:highlight w:val="none"/>
                <w:lang w:val="en-US" w:eastAsia="zh-CN"/>
              </w:rPr>
              <w:t>VOCs（以非甲烷总烃计）</w:t>
            </w:r>
            <w:r>
              <w:rPr>
                <w:rFonts w:hint="default" w:ascii="Times New Roman" w:hAnsi="Times New Roman" w:eastAsia="宋体" w:cs="Times New Roman"/>
                <w:color w:val="auto"/>
                <w:sz w:val="24"/>
                <w:szCs w:val="24"/>
                <w:highlight w:val="none"/>
                <w:lang w:val="en-US" w:eastAsia="zh-CN"/>
              </w:rPr>
              <w:t>无组织排放限值监控点处1h平均浓度值6mg/m³的要求。</w:t>
            </w:r>
          </w:p>
          <w:p w14:paraId="73593FB8">
            <w:pPr>
              <w:pStyle w:val="36"/>
              <w:bidi w:val="0"/>
              <w:spacing w:line="240" w:lineRule="auto"/>
              <w:rPr>
                <w:rFonts w:hint="default" w:ascii="Times New Roman" w:hAnsi="Times New Roman" w:eastAsia="黑体" w:cs="Times New Roman"/>
                <w:b w:val="0"/>
                <w:bCs/>
                <w:snapToGrid w:val="0"/>
                <w:color w:val="auto"/>
                <w:kern w:val="0"/>
                <w:sz w:val="24"/>
                <w:szCs w:val="24"/>
                <w:highlight w:val="none"/>
              </w:rPr>
            </w:pPr>
            <w:r>
              <w:rPr>
                <w:rFonts w:hint="default" w:ascii="Times New Roman" w:hAnsi="Times New Roman" w:eastAsia="黑体" w:cs="Times New Roman"/>
                <w:b w:val="0"/>
                <w:bCs/>
                <w:snapToGrid w:val="0"/>
                <w:color w:val="auto"/>
                <w:kern w:val="0"/>
                <w:sz w:val="24"/>
                <w:szCs w:val="24"/>
                <w:highlight w:val="none"/>
              </w:rPr>
              <w:t>表</w:t>
            </w:r>
            <w:r>
              <w:rPr>
                <w:rFonts w:hint="default" w:ascii="Times New Roman" w:hAnsi="Times New Roman" w:eastAsia="黑体" w:cs="Times New Roman"/>
                <w:b w:val="0"/>
                <w:bCs/>
                <w:snapToGrid w:val="0"/>
                <w:color w:val="auto"/>
                <w:kern w:val="0"/>
                <w:sz w:val="24"/>
                <w:szCs w:val="24"/>
                <w:highlight w:val="none"/>
                <w:lang w:val="en-US" w:eastAsia="zh-CN"/>
              </w:rPr>
              <w:t>3-3</w:t>
            </w:r>
            <w:r>
              <w:rPr>
                <w:rFonts w:hint="default" w:ascii="Times New Roman" w:hAnsi="Times New Roman" w:eastAsia="黑体" w:cs="Times New Roman"/>
                <w:b w:val="0"/>
                <w:bCs/>
                <w:color w:val="auto"/>
                <w:sz w:val="24"/>
                <w:szCs w:val="36"/>
                <w:highlight w:val="none"/>
                <w:lang w:val="en-US" w:eastAsia="zh-CN"/>
              </w:rPr>
              <w:t>大气污染物排放限值标准</w:t>
            </w:r>
          </w:p>
          <w:tbl>
            <w:tblPr>
              <w:tblStyle w:val="25"/>
              <w:tblW w:w="494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1167"/>
              <w:gridCol w:w="4301"/>
              <w:gridCol w:w="1192"/>
            </w:tblGrid>
            <w:tr w14:paraId="515D3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tcBorders>
                    <w:bottom w:val="single" w:color="auto" w:sz="12" w:space="0"/>
                  </w:tcBorders>
                  <w:noWrap w:val="0"/>
                  <w:vAlign w:val="center"/>
                </w:tcPr>
                <w:p w14:paraId="309309C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w:t>
                  </w:r>
                </w:p>
              </w:tc>
              <w:tc>
                <w:tcPr>
                  <w:tcW w:w="1123" w:type="dxa"/>
                  <w:tcBorders>
                    <w:bottom w:val="single" w:color="auto" w:sz="12" w:space="0"/>
                  </w:tcBorders>
                  <w:noWrap w:val="0"/>
                  <w:vAlign w:val="center"/>
                </w:tcPr>
                <w:p w14:paraId="7FECF2A5">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排放形式</w:t>
                  </w:r>
                </w:p>
              </w:tc>
              <w:tc>
                <w:tcPr>
                  <w:tcW w:w="4137" w:type="dxa"/>
                  <w:tcBorders>
                    <w:bottom w:val="single" w:color="auto" w:sz="12" w:space="0"/>
                  </w:tcBorders>
                  <w:noWrap w:val="0"/>
                  <w:vAlign w:val="center"/>
                </w:tcPr>
                <w:p w14:paraId="3036D4F2">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w:t>
                  </w:r>
                </w:p>
              </w:tc>
              <w:tc>
                <w:tcPr>
                  <w:tcW w:w="1146" w:type="dxa"/>
                  <w:tcBorders>
                    <w:bottom w:val="single" w:color="auto" w:sz="12" w:space="0"/>
                  </w:tcBorders>
                  <w:noWrap w:val="0"/>
                  <w:vAlign w:val="center"/>
                </w:tcPr>
                <w:p w14:paraId="1E051D0B">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限值</w:t>
                  </w:r>
                </w:p>
              </w:tc>
            </w:tr>
            <w:tr w14:paraId="3EEF88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vMerge w:val="restart"/>
                  <w:tcBorders>
                    <w:top w:val="single" w:color="auto" w:sz="12" w:space="0"/>
                    <w:tl2br w:val="nil"/>
                    <w:tr2bl w:val="nil"/>
                  </w:tcBorders>
                  <w:noWrap w:val="0"/>
                  <w:vAlign w:val="center"/>
                </w:tcPr>
                <w:p w14:paraId="02930E22">
                  <w:pPr>
                    <w:pStyle w:val="37"/>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非甲烷总烃</w:t>
                  </w:r>
                </w:p>
              </w:tc>
              <w:tc>
                <w:tcPr>
                  <w:tcW w:w="1123" w:type="dxa"/>
                  <w:tcBorders>
                    <w:top w:val="single" w:color="auto" w:sz="12" w:space="0"/>
                    <w:tl2br w:val="nil"/>
                    <w:tr2bl w:val="nil"/>
                  </w:tcBorders>
                  <w:noWrap w:val="0"/>
                  <w:vAlign w:val="center"/>
                </w:tcPr>
                <w:p w14:paraId="7568190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c>
                <w:tcPr>
                  <w:tcW w:w="4137" w:type="dxa"/>
                  <w:tcBorders>
                    <w:top w:val="single" w:color="auto" w:sz="12" w:space="0"/>
                    <w:tl2br w:val="nil"/>
                    <w:tr2bl w:val="nil"/>
                  </w:tcBorders>
                  <w:noWrap w:val="0"/>
                  <w:vAlign w:val="center"/>
                </w:tcPr>
                <w:p w14:paraId="3C8AA415">
                  <w:pPr>
                    <w:keepNext w:val="0"/>
                    <w:keepLines w:val="0"/>
                    <w:pageBreakBefore w:val="0"/>
                    <w:widowControl w:val="0"/>
                    <w:numPr>
                      <w:ilvl w:val="0"/>
                      <w:numId w:val="0"/>
                    </w:numPr>
                    <w:kinsoku/>
                    <w:wordWrap/>
                    <w:overflowPunct/>
                    <w:topLinePunct w:val="0"/>
                    <w:autoSpaceDE/>
                    <w:autoSpaceDN/>
                    <w:bidi w:val="0"/>
                    <w:spacing w:line="240" w:lineRule="auto"/>
                    <w:ind w:left="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《合成树脂工业污染物排放标准》（GB31572-2015）表5大气污染物特别排放限值</w:t>
                  </w:r>
                </w:p>
              </w:tc>
              <w:tc>
                <w:tcPr>
                  <w:tcW w:w="1146" w:type="dxa"/>
                  <w:tcBorders>
                    <w:top w:val="single" w:color="auto" w:sz="12" w:space="0"/>
                    <w:tl2br w:val="nil"/>
                    <w:tr2bl w:val="nil"/>
                  </w:tcBorders>
                  <w:noWrap w:val="0"/>
                  <w:vAlign w:val="center"/>
                </w:tcPr>
                <w:p w14:paraId="4E1735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val="en-US" w:eastAsia="zh-CN"/>
                    </w:rPr>
                    <w:t>mg/m</w:t>
                  </w:r>
                  <w:r>
                    <w:rPr>
                      <w:rFonts w:hint="default" w:ascii="Times New Roman" w:hAnsi="Times New Roman" w:eastAsia="宋体" w:cs="Times New Roman"/>
                      <w:color w:val="auto"/>
                      <w:sz w:val="21"/>
                      <w:szCs w:val="21"/>
                      <w:highlight w:val="none"/>
                      <w:vertAlign w:val="superscript"/>
                      <w:lang w:val="en-US" w:eastAsia="zh-CN"/>
                    </w:rPr>
                    <w:t>3</w:t>
                  </w:r>
                </w:p>
              </w:tc>
            </w:tr>
            <w:tr w14:paraId="0518B8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vMerge w:val="continue"/>
                  <w:tcBorders>
                    <w:tl2br w:val="nil"/>
                    <w:tr2bl w:val="nil"/>
                  </w:tcBorders>
                  <w:noWrap w:val="0"/>
                  <w:vAlign w:val="center"/>
                </w:tcPr>
                <w:p w14:paraId="1F35192E">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123" w:type="dxa"/>
                  <w:vMerge w:val="restart"/>
                  <w:tcBorders>
                    <w:tl2br w:val="nil"/>
                    <w:tr2bl w:val="nil"/>
                  </w:tcBorders>
                  <w:noWrap w:val="0"/>
                  <w:vAlign w:val="center"/>
                </w:tcPr>
                <w:p w14:paraId="1DEB928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4137" w:type="dxa"/>
                  <w:tcBorders>
                    <w:tl2br w:val="nil"/>
                    <w:tr2bl w:val="nil"/>
                  </w:tcBorders>
                  <w:noWrap w:val="0"/>
                  <w:vAlign w:val="center"/>
                </w:tcPr>
                <w:p w14:paraId="438C291A">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《合成树脂工业污染物排放标准》（GB31572-2015）表</w:t>
                  </w:r>
                  <w:r>
                    <w:rPr>
                      <w:rFonts w:hint="default" w:ascii="Times New Roman" w:hAnsi="Times New Roman" w:cs="Times New Roman"/>
                      <w:b w:val="0"/>
                      <w:bCs w:val="0"/>
                      <w:color w:val="auto"/>
                      <w:sz w:val="21"/>
                      <w:szCs w:val="21"/>
                      <w:highlight w:val="none"/>
                      <w:lang w:val="en-US" w:eastAsia="zh-CN"/>
                    </w:rPr>
                    <w:t>9无组织排放限值</w:t>
                  </w:r>
                </w:p>
              </w:tc>
              <w:tc>
                <w:tcPr>
                  <w:tcW w:w="1146" w:type="dxa"/>
                  <w:tcBorders>
                    <w:tl2br w:val="nil"/>
                    <w:tr2bl w:val="nil"/>
                  </w:tcBorders>
                  <w:noWrap w:val="0"/>
                  <w:vAlign w:val="center"/>
                </w:tcPr>
                <w:p w14:paraId="7ACDA19F">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4.0m</w:t>
                  </w:r>
                  <w:r>
                    <w:rPr>
                      <w:rFonts w:hint="default" w:ascii="Times New Roman" w:hAnsi="Times New Roman" w:eastAsia="宋体" w:cs="Times New Roman"/>
                      <w:b w:val="0"/>
                      <w:bCs/>
                      <w:color w:val="auto"/>
                      <w:sz w:val="21"/>
                      <w:szCs w:val="21"/>
                      <w:highlight w:val="none"/>
                    </w:rPr>
                    <w:t>g/m</w:t>
                  </w:r>
                  <w:r>
                    <w:rPr>
                      <w:rFonts w:hint="default" w:ascii="Times New Roman" w:hAnsi="Times New Roman" w:eastAsia="宋体" w:cs="Times New Roman"/>
                      <w:b w:val="0"/>
                      <w:bCs/>
                      <w:color w:val="auto"/>
                      <w:sz w:val="21"/>
                      <w:szCs w:val="21"/>
                      <w:highlight w:val="none"/>
                      <w:vertAlign w:val="superscript"/>
                      <w:lang w:val="en-US" w:eastAsia="zh-CN"/>
                    </w:rPr>
                    <w:t>3</w:t>
                  </w:r>
                </w:p>
              </w:tc>
            </w:tr>
            <w:tr w14:paraId="58DA82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2" w:type="dxa"/>
                  <w:vMerge w:val="continue"/>
                  <w:tcBorders>
                    <w:tl2br w:val="nil"/>
                    <w:tr2bl w:val="nil"/>
                  </w:tcBorders>
                  <w:noWrap w:val="0"/>
                  <w:vAlign w:val="center"/>
                </w:tcPr>
                <w:p w14:paraId="0FE60035">
                  <w:pPr>
                    <w:pStyle w:val="37"/>
                    <w:keepNext w:val="0"/>
                    <w:keepLines w:val="0"/>
                    <w:pageBreakBefore w:val="0"/>
                    <w:widowControl w:val="0"/>
                    <w:kinsoku/>
                    <w:wordWrap/>
                    <w:overflowPunct/>
                    <w:topLinePunct w:val="0"/>
                    <w:autoSpaceDE/>
                    <w:autoSpaceDN/>
                    <w:bidi w:val="0"/>
                    <w:spacing w:beforeLines="0" w:afterLines="0" w:line="240" w:lineRule="auto"/>
                    <w:ind w:lef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1123" w:type="dxa"/>
                  <w:vMerge w:val="continue"/>
                  <w:tcBorders>
                    <w:tl2br w:val="nil"/>
                    <w:tr2bl w:val="nil"/>
                  </w:tcBorders>
                  <w:noWrap w:val="0"/>
                  <w:vAlign w:val="center"/>
                </w:tcPr>
                <w:p w14:paraId="7960A768">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4137" w:type="dxa"/>
                  <w:tcBorders>
                    <w:tl2br w:val="nil"/>
                    <w:tr2bl w:val="nil"/>
                  </w:tcBorders>
                  <w:noWrap w:val="0"/>
                  <w:vAlign w:val="center"/>
                </w:tcPr>
                <w:p w14:paraId="55BC504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《挥发性有机物无组织排放控制标准》（GB37822-2019）中库房外</w:t>
                  </w:r>
                  <w:r>
                    <w:rPr>
                      <w:rFonts w:hint="default" w:ascii="Times New Roman" w:hAnsi="Times New Roman" w:cs="Times New Roman"/>
                      <w:color w:val="auto"/>
                      <w:sz w:val="21"/>
                      <w:szCs w:val="21"/>
                      <w:highlight w:val="none"/>
                      <w:lang w:val="en-US" w:eastAsia="zh-CN"/>
                    </w:rPr>
                    <w:t>VOCs（以非甲烷总烃计）</w:t>
                  </w:r>
                  <w:r>
                    <w:rPr>
                      <w:rFonts w:hint="default" w:ascii="Times New Roman" w:hAnsi="Times New Roman" w:eastAsia="宋体" w:cs="Times New Roman"/>
                      <w:color w:val="auto"/>
                      <w:sz w:val="21"/>
                      <w:szCs w:val="21"/>
                      <w:highlight w:val="none"/>
                      <w:lang w:val="en-US" w:eastAsia="zh-CN"/>
                    </w:rPr>
                    <w:t>无组织排放限值监控点处1h平均浓度值6mg/m³的要求。</w:t>
                  </w:r>
                </w:p>
              </w:tc>
              <w:tc>
                <w:tcPr>
                  <w:tcW w:w="1146" w:type="dxa"/>
                  <w:tcBorders>
                    <w:tl2br w:val="nil"/>
                    <w:tr2bl w:val="nil"/>
                  </w:tcBorders>
                  <w:noWrap w:val="0"/>
                  <w:vAlign w:val="center"/>
                </w:tcPr>
                <w:p w14:paraId="7540340D">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6mg/m³</w:t>
                  </w:r>
                </w:p>
              </w:tc>
            </w:tr>
          </w:tbl>
          <w:p w14:paraId="1A315598">
            <w:pPr>
              <w:numPr>
                <w:ilvl w:val="0"/>
                <w:numId w:val="0"/>
              </w:numPr>
              <w:wordWrap w:val="0"/>
              <w:adjustRightInd w:val="0"/>
              <w:snapToGrid w:val="0"/>
              <w:spacing w:line="360" w:lineRule="auto"/>
              <w:jc w:val="both"/>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2.</w:t>
            </w:r>
            <w:r>
              <w:rPr>
                <w:rFonts w:hint="default" w:ascii="Times New Roman" w:hAnsi="Times New Roman" w:eastAsia="宋体" w:cs="Times New Roman"/>
                <w:b/>
                <w:bCs/>
                <w:color w:val="auto"/>
                <w:kern w:val="0"/>
                <w:sz w:val="24"/>
                <w:szCs w:val="24"/>
                <w:highlight w:val="none"/>
                <w:lang w:val="en-US" w:eastAsia="zh-CN"/>
              </w:rPr>
              <w:t>水污染物排放标准</w:t>
            </w:r>
          </w:p>
          <w:p w14:paraId="19C6FC99">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本项目生产用水循环使用不外排；生活污水执行《污水排入城镇下水道</w:t>
            </w:r>
            <w:r>
              <w:rPr>
                <w:rFonts w:hint="default" w:ascii="Times New Roman" w:hAnsi="Times New Roman" w:eastAsia="宋体" w:cs="Times New Roman"/>
                <w:color w:val="auto"/>
                <w:spacing w:val="10"/>
                <w:sz w:val="24"/>
                <w:szCs w:val="24"/>
                <w:highlight w:val="none"/>
              </w:rPr>
              <w:t xml:space="preserve"> </w:t>
            </w:r>
            <w:r>
              <w:rPr>
                <w:rFonts w:hint="default" w:ascii="Times New Roman" w:hAnsi="Times New Roman" w:eastAsia="宋体" w:cs="Times New Roman"/>
                <w:color w:val="auto"/>
                <w:spacing w:val="-1"/>
                <w:sz w:val="24"/>
                <w:szCs w:val="24"/>
                <w:highlight w:val="none"/>
              </w:rPr>
              <w:t>水质标准》（</w:t>
            </w:r>
            <w:r>
              <w:rPr>
                <w:rFonts w:hint="default" w:ascii="Times New Roman" w:hAnsi="Times New Roman" w:eastAsia="Times New Roman" w:cs="Times New Roman"/>
                <w:color w:val="auto"/>
                <w:spacing w:val="-1"/>
                <w:sz w:val="24"/>
                <w:szCs w:val="24"/>
                <w:highlight w:val="none"/>
              </w:rPr>
              <w:t>GB/T31962-2015</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 xml:space="preserve">B </w:t>
            </w:r>
            <w:r>
              <w:rPr>
                <w:rFonts w:hint="default" w:ascii="Times New Roman" w:hAnsi="Times New Roman" w:eastAsia="宋体" w:cs="Times New Roman"/>
                <w:color w:val="auto"/>
                <w:spacing w:val="-1"/>
                <w:sz w:val="24"/>
                <w:szCs w:val="24"/>
                <w:highlight w:val="none"/>
              </w:rPr>
              <w:t>级标准限值。</w:t>
            </w:r>
          </w:p>
          <w:p w14:paraId="69EA095A">
            <w:pPr>
              <w:pStyle w:val="36"/>
              <w:bidi w:val="0"/>
              <w:spacing w:line="240" w:lineRule="auto"/>
              <w:rPr>
                <w:rFonts w:hint="default" w:ascii="Times New Roman" w:hAnsi="Times New Roman" w:eastAsia="黑体" w:cs="Times New Roman"/>
                <w:b w:val="0"/>
                <w:bCs/>
                <w:color w:val="auto"/>
                <w:sz w:val="21"/>
                <w:szCs w:val="28"/>
                <w:highlight w:val="none"/>
              </w:rPr>
            </w:pPr>
            <w:r>
              <w:rPr>
                <w:rFonts w:hint="default" w:ascii="Times New Roman" w:hAnsi="Times New Roman" w:eastAsia="黑体" w:cs="Times New Roman"/>
                <w:b w:val="0"/>
                <w:bCs/>
                <w:color w:val="auto"/>
                <w:sz w:val="21"/>
                <w:szCs w:val="28"/>
                <w:highlight w:val="none"/>
                <w:lang w:val="en-US" w:eastAsia="zh-CN"/>
              </w:rPr>
              <w:t>表3-4水污染物排放限值标准</w:t>
            </w:r>
          </w:p>
          <w:tbl>
            <w:tblPr>
              <w:tblStyle w:val="54"/>
              <w:tblW w:w="495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62"/>
              <w:gridCol w:w="1232"/>
              <w:gridCol w:w="3027"/>
              <w:gridCol w:w="1876"/>
            </w:tblGrid>
            <w:tr w14:paraId="765B82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20" w:type="dxa"/>
                  <w:tcBorders>
                    <w:bottom w:val="single" w:color="000000" w:sz="12" w:space="0"/>
                  </w:tcBorders>
                  <w:vAlign w:val="center"/>
                </w:tcPr>
                <w:p w14:paraId="7EAE6E4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废水类别</w:t>
                  </w:r>
                </w:p>
              </w:tc>
              <w:tc>
                <w:tcPr>
                  <w:tcW w:w="1303" w:type="dxa"/>
                  <w:tcBorders>
                    <w:bottom w:val="single" w:color="000000" w:sz="12" w:space="0"/>
                  </w:tcBorders>
                  <w:vAlign w:val="center"/>
                </w:tcPr>
                <w:p w14:paraId="7495988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污染物</w:t>
                  </w:r>
                </w:p>
              </w:tc>
              <w:tc>
                <w:tcPr>
                  <w:tcW w:w="3147" w:type="dxa"/>
                  <w:tcBorders>
                    <w:bottom w:val="single" w:color="000000" w:sz="12" w:space="0"/>
                  </w:tcBorders>
                  <w:vAlign w:val="center"/>
                </w:tcPr>
                <w:p w14:paraId="1CF19F28">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标准</w:t>
                  </w:r>
                </w:p>
              </w:tc>
              <w:tc>
                <w:tcPr>
                  <w:tcW w:w="2059" w:type="dxa"/>
                  <w:tcBorders>
                    <w:bottom w:val="single" w:color="000000" w:sz="12" w:space="0"/>
                  </w:tcBorders>
                  <w:vAlign w:val="center"/>
                </w:tcPr>
                <w:p w14:paraId="088BCB39">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限值</w:t>
                  </w:r>
                </w:p>
              </w:tc>
            </w:tr>
            <w:tr w14:paraId="7BE816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20" w:type="dxa"/>
                  <w:vMerge w:val="restart"/>
                  <w:tcBorders>
                    <w:top w:val="single" w:color="000000" w:sz="12" w:space="0"/>
                    <w:tl2br w:val="nil"/>
                    <w:tr2bl w:val="nil"/>
                  </w:tcBorders>
                  <w:vAlign w:val="center"/>
                </w:tcPr>
                <w:p w14:paraId="724D61F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生活污水</w:t>
                  </w:r>
                </w:p>
              </w:tc>
              <w:tc>
                <w:tcPr>
                  <w:tcW w:w="1303" w:type="dxa"/>
                  <w:tcBorders>
                    <w:top w:val="single" w:color="000000" w:sz="12" w:space="0"/>
                    <w:tl2br w:val="nil"/>
                    <w:tr2bl w:val="nil"/>
                  </w:tcBorders>
                  <w:vAlign w:val="center"/>
                </w:tcPr>
                <w:p w14:paraId="76C15BFE">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CODcr</w:t>
                  </w:r>
                </w:p>
              </w:tc>
              <w:tc>
                <w:tcPr>
                  <w:tcW w:w="3147" w:type="dxa"/>
                  <w:vMerge w:val="restart"/>
                  <w:tcBorders>
                    <w:top w:val="single" w:color="000000" w:sz="12" w:space="0"/>
                    <w:tl2br w:val="nil"/>
                    <w:tr2bl w:val="nil"/>
                  </w:tcBorders>
                  <w:vAlign w:val="center"/>
                </w:tcPr>
                <w:p w14:paraId="209F04DA">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《污水排入城市下水道水质</w:t>
                  </w:r>
                  <w:r>
                    <w:rPr>
                      <w:rFonts w:hint="default" w:ascii="Times New Roman" w:hAnsi="Times New Roman" w:cs="Times New Roman"/>
                      <w:color w:val="auto"/>
                      <w:spacing w:val="8"/>
                      <w:sz w:val="21"/>
                      <w:szCs w:val="21"/>
                      <w:highlight w:val="none"/>
                      <w:lang w:eastAsia="zh-CN"/>
                    </w:rPr>
                    <w:t>标准</w:t>
                  </w:r>
                </w:p>
                <w:p w14:paraId="4EC45D02">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准》（</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6"/>
                      <w:sz w:val="21"/>
                      <w:szCs w:val="21"/>
                      <w:highlight w:val="none"/>
                    </w:rPr>
                    <w:t>/T31962-2015</w:t>
                  </w: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Times New Roman" w:cs="Times New Roman"/>
                      <w:color w:val="auto"/>
                      <w:spacing w:val="6"/>
                      <w:sz w:val="21"/>
                      <w:szCs w:val="21"/>
                      <w:highlight w:val="none"/>
                    </w:rPr>
                    <w:t xml:space="preserve">B </w:t>
                  </w:r>
                  <w:r>
                    <w:rPr>
                      <w:rFonts w:hint="default" w:ascii="Times New Roman" w:hAnsi="Times New Roman" w:eastAsia="宋体" w:cs="Times New Roman"/>
                      <w:color w:val="auto"/>
                      <w:spacing w:val="6"/>
                      <w:sz w:val="21"/>
                      <w:szCs w:val="21"/>
                      <w:highlight w:val="none"/>
                    </w:rPr>
                    <w:t>级</w:t>
                  </w:r>
                </w:p>
                <w:p w14:paraId="6B124C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标准限值</w:t>
                  </w:r>
                </w:p>
              </w:tc>
              <w:tc>
                <w:tcPr>
                  <w:tcW w:w="2059" w:type="dxa"/>
                  <w:tcBorders>
                    <w:top w:val="single" w:color="000000" w:sz="12" w:space="0"/>
                    <w:tl2br w:val="nil"/>
                    <w:tr2bl w:val="nil"/>
                  </w:tcBorders>
                  <w:vAlign w:val="center"/>
                </w:tcPr>
                <w:p w14:paraId="5277589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500</w:t>
                  </w:r>
                </w:p>
              </w:tc>
            </w:tr>
            <w:tr w14:paraId="061E51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20" w:type="dxa"/>
                  <w:vMerge w:val="continue"/>
                  <w:tcBorders>
                    <w:tl2br w:val="nil"/>
                    <w:tr2bl w:val="nil"/>
                  </w:tcBorders>
                  <w:vAlign w:val="center"/>
                </w:tcPr>
                <w:p w14:paraId="0BCBE409">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z w:val="21"/>
                      <w:szCs w:val="21"/>
                      <w:highlight w:val="none"/>
                    </w:rPr>
                  </w:pPr>
                </w:p>
              </w:tc>
              <w:tc>
                <w:tcPr>
                  <w:tcW w:w="1303" w:type="dxa"/>
                  <w:tcBorders>
                    <w:tl2br w:val="nil"/>
                    <w:tr2bl w:val="nil"/>
                  </w:tcBorders>
                  <w:vAlign w:val="center"/>
                </w:tcPr>
                <w:p w14:paraId="0643967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BOD</w:t>
                  </w:r>
                  <w:r>
                    <w:rPr>
                      <w:rFonts w:hint="default" w:ascii="Times New Roman" w:hAnsi="Times New Roman" w:eastAsia="Times New Roman" w:cs="Times New Roman"/>
                      <w:color w:val="auto"/>
                      <w:spacing w:val="19"/>
                      <w:position w:val="-1"/>
                      <w:sz w:val="21"/>
                      <w:szCs w:val="21"/>
                      <w:highlight w:val="none"/>
                    </w:rPr>
                    <w:t>5</w:t>
                  </w:r>
                </w:p>
              </w:tc>
              <w:tc>
                <w:tcPr>
                  <w:tcW w:w="3147" w:type="dxa"/>
                  <w:vMerge w:val="continue"/>
                  <w:tcBorders>
                    <w:tl2br w:val="nil"/>
                    <w:tr2bl w:val="nil"/>
                  </w:tcBorders>
                  <w:vAlign w:val="center"/>
                </w:tcPr>
                <w:p w14:paraId="1A7F0580">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z w:val="21"/>
                      <w:szCs w:val="21"/>
                      <w:highlight w:val="none"/>
                    </w:rPr>
                  </w:pPr>
                </w:p>
              </w:tc>
              <w:tc>
                <w:tcPr>
                  <w:tcW w:w="2059" w:type="dxa"/>
                  <w:tcBorders>
                    <w:tl2br w:val="nil"/>
                    <w:tr2bl w:val="nil"/>
                  </w:tcBorders>
                  <w:vAlign w:val="center"/>
                </w:tcPr>
                <w:p w14:paraId="345D950C">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350</w:t>
                  </w:r>
                </w:p>
              </w:tc>
            </w:tr>
            <w:tr w14:paraId="3E3E2C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20" w:type="dxa"/>
                  <w:vMerge w:val="continue"/>
                  <w:tcBorders>
                    <w:tl2br w:val="nil"/>
                    <w:tr2bl w:val="nil"/>
                  </w:tcBorders>
                  <w:vAlign w:val="center"/>
                </w:tcPr>
                <w:p w14:paraId="12D94EA1">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z w:val="21"/>
                      <w:szCs w:val="21"/>
                      <w:highlight w:val="none"/>
                    </w:rPr>
                  </w:pPr>
                </w:p>
              </w:tc>
              <w:tc>
                <w:tcPr>
                  <w:tcW w:w="1303" w:type="dxa"/>
                  <w:tcBorders>
                    <w:tl2br w:val="nil"/>
                    <w:tr2bl w:val="nil"/>
                  </w:tcBorders>
                  <w:vAlign w:val="center"/>
                </w:tcPr>
                <w:p w14:paraId="4A1CB39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NH</w:t>
                  </w:r>
                  <w:r>
                    <w:rPr>
                      <w:rFonts w:hint="default" w:ascii="Times New Roman" w:hAnsi="Times New Roman" w:eastAsia="Times New Roman" w:cs="Times New Roman"/>
                      <w:color w:val="auto"/>
                      <w:spacing w:val="13"/>
                      <w:position w:val="-1"/>
                      <w:sz w:val="21"/>
                      <w:szCs w:val="21"/>
                      <w:highlight w:val="none"/>
                    </w:rPr>
                    <w:t>3</w:t>
                  </w:r>
                  <w:r>
                    <w:rPr>
                      <w:rFonts w:hint="default" w:ascii="Times New Roman" w:hAnsi="Times New Roman" w:eastAsia="Times New Roman" w:cs="Times New Roman"/>
                      <w:color w:val="auto"/>
                      <w:spacing w:val="13"/>
                      <w:sz w:val="21"/>
                      <w:szCs w:val="21"/>
                      <w:highlight w:val="none"/>
                    </w:rPr>
                    <w:t>N</w:t>
                  </w:r>
                </w:p>
              </w:tc>
              <w:tc>
                <w:tcPr>
                  <w:tcW w:w="3147" w:type="dxa"/>
                  <w:vMerge w:val="continue"/>
                  <w:tcBorders>
                    <w:tl2br w:val="nil"/>
                    <w:tr2bl w:val="nil"/>
                  </w:tcBorders>
                  <w:vAlign w:val="center"/>
                </w:tcPr>
                <w:p w14:paraId="5D4C0513">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z w:val="21"/>
                      <w:szCs w:val="21"/>
                      <w:highlight w:val="none"/>
                    </w:rPr>
                  </w:pPr>
                </w:p>
              </w:tc>
              <w:tc>
                <w:tcPr>
                  <w:tcW w:w="2059" w:type="dxa"/>
                  <w:tcBorders>
                    <w:tl2br w:val="nil"/>
                    <w:tr2bl w:val="nil"/>
                  </w:tcBorders>
                  <w:vAlign w:val="center"/>
                </w:tcPr>
                <w:p w14:paraId="070BB1E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45</w:t>
                  </w:r>
                </w:p>
              </w:tc>
            </w:tr>
            <w:tr w14:paraId="664076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720" w:type="dxa"/>
                  <w:vMerge w:val="continue"/>
                  <w:tcBorders>
                    <w:tl2br w:val="nil"/>
                    <w:tr2bl w:val="nil"/>
                  </w:tcBorders>
                  <w:vAlign w:val="center"/>
                </w:tcPr>
                <w:p w14:paraId="3796FD4A">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z w:val="21"/>
                      <w:szCs w:val="21"/>
                      <w:highlight w:val="none"/>
                    </w:rPr>
                  </w:pPr>
                </w:p>
              </w:tc>
              <w:tc>
                <w:tcPr>
                  <w:tcW w:w="1303" w:type="dxa"/>
                  <w:tcBorders>
                    <w:tl2br w:val="nil"/>
                    <w:tr2bl w:val="nil"/>
                  </w:tcBorders>
                  <w:vAlign w:val="center"/>
                </w:tcPr>
                <w:p w14:paraId="6A562CDB">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SS</w:t>
                  </w:r>
                </w:p>
              </w:tc>
              <w:tc>
                <w:tcPr>
                  <w:tcW w:w="3147" w:type="dxa"/>
                  <w:vMerge w:val="continue"/>
                  <w:tcBorders>
                    <w:tl2br w:val="nil"/>
                    <w:tr2bl w:val="nil"/>
                  </w:tcBorders>
                  <w:vAlign w:val="center"/>
                </w:tcPr>
                <w:p w14:paraId="77D98B35">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cs="Times New Roman"/>
                      <w:color w:val="auto"/>
                      <w:sz w:val="21"/>
                      <w:szCs w:val="21"/>
                      <w:highlight w:val="none"/>
                    </w:rPr>
                  </w:pPr>
                </w:p>
              </w:tc>
              <w:tc>
                <w:tcPr>
                  <w:tcW w:w="2059" w:type="dxa"/>
                  <w:tcBorders>
                    <w:tl2br w:val="nil"/>
                    <w:tr2bl w:val="nil"/>
                  </w:tcBorders>
                  <w:vAlign w:val="center"/>
                </w:tcPr>
                <w:p w14:paraId="6AB45526">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400</w:t>
                  </w:r>
                </w:p>
              </w:tc>
            </w:tr>
          </w:tbl>
          <w:p w14:paraId="18678578">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3.噪声</w:t>
            </w:r>
            <w:r>
              <w:rPr>
                <w:rFonts w:hint="default" w:ascii="Times New Roman" w:hAnsi="Times New Roman" w:eastAsia="宋体" w:cs="Times New Roman"/>
                <w:b/>
                <w:bCs/>
                <w:color w:val="auto"/>
                <w:kern w:val="0"/>
                <w:sz w:val="24"/>
                <w:szCs w:val="24"/>
                <w:highlight w:val="none"/>
                <w:lang w:val="en-US" w:eastAsia="zh-CN"/>
              </w:rPr>
              <w:t>排放标准</w:t>
            </w:r>
          </w:p>
          <w:p w14:paraId="4FBB3956">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本项目噪声排放执行《工业企业厂界环境噪声排放标准》（GB12348-2008）2类功能区标准。具体见表3-5。</w:t>
            </w:r>
          </w:p>
          <w:p w14:paraId="171E7CFE">
            <w:pPr>
              <w:pStyle w:val="3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黑体" w:cs="Times New Roman"/>
                <w:b w:val="0"/>
                <w:bCs w:val="0"/>
                <w:color w:val="auto"/>
                <w:sz w:val="21"/>
                <w:szCs w:val="21"/>
                <w:highlight w:val="none"/>
                <w:lang w:val="en-US" w:eastAsia="zh-CN"/>
              </w:rPr>
            </w:pPr>
            <w:r>
              <w:rPr>
                <w:rFonts w:hint="default" w:ascii="Times New Roman" w:hAnsi="Times New Roman" w:eastAsia="黑体" w:cs="Times New Roman"/>
                <w:b w:val="0"/>
                <w:bCs w:val="0"/>
                <w:color w:val="auto"/>
                <w:sz w:val="21"/>
                <w:szCs w:val="21"/>
                <w:highlight w:val="none"/>
                <w:lang w:eastAsia="zh-CN"/>
              </w:rPr>
              <w:t>表</w:t>
            </w:r>
            <w:r>
              <w:rPr>
                <w:rFonts w:hint="default" w:ascii="Times New Roman" w:hAnsi="Times New Roman" w:eastAsia="黑体" w:cs="Times New Roman"/>
                <w:b w:val="0"/>
                <w:bCs w:val="0"/>
                <w:color w:val="auto"/>
                <w:sz w:val="21"/>
                <w:szCs w:val="21"/>
                <w:highlight w:val="none"/>
                <w:lang w:val="en-US" w:eastAsia="zh-CN"/>
              </w:rPr>
              <w:t>3-5噪声排放标准</w:t>
            </w:r>
          </w:p>
          <w:tbl>
            <w:tblPr>
              <w:tblStyle w:val="25"/>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64"/>
              <w:gridCol w:w="1008"/>
              <w:gridCol w:w="689"/>
              <w:gridCol w:w="1171"/>
              <w:gridCol w:w="2664"/>
              <w:gridCol w:w="973"/>
            </w:tblGrid>
            <w:tr w14:paraId="10675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64" w:type="dxa"/>
                  <w:tcBorders>
                    <w:bottom w:val="single" w:color="auto" w:sz="12" w:space="0"/>
                  </w:tcBorders>
                  <w:noWrap w:val="0"/>
                  <w:vAlign w:val="center"/>
                </w:tcPr>
                <w:p w14:paraId="74E082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highlight w:val="none"/>
                      <w:vertAlign w:val="baseline"/>
                      <w:lang w:eastAsia="zh-CN"/>
                    </w:rPr>
                  </w:pPr>
                  <w:r>
                    <w:rPr>
                      <w:rFonts w:hint="default" w:ascii="Times New Roman" w:hAnsi="Times New Roman" w:cs="Times New Roman"/>
                      <w:b/>
                      <w:bCs/>
                      <w:color w:val="auto"/>
                      <w:highlight w:val="none"/>
                      <w:vertAlign w:val="baseline"/>
                      <w:lang w:eastAsia="zh-CN"/>
                    </w:rPr>
                    <w:t>污染源</w:t>
                  </w:r>
                </w:p>
                <w:p w14:paraId="3C6090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highlight w:val="none"/>
                      <w:vertAlign w:val="baseline"/>
                      <w:lang w:eastAsia="zh-CN"/>
                    </w:rPr>
                  </w:pPr>
                  <w:r>
                    <w:rPr>
                      <w:rFonts w:hint="default" w:ascii="Times New Roman" w:hAnsi="Times New Roman" w:cs="Times New Roman"/>
                      <w:b/>
                      <w:bCs/>
                      <w:color w:val="auto"/>
                      <w:highlight w:val="none"/>
                      <w:vertAlign w:val="baseline"/>
                      <w:lang w:eastAsia="zh-CN"/>
                    </w:rPr>
                    <w:t>（类型）</w:t>
                  </w:r>
                </w:p>
              </w:tc>
              <w:tc>
                <w:tcPr>
                  <w:tcW w:w="1008" w:type="dxa"/>
                  <w:tcBorders>
                    <w:bottom w:val="single" w:color="auto" w:sz="12" w:space="0"/>
                  </w:tcBorders>
                  <w:noWrap w:val="0"/>
                  <w:vAlign w:val="center"/>
                </w:tcPr>
                <w:p w14:paraId="26803F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highlight w:val="none"/>
                      <w:vertAlign w:val="baseline"/>
                      <w:lang w:eastAsia="zh-CN"/>
                    </w:rPr>
                  </w:pPr>
                  <w:r>
                    <w:rPr>
                      <w:rFonts w:hint="default" w:ascii="Times New Roman" w:hAnsi="Times New Roman" w:cs="Times New Roman"/>
                      <w:b/>
                      <w:bCs/>
                      <w:color w:val="auto"/>
                      <w:highlight w:val="none"/>
                      <w:vertAlign w:val="baseline"/>
                      <w:lang w:eastAsia="zh-CN"/>
                    </w:rPr>
                    <w:t>污染物</w:t>
                  </w:r>
                </w:p>
              </w:tc>
              <w:tc>
                <w:tcPr>
                  <w:tcW w:w="1860" w:type="dxa"/>
                  <w:gridSpan w:val="2"/>
                  <w:tcBorders>
                    <w:bottom w:val="single" w:color="auto" w:sz="12" w:space="0"/>
                  </w:tcBorders>
                  <w:noWrap w:val="0"/>
                  <w:vAlign w:val="center"/>
                </w:tcPr>
                <w:p w14:paraId="624B1C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highlight w:val="none"/>
                      <w:vertAlign w:val="baseline"/>
                      <w:lang w:eastAsia="zh-CN"/>
                    </w:rPr>
                  </w:pPr>
                  <w:r>
                    <w:rPr>
                      <w:rFonts w:hint="default" w:ascii="Times New Roman" w:hAnsi="Times New Roman" w:cs="Times New Roman"/>
                      <w:b/>
                      <w:bCs/>
                      <w:color w:val="auto"/>
                      <w:highlight w:val="none"/>
                      <w:vertAlign w:val="baseline"/>
                      <w:lang w:eastAsia="zh-CN"/>
                    </w:rPr>
                    <w:t>污染物排放限值</w:t>
                  </w:r>
                </w:p>
              </w:tc>
              <w:tc>
                <w:tcPr>
                  <w:tcW w:w="2664" w:type="dxa"/>
                  <w:tcBorders>
                    <w:bottom w:val="single" w:color="auto" w:sz="12" w:space="0"/>
                  </w:tcBorders>
                  <w:noWrap w:val="0"/>
                  <w:vAlign w:val="center"/>
                </w:tcPr>
                <w:p w14:paraId="5D2A19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highlight w:val="none"/>
                      <w:vertAlign w:val="baseline"/>
                      <w:lang w:eastAsia="zh-CN"/>
                    </w:rPr>
                  </w:pPr>
                  <w:r>
                    <w:rPr>
                      <w:rFonts w:hint="default" w:ascii="Times New Roman" w:hAnsi="Times New Roman" w:cs="Times New Roman"/>
                      <w:b/>
                      <w:bCs/>
                      <w:color w:val="auto"/>
                      <w:highlight w:val="none"/>
                      <w:vertAlign w:val="baseline"/>
                      <w:lang w:eastAsia="zh-CN"/>
                    </w:rPr>
                    <w:t>标准来源</w:t>
                  </w:r>
                </w:p>
              </w:tc>
              <w:tc>
                <w:tcPr>
                  <w:tcW w:w="973" w:type="dxa"/>
                  <w:tcBorders>
                    <w:bottom w:val="single" w:color="auto" w:sz="12" w:space="0"/>
                  </w:tcBorders>
                  <w:noWrap w:val="0"/>
                  <w:vAlign w:val="center"/>
                </w:tcPr>
                <w:p w14:paraId="75B223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highlight w:val="none"/>
                      <w:vertAlign w:val="baseline"/>
                      <w:lang w:eastAsia="zh-CN"/>
                    </w:rPr>
                  </w:pPr>
                  <w:r>
                    <w:rPr>
                      <w:rFonts w:hint="default" w:ascii="Times New Roman" w:hAnsi="Times New Roman" w:cs="Times New Roman"/>
                      <w:b/>
                      <w:bCs/>
                      <w:color w:val="auto"/>
                      <w:highlight w:val="none"/>
                      <w:vertAlign w:val="baseline"/>
                      <w:lang w:eastAsia="zh-CN"/>
                    </w:rPr>
                    <w:t>监控位置</w:t>
                  </w:r>
                </w:p>
              </w:tc>
            </w:tr>
            <w:tr w14:paraId="13389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964" w:type="dxa"/>
                  <w:vMerge w:val="restart"/>
                  <w:tcBorders>
                    <w:top w:val="single" w:color="auto" w:sz="12" w:space="0"/>
                    <w:tl2br w:val="nil"/>
                    <w:tr2bl w:val="nil"/>
                  </w:tcBorders>
                  <w:noWrap w:val="0"/>
                  <w:vAlign w:val="center"/>
                </w:tcPr>
                <w:p w14:paraId="087928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运营噪声</w:t>
                  </w:r>
                </w:p>
              </w:tc>
              <w:tc>
                <w:tcPr>
                  <w:tcW w:w="1008" w:type="dxa"/>
                  <w:vMerge w:val="restart"/>
                  <w:tcBorders>
                    <w:top w:val="single" w:color="auto" w:sz="12" w:space="0"/>
                    <w:tl2br w:val="nil"/>
                    <w:tr2bl w:val="nil"/>
                  </w:tcBorders>
                  <w:noWrap w:val="0"/>
                  <w:vAlign w:val="center"/>
                </w:tcPr>
                <w:p w14:paraId="380D2E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厂界</w:t>
                  </w:r>
                </w:p>
                <w:p w14:paraId="1166B8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噪声</w:t>
                  </w:r>
                </w:p>
              </w:tc>
              <w:tc>
                <w:tcPr>
                  <w:tcW w:w="689" w:type="dxa"/>
                  <w:tcBorders>
                    <w:top w:val="single" w:color="auto" w:sz="12" w:space="0"/>
                    <w:tl2br w:val="nil"/>
                    <w:tr2bl w:val="nil"/>
                  </w:tcBorders>
                  <w:noWrap w:val="0"/>
                  <w:vAlign w:val="center"/>
                </w:tcPr>
                <w:p w14:paraId="381D01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昼间</w:t>
                  </w:r>
                </w:p>
              </w:tc>
              <w:tc>
                <w:tcPr>
                  <w:tcW w:w="1171" w:type="dxa"/>
                  <w:tcBorders>
                    <w:top w:val="single" w:color="auto" w:sz="12" w:space="0"/>
                    <w:tl2br w:val="nil"/>
                    <w:tr2bl w:val="nil"/>
                  </w:tcBorders>
                  <w:noWrap w:val="0"/>
                  <w:vAlign w:val="center"/>
                </w:tcPr>
                <w:p w14:paraId="69D38C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60dB（A）</w:t>
                  </w:r>
                </w:p>
              </w:tc>
              <w:tc>
                <w:tcPr>
                  <w:tcW w:w="2664" w:type="dxa"/>
                  <w:vMerge w:val="restart"/>
                  <w:tcBorders>
                    <w:top w:val="single" w:color="auto" w:sz="12" w:space="0"/>
                    <w:tl2br w:val="nil"/>
                    <w:tr2bl w:val="nil"/>
                  </w:tcBorders>
                  <w:noWrap w:val="0"/>
                  <w:vAlign w:val="center"/>
                </w:tcPr>
                <w:p w14:paraId="6D0A02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eastAsia="zh-CN"/>
                    </w:rPr>
                    <w:t>《工业企业厂界环境噪声排放标准》（</w:t>
                  </w:r>
                  <w:r>
                    <w:rPr>
                      <w:rFonts w:hint="default" w:ascii="Times New Roman" w:hAnsi="Times New Roman" w:cs="Times New Roman"/>
                      <w:color w:val="auto"/>
                      <w:highlight w:val="none"/>
                      <w:vertAlign w:val="baseline"/>
                      <w:lang w:val="en-US" w:eastAsia="zh-CN"/>
                    </w:rPr>
                    <w:t>GB12348-2008</w:t>
                  </w:r>
                  <w:r>
                    <w:rPr>
                      <w:rFonts w:hint="default" w:ascii="Times New Roman" w:hAnsi="Times New Roman" w:cs="Times New Roman"/>
                      <w:color w:val="auto"/>
                      <w:highlight w:val="none"/>
                      <w:vertAlign w:val="baseline"/>
                      <w:lang w:eastAsia="zh-CN"/>
                    </w:rPr>
                    <w:t>）</w:t>
                  </w:r>
                  <w:r>
                    <w:rPr>
                      <w:rFonts w:hint="default" w:ascii="Times New Roman" w:hAnsi="Times New Roman" w:cs="Times New Roman"/>
                      <w:color w:val="auto"/>
                      <w:highlight w:val="none"/>
                      <w:vertAlign w:val="baseline"/>
                      <w:lang w:val="en-US" w:eastAsia="zh-CN"/>
                    </w:rPr>
                    <w:t>2类功能区</w:t>
                  </w:r>
                </w:p>
              </w:tc>
              <w:tc>
                <w:tcPr>
                  <w:tcW w:w="973" w:type="dxa"/>
                  <w:vMerge w:val="restart"/>
                  <w:tcBorders>
                    <w:top w:val="single" w:color="auto" w:sz="12" w:space="0"/>
                    <w:tl2br w:val="nil"/>
                    <w:tr2bl w:val="nil"/>
                  </w:tcBorders>
                  <w:noWrap w:val="0"/>
                  <w:vAlign w:val="center"/>
                </w:tcPr>
                <w:p w14:paraId="47173C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占地厂界外</w:t>
                  </w:r>
                  <w:r>
                    <w:rPr>
                      <w:rFonts w:hint="default" w:ascii="Times New Roman" w:hAnsi="Times New Roman" w:cs="Times New Roman"/>
                      <w:color w:val="auto"/>
                      <w:highlight w:val="none"/>
                      <w:vertAlign w:val="baseline"/>
                      <w:lang w:val="en-US" w:eastAsia="zh-CN"/>
                    </w:rPr>
                    <w:t>1m</w:t>
                  </w:r>
                </w:p>
              </w:tc>
            </w:tr>
            <w:tr w14:paraId="2B7D70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64" w:type="dxa"/>
                  <w:vMerge w:val="continue"/>
                  <w:tcBorders>
                    <w:tl2br w:val="nil"/>
                    <w:tr2bl w:val="nil"/>
                  </w:tcBorders>
                  <w:noWrap w:val="0"/>
                  <w:vAlign w:val="center"/>
                </w:tcPr>
                <w:p w14:paraId="216555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p>
              </w:tc>
              <w:tc>
                <w:tcPr>
                  <w:tcW w:w="1008" w:type="dxa"/>
                  <w:vMerge w:val="continue"/>
                  <w:tcBorders>
                    <w:tl2br w:val="nil"/>
                    <w:tr2bl w:val="nil"/>
                  </w:tcBorders>
                  <w:noWrap w:val="0"/>
                  <w:vAlign w:val="center"/>
                </w:tcPr>
                <w:p w14:paraId="70C604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p>
              </w:tc>
              <w:tc>
                <w:tcPr>
                  <w:tcW w:w="689" w:type="dxa"/>
                  <w:tcBorders>
                    <w:tl2br w:val="nil"/>
                    <w:tr2bl w:val="nil"/>
                  </w:tcBorders>
                  <w:noWrap w:val="0"/>
                  <w:vAlign w:val="center"/>
                </w:tcPr>
                <w:p w14:paraId="14B72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r>
                    <w:rPr>
                      <w:rFonts w:hint="default" w:ascii="Times New Roman" w:hAnsi="Times New Roman" w:cs="Times New Roman"/>
                      <w:color w:val="auto"/>
                      <w:highlight w:val="none"/>
                      <w:vertAlign w:val="baseline"/>
                      <w:lang w:eastAsia="zh-CN"/>
                    </w:rPr>
                    <w:t>夜间</w:t>
                  </w:r>
                </w:p>
              </w:tc>
              <w:tc>
                <w:tcPr>
                  <w:tcW w:w="1171" w:type="dxa"/>
                  <w:tcBorders>
                    <w:tl2br w:val="nil"/>
                    <w:tr2bl w:val="nil"/>
                  </w:tcBorders>
                  <w:noWrap w:val="0"/>
                  <w:vAlign w:val="center"/>
                </w:tcPr>
                <w:p w14:paraId="045B88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50dB（A）</w:t>
                  </w:r>
                </w:p>
              </w:tc>
              <w:tc>
                <w:tcPr>
                  <w:tcW w:w="2664" w:type="dxa"/>
                  <w:vMerge w:val="continue"/>
                  <w:tcBorders>
                    <w:tl2br w:val="nil"/>
                    <w:tr2bl w:val="nil"/>
                  </w:tcBorders>
                  <w:noWrap w:val="0"/>
                  <w:vAlign w:val="center"/>
                </w:tcPr>
                <w:p w14:paraId="2332B7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p>
              </w:tc>
              <w:tc>
                <w:tcPr>
                  <w:tcW w:w="973" w:type="dxa"/>
                  <w:vMerge w:val="continue"/>
                  <w:tcBorders>
                    <w:tl2br w:val="nil"/>
                    <w:tr2bl w:val="nil"/>
                  </w:tcBorders>
                  <w:noWrap w:val="0"/>
                  <w:vAlign w:val="center"/>
                </w:tcPr>
                <w:p w14:paraId="3A588C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highlight w:val="none"/>
                      <w:vertAlign w:val="baseline"/>
                      <w:lang w:eastAsia="zh-CN"/>
                    </w:rPr>
                  </w:pPr>
                </w:p>
              </w:tc>
            </w:tr>
          </w:tbl>
          <w:p w14:paraId="7211033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kern w:val="0"/>
                <w:szCs w:val="21"/>
                <w:highlight w:val="none"/>
                <w:lang w:val="en-US" w:eastAsia="zh-CN"/>
              </w:rPr>
            </w:pPr>
            <w:r>
              <w:rPr>
                <w:rFonts w:hint="default" w:ascii="Times New Roman" w:hAnsi="Times New Roman" w:cs="Times New Roman"/>
                <w:b/>
                <w:bCs/>
                <w:color w:val="auto"/>
                <w:kern w:val="0"/>
                <w:szCs w:val="21"/>
                <w:highlight w:val="none"/>
                <w:lang w:val="en-US" w:eastAsia="zh-CN"/>
              </w:rPr>
              <w:t>4.固体废物</w:t>
            </w:r>
          </w:p>
          <w:p w14:paraId="5D557DE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 w:val="24"/>
                <w:szCs w:val="24"/>
                <w:highlight w:val="none"/>
                <w:lang w:eastAsia="zh-CN"/>
              </w:rPr>
            </w:pP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1</w:t>
            </w:r>
            <w:r>
              <w:rPr>
                <w:rFonts w:hint="default" w:ascii="Times New Roman" w:hAnsi="Times New Roman" w:cs="Times New Roman"/>
                <w:color w:val="auto"/>
                <w:kern w:val="0"/>
                <w:sz w:val="24"/>
                <w:szCs w:val="24"/>
                <w:highlight w:val="none"/>
                <w:lang w:eastAsia="zh-CN"/>
              </w:rPr>
              <w:t>）一般固体废物执行《一般工业固体废物贮存和填埋污染控制标准》（GB18599-2020）有关规定。</w:t>
            </w:r>
          </w:p>
          <w:p w14:paraId="7B7C779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highlight w:val="none"/>
                <w:lang w:val="en-US" w:eastAsia="zh-CN"/>
              </w:rPr>
              <w:t>（2）危险废物执行《危险废物贮存污染控制标准》（HJ18597-2023）。</w:t>
            </w:r>
          </w:p>
        </w:tc>
      </w:tr>
      <w:tr w14:paraId="0BE9F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00" w:type="dxa"/>
            <w:tcBorders>
              <w:tl2br w:val="nil"/>
              <w:tr2bl w:val="nil"/>
            </w:tcBorders>
            <w:noWrap w:val="0"/>
            <w:vAlign w:val="center"/>
          </w:tcPr>
          <w:p w14:paraId="048E1A97">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总量</w:t>
            </w:r>
          </w:p>
          <w:p w14:paraId="5C6F79AE">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控制</w:t>
            </w:r>
          </w:p>
          <w:p w14:paraId="40E89CD0">
            <w:pPr>
              <w:adjustRightInd w:val="0"/>
              <w:snapToGrid w:val="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指标</w:t>
            </w:r>
          </w:p>
        </w:tc>
        <w:tc>
          <w:tcPr>
            <w:tcW w:w="8190" w:type="dxa"/>
            <w:tcBorders>
              <w:tl2br w:val="nil"/>
              <w:tr2bl w:val="nil"/>
            </w:tcBorders>
            <w:noWrap w:val="0"/>
            <w:vAlign w:val="center"/>
          </w:tcPr>
          <w:p w14:paraId="3FB7372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32"/>
                <w:highlight w:val="none"/>
              </w:rPr>
            </w:pPr>
            <w:r>
              <w:rPr>
                <w:rFonts w:hint="default" w:ascii="Times New Roman" w:hAnsi="Times New Roman" w:cs="Times New Roman"/>
                <w:color w:val="auto"/>
                <w:sz w:val="24"/>
                <w:szCs w:val="32"/>
                <w:highlight w:val="none"/>
              </w:rPr>
              <w:t>结合本项目所在区域的环境特征及排污情况，确定本项目污染物排放总量控制因子为</w:t>
            </w:r>
            <w:r>
              <w:rPr>
                <w:rFonts w:hint="default" w:ascii="Times New Roman" w:hAnsi="Times New Roman" w:cs="Times New Roman"/>
                <w:color w:val="auto"/>
                <w:sz w:val="24"/>
                <w:szCs w:val="32"/>
                <w:highlight w:val="none"/>
                <w:lang w:val="en-US" w:eastAsia="zh-CN"/>
              </w:rPr>
              <w:t>VOCs（以非甲烷总烃计）</w:t>
            </w:r>
            <w:r>
              <w:rPr>
                <w:rFonts w:hint="default" w:ascii="Times New Roman" w:hAnsi="Times New Roman" w:cs="Times New Roman"/>
                <w:color w:val="auto"/>
                <w:sz w:val="24"/>
                <w:szCs w:val="32"/>
                <w:highlight w:val="none"/>
              </w:rPr>
              <w:t>。</w:t>
            </w:r>
            <w:r>
              <w:rPr>
                <w:rFonts w:hint="default" w:ascii="Times New Roman" w:hAnsi="Times New Roman" w:eastAsia="宋体" w:cs="Times New Roman"/>
                <w:color w:val="auto"/>
                <w:sz w:val="24"/>
                <w:szCs w:val="32"/>
                <w:highlight w:val="none"/>
              </w:rPr>
              <w:t>根据自治区“三线一单”总体管控要求:“PM</w:t>
            </w:r>
            <w:r>
              <w:rPr>
                <w:rFonts w:hint="default" w:ascii="Times New Roman" w:hAnsi="Times New Roman" w:eastAsia="宋体" w:cs="Times New Roman"/>
                <w:color w:val="auto"/>
                <w:sz w:val="24"/>
                <w:szCs w:val="32"/>
                <w:highlight w:val="none"/>
                <w:vertAlign w:val="subscript"/>
              </w:rPr>
              <w:t>2.5</w:t>
            </w:r>
            <w:r>
              <w:rPr>
                <w:rFonts w:hint="default" w:ascii="Times New Roman" w:hAnsi="Times New Roman" w:eastAsia="宋体" w:cs="Times New Roman"/>
                <w:color w:val="auto"/>
                <w:sz w:val="24"/>
                <w:szCs w:val="32"/>
                <w:highlight w:val="none"/>
              </w:rPr>
              <w:t>年平均浓度不达标城市禁止新（改、扩）建未落实SO</w:t>
            </w:r>
            <w:r>
              <w:rPr>
                <w:rFonts w:hint="default" w:ascii="Times New Roman" w:hAnsi="Times New Roman" w:eastAsia="宋体" w:cs="Times New Roman"/>
                <w:color w:val="auto"/>
                <w:sz w:val="24"/>
                <w:szCs w:val="32"/>
                <w:highlight w:val="none"/>
                <w:vertAlign w:val="subscript"/>
              </w:rPr>
              <w:t>2</w:t>
            </w:r>
            <w:r>
              <w:rPr>
                <w:rFonts w:hint="default" w:ascii="Times New Roman" w:hAnsi="Times New Roman" w:eastAsia="宋体" w:cs="Times New Roman"/>
                <w:color w:val="auto"/>
                <w:sz w:val="24"/>
                <w:szCs w:val="32"/>
                <w:highlight w:val="none"/>
              </w:rPr>
              <w:t>、NOx、烟粉尘</w:t>
            </w:r>
            <w:r>
              <w:rPr>
                <w:rFonts w:hint="default" w:ascii="Times New Roman" w:hAnsi="Times New Roman" w:eastAsia="宋体" w:cs="Times New Roman"/>
                <w:color w:val="auto"/>
                <w:sz w:val="24"/>
                <w:szCs w:val="32"/>
                <w:highlight w:val="none"/>
                <w:lang w:eastAsia="zh-CN"/>
              </w:rPr>
              <w:t>、</w:t>
            </w:r>
            <w:r>
              <w:rPr>
                <w:rFonts w:hint="default" w:ascii="Times New Roman" w:hAnsi="Times New Roman" w:eastAsia="宋体" w:cs="Times New Roman"/>
                <w:color w:val="auto"/>
                <w:sz w:val="24"/>
                <w:szCs w:val="32"/>
                <w:highlight w:val="none"/>
              </w:rPr>
              <w:t>挥发性有机物（</w:t>
            </w:r>
            <w:r>
              <w:rPr>
                <w:rFonts w:hint="default" w:ascii="Times New Roman" w:hAnsi="Times New Roman" w:cs="Times New Roman"/>
                <w:color w:val="auto"/>
                <w:sz w:val="24"/>
                <w:szCs w:val="32"/>
                <w:highlight w:val="none"/>
                <w:lang w:eastAsia="zh-CN"/>
              </w:rPr>
              <w:t>VOCs（以非甲烷总烃计）</w:t>
            </w:r>
            <w:r>
              <w:rPr>
                <w:rFonts w:hint="default" w:ascii="Times New Roman" w:hAnsi="Times New Roman" w:eastAsia="宋体" w:cs="Times New Roman"/>
                <w:color w:val="auto"/>
                <w:sz w:val="24"/>
                <w:szCs w:val="32"/>
                <w:highlight w:val="none"/>
              </w:rPr>
              <w:t>）等大气污染物总量指标倍量替代的项目。”</w:t>
            </w:r>
          </w:p>
          <w:p w14:paraId="6E78A8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cs="Times New Roman"/>
                <w:color w:val="auto"/>
                <w:sz w:val="24"/>
                <w:szCs w:val="32"/>
                <w:highlight w:val="none"/>
                <w:lang w:val="en-US" w:eastAsia="zh-CN"/>
              </w:rPr>
              <w:t>现有</w:t>
            </w:r>
            <w:r>
              <w:rPr>
                <w:rFonts w:hint="default" w:ascii="Times New Roman" w:hAnsi="Times New Roman" w:cs="Times New Roman"/>
                <w:color w:val="auto"/>
                <w:sz w:val="24"/>
                <w:szCs w:val="32"/>
                <w:highlight w:val="none"/>
              </w:rPr>
              <w:t>项目污染物总量控制指标：颗粒物0.469t/a，挥发性有机物1.251t/a。总量指标需落实倍量前减，颗粒物从2021年昌吉市</w:t>
            </w:r>
            <w:r>
              <w:rPr>
                <w:rFonts w:hint="default" w:ascii="Times New Roman" w:hAnsi="Times New Roman" w:cs="Times New Roman"/>
                <w:color w:val="auto"/>
                <w:sz w:val="24"/>
                <w:szCs w:val="32"/>
                <w:highlight w:val="none"/>
                <w:lang w:eastAsia="zh-CN"/>
              </w:rPr>
              <w:t>淘汰</w:t>
            </w:r>
            <w:r>
              <w:rPr>
                <w:rFonts w:hint="default" w:ascii="Times New Roman" w:hAnsi="Times New Roman" w:cs="Times New Roman"/>
                <w:color w:val="auto"/>
                <w:sz w:val="24"/>
                <w:szCs w:val="32"/>
                <w:highlight w:val="none"/>
              </w:rPr>
              <w:t>、煤改电29台燃煤小锅炉削减量中分配0.938t/a；挥发性有机物从昌吉市2021年</w:t>
            </w:r>
            <w:r>
              <w:rPr>
                <w:rFonts w:hint="default" w:ascii="Times New Roman" w:hAnsi="Times New Roman" w:cs="Times New Roman"/>
                <w:color w:val="auto"/>
                <w:sz w:val="24"/>
                <w:szCs w:val="32"/>
                <w:highlight w:val="none"/>
                <w:lang w:eastAsia="zh-CN"/>
              </w:rPr>
              <w:t>淘汰</w:t>
            </w:r>
            <w:r>
              <w:rPr>
                <w:rFonts w:hint="default" w:ascii="Times New Roman" w:hAnsi="Times New Roman" w:cs="Times New Roman"/>
                <w:color w:val="auto"/>
                <w:sz w:val="24"/>
                <w:szCs w:val="32"/>
                <w:highlight w:val="none"/>
              </w:rPr>
              <w:t>、煤改电29</w:t>
            </w:r>
            <w:r>
              <w:rPr>
                <w:rFonts w:hint="default" w:ascii="Times New Roman" w:hAnsi="Times New Roman" w:cs="Times New Roman"/>
                <w:color w:val="auto"/>
                <w:sz w:val="24"/>
                <w:szCs w:val="32"/>
                <w:highlight w:val="none"/>
                <w:lang w:eastAsia="zh-CN"/>
              </w:rPr>
              <w:t>台</w:t>
            </w:r>
            <w:r>
              <w:rPr>
                <w:rFonts w:hint="default" w:ascii="Times New Roman" w:hAnsi="Times New Roman" w:cs="Times New Roman"/>
                <w:color w:val="auto"/>
                <w:sz w:val="24"/>
                <w:szCs w:val="32"/>
                <w:highlight w:val="none"/>
              </w:rPr>
              <w:t>燃煤小</w:t>
            </w:r>
            <w:r>
              <w:rPr>
                <w:rFonts w:hint="default" w:ascii="Times New Roman" w:hAnsi="Times New Roman" w:eastAsia="宋体" w:cs="Times New Roman"/>
                <w:color w:val="auto"/>
                <w:sz w:val="24"/>
                <w:szCs w:val="32"/>
                <w:highlight w:val="none"/>
              </w:rPr>
              <w:t>锅炉</w:t>
            </w:r>
            <w:r>
              <w:rPr>
                <w:rFonts w:hint="default" w:ascii="Times New Roman" w:hAnsi="Times New Roman" w:cs="Times New Roman"/>
                <w:color w:val="auto"/>
                <w:sz w:val="24"/>
                <w:szCs w:val="32"/>
                <w:highlight w:val="none"/>
                <w:lang w:eastAsia="zh-CN"/>
              </w:rPr>
              <w:t>削减</w:t>
            </w:r>
            <w:r>
              <w:rPr>
                <w:rFonts w:hint="default" w:ascii="Times New Roman" w:hAnsi="Times New Roman" w:eastAsia="宋体" w:cs="Times New Roman"/>
                <w:color w:val="auto"/>
                <w:sz w:val="24"/>
                <w:szCs w:val="32"/>
                <w:highlight w:val="none"/>
              </w:rPr>
              <w:t>量中分配2.502t/a</w:t>
            </w:r>
          </w:p>
          <w:p w14:paraId="6F7AC2F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32"/>
                <w:highlight w:val="none"/>
              </w:rPr>
            </w:pPr>
            <w:r>
              <w:rPr>
                <w:rFonts w:hint="default" w:ascii="Times New Roman" w:hAnsi="Times New Roman" w:eastAsia="宋体" w:cs="Times New Roman"/>
                <w:color w:val="auto"/>
                <w:sz w:val="24"/>
                <w:szCs w:val="32"/>
                <w:highlight w:val="none"/>
              </w:rPr>
              <w:t>本项目所在区域为PM2.5年平均浓度不达标区域，</w:t>
            </w:r>
            <w:r>
              <w:rPr>
                <w:rFonts w:hint="default" w:ascii="Times New Roman" w:hAnsi="Times New Roman" w:eastAsia="宋体" w:cs="Times New Roman"/>
                <w:color w:val="auto"/>
                <w:sz w:val="24"/>
                <w:szCs w:val="32"/>
                <w:highlight w:val="none"/>
                <w:lang w:val="en-US" w:eastAsia="zh-CN"/>
              </w:rPr>
              <w:t>现有项目已批复本项目新</w:t>
            </w:r>
            <w:r>
              <w:rPr>
                <w:rFonts w:hint="default" w:ascii="Times New Roman" w:hAnsi="Times New Roman" w:eastAsia="宋体" w:cs="Times New Roman"/>
                <w:color w:val="auto"/>
                <w:sz w:val="24"/>
                <w:szCs w:val="32"/>
                <w:highlight w:val="none"/>
              </w:rPr>
              <w:t>产生的</w:t>
            </w:r>
            <w:r>
              <w:rPr>
                <w:rFonts w:hint="default" w:ascii="Times New Roman" w:hAnsi="Times New Roman" w:cs="Times New Roman"/>
                <w:color w:val="auto"/>
                <w:sz w:val="24"/>
                <w:szCs w:val="32"/>
                <w:highlight w:val="none"/>
                <w:lang w:eastAsia="zh-CN"/>
              </w:rPr>
              <w:t>VOCs（以非甲烷总烃计）</w:t>
            </w:r>
            <w:r>
              <w:rPr>
                <w:rFonts w:hint="default" w:ascii="Times New Roman" w:hAnsi="Times New Roman" w:eastAsia="宋体" w:cs="Times New Roman"/>
                <w:color w:val="auto"/>
                <w:sz w:val="24"/>
                <w:szCs w:val="32"/>
                <w:highlight w:val="none"/>
                <w:lang w:val="en-US" w:eastAsia="zh-CN"/>
              </w:rPr>
              <w:t>为</w:t>
            </w:r>
            <w:r>
              <w:rPr>
                <w:rFonts w:hint="default" w:ascii="Times New Roman" w:hAnsi="Times New Roman" w:cs="Times New Roman"/>
                <w:color w:val="auto"/>
                <w:sz w:val="24"/>
                <w:szCs w:val="32"/>
                <w:highlight w:val="none"/>
                <w:lang w:val="en-US" w:eastAsia="zh-CN"/>
              </w:rPr>
              <w:t>2.025</w:t>
            </w:r>
            <w:r>
              <w:rPr>
                <w:rFonts w:hint="default" w:ascii="Times New Roman" w:hAnsi="Times New Roman" w:eastAsia="宋体" w:cs="Times New Roman"/>
                <w:color w:val="auto"/>
                <w:sz w:val="24"/>
                <w:szCs w:val="32"/>
                <w:highlight w:val="none"/>
              </w:rPr>
              <w:t>t/a，实施倍量替代量为</w:t>
            </w:r>
            <w:r>
              <w:rPr>
                <w:rFonts w:hint="default" w:ascii="Times New Roman" w:hAnsi="Times New Roman" w:cs="Times New Roman"/>
                <w:color w:val="auto"/>
                <w:sz w:val="24"/>
                <w:szCs w:val="32"/>
                <w:highlight w:val="none"/>
                <w:lang w:val="en-US" w:eastAsia="zh-CN"/>
              </w:rPr>
              <w:t>4.05</w:t>
            </w:r>
            <w:r>
              <w:rPr>
                <w:rFonts w:hint="default" w:ascii="Times New Roman" w:hAnsi="Times New Roman" w:eastAsia="宋体" w:cs="Times New Roman"/>
                <w:color w:val="auto"/>
                <w:sz w:val="24"/>
                <w:szCs w:val="32"/>
                <w:highlight w:val="none"/>
              </w:rPr>
              <w:t>t/a。</w:t>
            </w:r>
          </w:p>
          <w:p w14:paraId="0F1C2F7F">
            <w:pPr>
              <w:pStyle w:val="2"/>
              <w:rPr>
                <w:rFonts w:hint="default" w:ascii="Times New Roman" w:hAnsi="Times New Roman" w:eastAsia="宋体" w:cs="Times New Roman"/>
                <w:color w:val="auto"/>
                <w:sz w:val="24"/>
                <w:szCs w:val="32"/>
                <w:highlight w:val="none"/>
              </w:rPr>
            </w:pPr>
          </w:p>
          <w:p w14:paraId="17C6FA04">
            <w:pPr>
              <w:pStyle w:val="5"/>
              <w:rPr>
                <w:rFonts w:hint="default" w:ascii="Times New Roman" w:hAnsi="Times New Roman" w:eastAsia="宋体" w:cs="Times New Roman"/>
                <w:color w:val="auto"/>
                <w:sz w:val="24"/>
                <w:szCs w:val="32"/>
                <w:highlight w:val="none"/>
              </w:rPr>
            </w:pPr>
          </w:p>
          <w:p w14:paraId="3CD63E03">
            <w:pPr>
              <w:pStyle w:val="5"/>
              <w:rPr>
                <w:rFonts w:hint="default" w:ascii="Times New Roman" w:hAnsi="Times New Roman" w:eastAsia="宋体" w:cs="Times New Roman"/>
                <w:color w:val="auto"/>
                <w:sz w:val="24"/>
                <w:szCs w:val="32"/>
                <w:highlight w:val="none"/>
              </w:rPr>
            </w:pPr>
          </w:p>
          <w:p w14:paraId="285484BF">
            <w:pPr>
              <w:pStyle w:val="5"/>
              <w:rPr>
                <w:rFonts w:hint="default" w:ascii="Times New Roman" w:hAnsi="Times New Roman" w:eastAsia="宋体" w:cs="Times New Roman"/>
                <w:color w:val="auto"/>
                <w:sz w:val="24"/>
                <w:szCs w:val="32"/>
                <w:highlight w:val="none"/>
              </w:rPr>
            </w:pPr>
          </w:p>
          <w:p w14:paraId="6D371A50">
            <w:pPr>
              <w:pStyle w:val="5"/>
              <w:rPr>
                <w:rFonts w:hint="default" w:ascii="Times New Roman" w:hAnsi="Times New Roman" w:eastAsia="宋体" w:cs="Times New Roman"/>
                <w:color w:val="auto"/>
                <w:sz w:val="24"/>
                <w:szCs w:val="32"/>
                <w:highlight w:val="none"/>
              </w:rPr>
            </w:pPr>
          </w:p>
          <w:p w14:paraId="030EAD05">
            <w:pPr>
              <w:pStyle w:val="5"/>
              <w:rPr>
                <w:rFonts w:hint="default" w:ascii="Times New Roman" w:hAnsi="Times New Roman" w:eastAsia="宋体" w:cs="Times New Roman"/>
                <w:color w:val="auto"/>
                <w:sz w:val="24"/>
                <w:szCs w:val="32"/>
                <w:highlight w:val="none"/>
              </w:rPr>
            </w:pPr>
          </w:p>
          <w:p w14:paraId="17B1751F">
            <w:pPr>
              <w:pStyle w:val="5"/>
              <w:rPr>
                <w:rFonts w:hint="default" w:ascii="Times New Roman" w:hAnsi="Times New Roman" w:eastAsia="宋体" w:cs="Times New Roman"/>
                <w:color w:val="auto"/>
                <w:sz w:val="24"/>
                <w:szCs w:val="32"/>
                <w:highlight w:val="none"/>
              </w:rPr>
            </w:pPr>
          </w:p>
          <w:p w14:paraId="25DD6ADE">
            <w:pPr>
              <w:pStyle w:val="5"/>
              <w:rPr>
                <w:rFonts w:hint="default" w:ascii="Times New Roman" w:hAnsi="Times New Roman" w:eastAsia="宋体" w:cs="Times New Roman"/>
                <w:color w:val="auto"/>
                <w:sz w:val="24"/>
                <w:szCs w:val="32"/>
                <w:highlight w:val="none"/>
              </w:rPr>
            </w:pPr>
          </w:p>
          <w:p w14:paraId="1B2F4422">
            <w:pPr>
              <w:pStyle w:val="5"/>
              <w:rPr>
                <w:rFonts w:hint="default" w:ascii="Times New Roman" w:hAnsi="Times New Roman" w:eastAsia="宋体" w:cs="Times New Roman"/>
                <w:color w:val="auto"/>
                <w:sz w:val="24"/>
                <w:szCs w:val="32"/>
                <w:highlight w:val="none"/>
              </w:rPr>
            </w:pPr>
          </w:p>
          <w:p w14:paraId="1597B857">
            <w:pPr>
              <w:pStyle w:val="5"/>
              <w:rPr>
                <w:rFonts w:hint="default" w:ascii="Times New Roman" w:hAnsi="Times New Roman" w:eastAsia="宋体" w:cs="Times New Roman"/>
                <w:color w:val="auto"/>
                <w:sz w:val="24"/>
                <w:szCs w:val="32"/>
                <w:highlight w:val="none"/>
              </w:rPr>
            </w:pPr>
          </w:p>
          <w:p w14:paraId="21F15832">
            <w:pPr>
              <w:pStyle w:val="5"/>
              <w:rPr>
                <w:rFonts w:hint="default" w:ascii="Times New Roman" w:hAnsi="Times New Roman" w:eastAsia="宋体" w:cs="Times New Roman"/>
                <w:color w:val="auto"/>
                <w:sz w:val="24"/>
                <w:szCs w:val="32"/>
                <w:highlight w:val="none"/>
              </w:rPr>
            </w:pPr>
          </w:p>
          <w:p w14:paraId="76B787D2">
            <w:pPr>
              <w:pStyle w:val="5"/>
              <w:rPr>
                <w:rFonts w:hint="default" w:ascii="Times New Roman" w:hAnsi="Times New Roman" w:eastAsia="宋体" w:cs="Times New Roman"/>
                <w:color w:val="auto"/>
                <w:sz w:val="24"/>
                <w:szCs w:val="32"/>
                <w:highlight w:val="none"/>
              </w:rPr>
            </w:pPr>
          </w:p>
          <w:p w14:paraId="7CE21794">
            <w:pPr>
              <w:pStyle w:val="5"/>
              <w:rPr>
                <w:rFonts w:hint="default" w:ascii="Times New Roman" w:hAnsi="Times New Roman" w:eastAsia="宋体" w:cs="Times New Roman"/>
                <w:color w:val="auto"/>
                <w:sz w:val="24"/>
                <w:szCs w:val="32"/>
                <w:highlight w:val="none"/>
              </w:rPr>
            </w:pPr>
          </w:p>
          <w:p w14:paraId="73716F7F">
            <w:pPr>
              <w:pStyle w:val="5"/>
              <w:rPr>
                <w:rFonts w:hint="default" w:ascii="Times New Roman" w:hAnsi="Times New Roman" w:eastAsia="宋体" w:cs="Times New Roman"/>
                <w:color w:val="auto"/>
                <w:sz w:val="24"/>
                <w:szCs w:val="32"/>
                <w:highlight w:val="none"/>
              </w:rPr>
            </w:pPr>
          </w:p>
          <w:p w14:paraId="7C4852EE">
            <w:pPr>
              <w:pStyle w:val="5"/>
              <w:rPr>
                <w:rFonts w:hint="default" w:ascii="Times New Roman" w:hAnsi="Times New Roman" w:eastAsia="宋体" w:cs="Times New Roman"/>
                <w:color w:val="auto"/>
                <w:sz w:val="24"/>
                <w:szCs w:val="32"/>
                <w:highlight w:val="none"/>
              </w:rPr>
            </w:pPr>
          </w:p>
          <w:p w14:paraId="13AC7061">
            <w:pPr>
              <w:pStyle w:val="5"/>
              <w:rPr>
                <w:rFonts w:hint="default" w:ascii="Times New Roman" w:hAnsi="Times New Roman" w:eastAsia="宋体" w:cs="Times New Roman"/>
                <w:color w:val="auto"/>
                <w:sz w:val="24"/>
                <w:szCs w:val="32"/>
                <w:highlight w:val="none"/>
              </w:rPr>
            </w:pPr>
          </w:p>
          <w:p w14:paraId="67439E44">
            <w:pPr>
              <w:pStyle w:val="5"/>
              <w:rPr>
                <w:rFonts w:hint="default" w:ascii="Times New Roman" w:hAnsi="Times New Roman" w:eastAsia="宋体" w:cs="Times New Roman"/>
                <w:color w:val="auto"/>
                <w:sz w:val="24"/>
                <w:szCs w:val="32"/>
                <w:highlight w:val="none"/>
              </w:rPr>
            </w:pPr>
          </w:p>
          <w:p w14:paraId="64DE97B9">
            <w:pPr>
              <w:pStyle w:val="5"/>
              <w:rPr>
                <w:rFonts w:hint="default" w:ascii="Times New Roman" w:hAnsi="Times New Roman" w:eastAsia="宋体" w:cs="Times New Roman"/>
                <w:color w:val="auto"/>
                <w:sz w:val="24"/>
                <w:szCs w:val="32"/>
                <w:highlight w:val="none"/>
              </w:rPr>
            </w:pPr>
          </w:p>
        </w:tc>
      </w:tr>
    </w:tbl>
    <w:p w14:paraId="28DF6452">
      <w:pPr>
        <w:rPr>
          <w:rFonts w:hint="default" w:ascii="Times New Roman" w:hAnsi="Times New Roman" w:cs="Times New Roman"/>
          <w:color w:val="auto"/>
          <w:highlight w:val="none"/>
        </w:rPr>
      </w:pPr>
      <w:r>
        <w:rPr>
          <w:rFonts w:hint="default" w:ascii="Times New Roman" w:hAnsi="Times New Roman" w:cs="Times New Roman"/>
          <w:color w:val="auto"/>
          <w:highlight w:val="none"/>
        </w:rPr>
        <w:br w:type="page"/>
      </w:r>
    </w:p>
    <w:p w14:paraId="292D450D">
      <w:pPr>
        <w:pStyle w:val="22"/>
        <w:jc w:val="center"/>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四、主要环境影响和保护措施</w:t>
      </w:r>
    </w:p>
    <w:tbl>
      <w:tblPr>
        <w:tblStyle w:val="25"/>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3"/>
        <w:gridCol w:w="7674"/>
      </w:tblGrid>
      <w:tr w14:paraId="0C854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9" w:type="dxa"/>
            <w:tcBorders>
              <w:tl2br w:val="nil"/>
              <w:tr2bl w:val="nil"/>
            </w:tcBorders>
            <w:vAlign w:val="center"/>
          </w:tcPr>
          <w:p w14:paraId="0C2A39E4">
            <w:pPr>
              <w:pStyle w:val="31"/>
              <w:rPr>
                <w:rFonts w:hint="default" w:ascii="Times New Roman" w:hAnsi="Times New Roman" w:cs="Times New Roman"/>
                <w:color w:val="auto"/>
                <w:sz w:val="24"/>
                <w:szCs w:val="24"/>
                <w:highlight w:val="none"/>
                <w:vertAlign w:val="baseline"/>
              </w:rPr>
            </w:pPr>
            <w:r>
              <w:rPr>
                <w:rFonts w:hint="default" w:ascii="Times New Roman" w:hAnsi="Times New Roman" w:cs="Times New Roman"/>
                <w:color w:val="auto"/>
                <w:kern w:val="2"/>
                <w:sz w:val="24"/>
                <w:szCs w:val="24"/>
                <w:highlight w:val="none"/>
              </w:rPr>
              <w:t>施工期环境保护措施</w:t>
            </w:r>
          </w:p>
        </w:tc>
        <w:tc>
          <w:tcPr>
            <w:tcW w:w="7753" w:type="dxa"/>
            <w:tcBorders>
              <w:tl2br w:val="nil"/>
              <w:tr2bl w:val="nil"/>
            </w:tcBorders>
            <w:vAlign w:val="center"/>
          </w:tcPr>
          <w:p w14:paraId="5E2215E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pacing w:val="0"/>
                <w:w w:val="100"/>
                <w:position w:val="0"/>
                <w:sz w:val="24"/>
                <w:highlight w:val="none"/>
              </w:rPr>
            </w:pPr>
            <w:r>
              <w:rPr>
                <w:rFonts w:hint="default" w:ascii="Times New Roman" w:hAnsi="Times New Roman" w:eastAsia="宋体" w:cs="Times New Roman"/>
                <w:color w:val="auto"/>
                <w:sz w:val="24"/>
                <w:szCs w:val="24"/>
                <w:highlight w:val="none"/>
              </w:rPr>
              <w:t>本项目是在新疆凯狮威塑业有限责任公司现有厂区对地膜生产线改扩建及技术改进，扩大生产规模，改进生产工艺技术及产品质量。新增吹塑机、收卷机、包装机、拌料等20台设备及配套的辅助设施开发</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新</w:t>
            </w:r>
            <w:r>
              <w:rPr>
                <w:rFonts w:hint="default" w:ascii="Times New Roman" w:hAnsi="Times New Roman" w:eastAsia="宋体" w:cs="Times New Roman"/>
                <w:color w:val="auto"/>
                <w:sz w:val="24"/>
                <w:szCs w:val="24"/>
                <w:highlight w:val="none"/>
              </w:rPr>
              <w:t>建厂房4000m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增加农用地膜环保生产设备，扩大农用环保地膜生产量，</w:t>
            </w:r>
            <w:r>
              <w:rPr>
                <w:rFonts w:hint="default" w:ascii="Times New Roman" w:hAnsi="Times New Roman" w:cs="Times New Roman"/>
                <w:color w:val="auto"/>
                <w:spacing w:val="0"/>
                <w:w w:val="100"/>
                <w:position w:val="0"/>
                <w:sz w:val="24"/>
                <w:highlight w:val="none"/>
              </w:rPr>
              <w:t>因此本次环评对施工期环境影响做以下分析。</w:t>
            </w:r>
          </w:p>
          <w:p w14:paraId="2617CAC3">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1</w:t>
            </w:r>
            <w:r>
              <w:rPr>
                <w:rFonts w:hint="default" w:ascii="Times New Roman" w:hAnsi="Times New Roman" w:cs="Times New Roman" w:eastAsiaTheme="minorEastAsia"/>
                <w:b/>
                <w:bCs/>
                <w:color w:val="auto"/>
                <w:sz w:val="24"/>
                <w:szCs w:val="24"/>
                <w:highlight w:val="none"/>
                <w:lang w:val="en-US" w:eastAsia="zh-CN"/>
              </w:rPr>
              <w:t>.</w:t>
            </w:r>
            <w:r>
              <w:rPr>
                <w:rFonts w:hint="default" w:ascii="Times New Roman" w:hAnsi="Times New Roman" w:cs="Times New Roman" w:eastAsiaTheme="minorEastAsia"/>
                <w:b/>
                <w:bCs/>
                <w:color w:val="auto"/>
                <w:sz w:val="24"/>
                <w:szCs w:val="24"/>
                <w:highlight w:val="none"/>
              </w:rPr>
              <w:t>废气污染物防治措施</w:t>
            </w:r>
          </w:p>
          <w:p w14:paraId="77A3E27C">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（1）扬尘</w:t>
            </w:r>
          </w:p>
          <w:p w14:paraId="497D4886">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施工期场地平整、地基开挖、构建地面建筑物以及建筑材料和垃圾运输、装卸、堆放等过程均会产生扬尘，主要污染因子为TSP。</w:t>
            </w:r>
          </w:p>
          <w:p w14:paraId="1AC999C1">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扬尘量与施工作业方式、施工管理水平及气象条件密切相关。一般来说，干燥及大风条件下，扬尘量较大。因此，避免在大风天气进行土地开挖和回填作业，减少开挖土方的露天堆放时间，尽量随挖随填，且保证一定的含水率是抑制这类扬尘的有效手段。一般情况下，施工场地在自然风作用下产生的扬尘所影响的范围在150m以内。如果在施工期间对施工场地及露天堆场实施洒水抑尘，每天洒水4-5次，可使扬尘减少70%—80%左右，每天实施洒水4-5次进行抑尘，可有效控制施工扬尘，将TSP污染距离缩小到20-50m范围。</w:t>
            </w:r>
          </w:p>
          <w:p w14:paraId="0CB55FB0">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为了最大限度地减轻项目施工扬尘对周边环境造成影响，要求施工单位在施工期严格按照《建设工程施工现场环境与卫生标准》（JGJ146-2013）的要求采取有效的大气污染防治措施，保持施工场地湿度、及时洒水抑尘、设置防尘网等防尘屏挡设施，并尽量避免在大风条件下施工，最大限度降低施工扬尘对周围环境空气影响。</w:t>
            </w:r>
          </w:p>
          <w:p w14:paraId="6A852089">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cs="Times New Roman"/>
                <w:color w:val="auto"/>
                <w:spacing w:val="0"/>
                <w:w w:val="100"/>
                <w:kern w:val="0"/>
                <w:position w:val="0"/>
                <w:sz w:val="24"/>
                <w:szCs w:val="21"/>
                <w:highlight w:val="none"/>
                <w:lang w:val="en-US" w:eastAsia="zh-CN" w:bidi="ar-SA"/>
              </w:rPr>
              <w:t>①</w:t>
            </w:r>
            <w:r>
              <w:rPr>
                <w:rFonts w:hint="default" w:ascii="Times New Roman" w:hAnsi="Times New Roman" w:eastAsia="宋体" w:cs="Times New Roman"/>
                <w:color w:val="auto"/>
                <w:spacing w:val="0"/>
                <w:w w:val="100"/>
                <w:kern w:val="0"/>
                <w:position w:val="0"/>
                <w:sz w:val="24"/>
                <w:szCs w:val="21"/>
                <w:highlight w:val="none"/>
                <w:lang w:val="en-US" w:eastAsia="zh-CN" w:bidi="ar-SA"/>
              </w:rPr>
              <w:t>施工区四周设置高度1.8m以上的围挡，以保护场区边界外环境。</w:t>
            </w:r>
          </w:p>
          <w:p w14:paraId="07F7AED1">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cs="Times New Roman"/>
                <w:color w:val="auto"/>
                <w:spacing w:val="0"/>
                <w:w w:val="100"/>
                <w:kern w:val="0"/>
                <w:position w:val="0"/>
                <w:sz w:val="24"/>
                <w:szCs w:val="21"/>
                <w:highlight w:val="none"/>
                <w:lang w:val="en-US" w:eastAsia="zh-CN" w:bidi="ar-SA"/>
              </w:rPr>
              <w:t>②</w:t>
            </w:r>
            <w:r>
              <w:rPr>
                <w:rFonts w:hint="default" w:ascii="Times New Roman" w:hAnsi="Times New Roman" w:eastAsia="宋体" w:cs="Times New Roman"/>
                <w:color w:val="auto"/>
                <w:spacing w:val="0"/>
                <w:w w:val="100"/>
                <w:kern w:val="0"/>
                <w:position w:val="0"/>
                <w:sz w:val="24"/>
                <w:szCs w:val="21"/>
                <w:highlight w:val="none"/>
                <w:lang w:val="en-US" w:eastAsia="zh-CN" w:bidi="ar-SA"/>
              </w:rPr>
              <w:t>施工现场裸露的场地和堆放的土方应采取覆盖及洒水等措施。土方作业应采取防止扬尘措施，主要采取定期洒水措施。</w:t>
            </w:r>
          </w:p>
          <w:p w14:paraId="443CA1B0">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cs="Times New Roman"/>
                <w:color w:val="auto"/>
                <w:spacing w:val="0"/>
                <w:w w:val="100"/>
                <w:kern w:val="0"/>
                <w:position w:val="0"/>
                <w:sz w:val="24"/>
                <w:szCs w:val="21"/>
                <w:highlight w:val="none"/>
                <w:lang w:val="en-US" w:eastAsia="zh-CN" w:bidi="ar-SA"/>
              </w:rPr>
              <w:t>③</w:t>
            </w:r>
            <w:r>
              <w:rPr>
                <w:rFonts w:hint="default" w:ascii="Times New Roman" w:hAnsi="Times New Roman" w:eastAsia="宋体" w:cs="Times New Roman"/>
                <w:color w:val="auto"/>
                <w:spacing w:val="0"/>
                <w:w w:val="100"/>
                <w:kern w:val="0"/>
                <w:position w:val="0"/>
                <w:sz w:val="24"/>
                <w:szCs w:val="21"/>
                <w:highlight w:val="none"/>
                <w:lang w:val="en-US" w:eastAsia="zh-CN" w:bidi="ar-SA"/>
              </w:rPr>
              <w:t>建筑垃圾的运输必须采用封闭式运输车辆或采取覆盖措施。施工现场出口处应设置车辆冲洗设施，并对驶出的车辆进行清洗。4）施工垃圾严禁凌空抛掷。</w:t>
            </w:r>
          </w:p>
          <w:p w14:paraId="7616F71D">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cs="Times New Roman"/>
                <w:color w:val="auto"/>
                <w:spacing w:val="0"/>
                <w:w w:val="100"/>
                <w:kern w:val="0"/>
                <w:position w:val="0"/>
                <w:sz w:val="24"/>
                <w:szCs w:val="21"/>
                <w:highlight w:val="none"/>
                <w:lang w:val="en-US" w:eastAsia="zh-CN" w:bidi="ar-SA"/>
              </w:rPr>
              <w:t>④</w:t>
            </w:r>
            <w:r>
              <w:rPr>
                <w:rFonts w:hint="default" w:ascii="Times New Roman" w:hAnsi="Times New Roman" w:eastAsia="宋体" w:cs="Times New Roman"/>
                <w:color w:val="auto"/>
                <w:spacing w:val="0"/>
                <w:w w:val="100"/>
                <w:kern w:val="0"/>
                <w:position w:val="0"/>
                <w:sz w:val="24"/>
                <w:szCs w:val="21"/>
                <w:highlight w:val="none"/>
                <w:lang w:val="en-US" w:eastAsia="zh-CN" w:bidi="ar-SA"/>
              </w:rPr>
              <w:t>施工现场严禁焚烧各类废弃物。</w:t>
            </w:r>
          </w:p>
          <w:p w14:paraId="0601CC4F">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cs="Times New Roman"/>
                <w:color w:val="auto"/>
                <w:spacing w:val="0"/>
                <w:w w:val="100"/>
                <w:kern w:val="0"/>
                <w:position w:val="0"/>
                <w:sz w:val="24"/>
                <w:szCs w:val="21"/>
                <w:highlight w:val="none"/>
                <w:lang w:val="en-US" w:eastAsia="zh-CN" w:bidi="ar-SA"/>
              </w:rPr>
              <w:t>⑤</w:t>
            </w:r>
            <w:r>
              <w:rPr>
                <w:rFonts w:hint="default" w:ascii="Times New Roman" w:hAnsi="Times New Roman" w:eastAsia="宋体" w:cs="Times New Roman"/>
                <w:color w:val="auto"/>
                <w:spacing w:val="0"/>
                <w:w w:val="100"/>
                <w:kern w:val="0"/>
                <w:position w:val="0"/>
                <w:sz w:val="24"/>
                <w:szCs w:val="21"/>
                <w:highlight w:val="none"/>
                <w:lang w:val="en-US" w:eastAsia="zh-CN" w:bidi="ar-SA"/>
              </w:rPr>
              <w:t>施工现场应使用预拌混凝土及预拌砂浆。灰土和无机料应采用预拌进场，碾压过程中应洒水降尘，以保护场区周围环境。</w:t>
            </w:r>
          </w:p>
          <w:p w14:paraId="2319639A">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cs="Times New Roman"/>
                <w:color w:val="auto"/>
                <w:spacing w:val="0"/>
                <w:w w:val="100"/>
                <w:kern w:val="0"/>
                <w:position w:val="0"/>
                <w:sz w:val="24"/>
                <w:szCs w:val="21"/>
                <w:highlight w:val="none"/>
                <w:lang w:val="en-US" w:eastAsia="zh-CN" w:bidi="ar-SA"/>
              </w:rPr>
              <w:t>⑥</w:t>
            </w:r>
            <w:r>
              <w:rPr>
                <w:rFonts w:hint="default" w:ascii="Times New Roman" w:hAnsi="Times New Roman" w:eastAsia="宋体" w:cs="Times New Roman"/>
                <w:color w:val="auto"/>
                <w:spacing w:val="0"/>
                <w:w w:val="100"/>
                <w:kern w:val="0"/>
                <w:position w:val="0"/>
                <w:sz w:val="24"/>
                <w:szCs w:val="21"/>
                <w:highlight w:val="none"/>
                <w:lang w:val="en-US" w:eastAsia="zh-CN" w:bidi="ar-SA"/>
              </w:rPr>
              <w:t>施工期间进出施工现场车辆将使地面起尘，因此运输车辆进出的主干道应定期洒水清扫，保持车辆出入路面清洁、湿润，以减少汽车轮胎与路面接触而引起的地面扬尘污染，并尽量减缓行驶车速。</w:t>
            </w:r>
          </w:p>
          <w:p w14:paraId="743452CE">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cs="Times New Roman"/>
                <w:color w:val="auto"/>
                <w:spacing w:val="0"/>
                <w:w w:val="100"/>
                <w:kern w:val="0"/>
                <w:position w:val="0"/>
                <w:sz w:val="24"/>
                <w:szCs w:val="21"/>
                <w:highlight w:val="none"/>
                <w:lang w:val="en-US" w:eastAsia="zh-CN" w:bidi="ar-SA"/>
              </w:rPr>
              <w:t>⑦</w:t>
            </w:r>
            <w:r>
              <w:rPr>
                <w:rFonts w:hint="default" w:ascii="Times New Roman" w:hAnsi="Times New Roman" w:eastAsia="宋体" w:cs="Times New Roman"/>
                <w:color w:val="auto"/>
                <w:spacing w:val="0"/>
                <w:w w:val="100"/>
                <w:kern w:val="0"/>
                <w:position w:val="0"/>
                <w:sz w:val="24"/>
                <w:szCs w:val="21"/>
                <w:highlight w:val="none"/>
                <w:lang w:val="en-US" w:eastAsia="zh-CN" w:bidi="ar-SA"/>
              </w:rPr>
              <w:t>运输建筑材料及建筑垃圾的车辆装载高度应低于车厢上沿，不得超高超载。实行封闭运输，以免车辆颠簸撒漏。施工车辆在驶出施工区之前，需要清泥除尘处理，不得将泥土尘土带出工地。</w:t>
            </w:r>
          </w:p>
          <w:p w14:paraId="61E62CE0">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cs="Times New Roman"/>
                <w:color w:val="auto"/>
                <w:spacing w:val="0"/>
                <w:w w:val="100"/>
                <w:kern w:val="0"/>
                <w:position w:val="0"/>
                <w:sz w:val="24"/>
                <w:szCs w:val="21"/>
                <w:highlight w:val="none"/>
                <w:lang w:val="en-US" w:eastAsia="zh-CN" w:bidi="ar-SA"/>
              </w:rPr>
              <w:t>⑧</w:t>
            </w:r>
            <w:r>
              <w:rPr>
                <w:rFonts w:hint="default" w:ascii="Times New Roman" w:hAnsi="Times New Roman" w:eastAsia="宋体" w:cs="Times New Roman"/>
                <w:color w:val="auto"/>
                <w:spacing w:val="0"/>
                <w:w w:val="100"/>
                <w:kern w:val="0"/>
                <w:position w:val="0"/>
                <w:sz w:val="24"/>
                <w:szCs w:val="21"/>
                <w:highlight w:val="none"/>
                <w:lang w:val="en-US" w:eastAsia="zh-CN" w:bidi="ar-SA"/>
              </w:rPr>
              <w:t>加强对施工人员的环保教育，增强全体施工人员的环保意识，坚持文明施工、科学施工。</w:t>
            </w:r>
          </w:p>
          <w:p w14:paraId="05A2D90E">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在严格按照以上要求施工并采取严格的防尘抑尘等环保措施的情况下，拟建项目施工期扬尘不会对周边环境空气造成大的污染。施工期粉尘影响是短暂的，且影响随施工期结束而结束。</w:t>
            </w:r>
          </w:p>
          <w:p w14:paraId="0EDAEC73">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（2）施工机械和运输车辆的尾气</w:t>
            </w:r>
          </w:p>
          <w:p w14:paraId="14B405F2">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本项目施工机械运行、汽车运输时所排放的尾气中主要污染因子为SO</w:t>
            </w:r>
            <w:r>
              <w:rPr>
                <w:rFonts w:hint="default" w:ascii="Times New Roman" w:hAnsi="Times New Roman" w:eastAsia="宋体" w:cs="Times New Roman"/>
                <w:color w:val="auto"/>
                <w:spacing w:val="0"/>
                <w:w w:val="100"/>
                <w:kern w:val="0"/>
                <w:position w:val="0"/>
                <w:sz w:val="24"/>
                <w:szCs w:val="21"/>
                <w:highlight w:val="none"/>
                <w:vertAlign w:val="subscript"/>
                <w:lang w:val="en-US" w:eastAsia="zh-CN" w:bidi="ar-SA"/>
              </w:rPr>
              <w:t>2</w:t>
            </w:r>
            <w:r>
              <w:rPr>
                <w:rFonts w:hint="default" w:ascii="Times New Roman" w:hAnsi="Times New Roman" w:eastAsia="宋体" w:cs="Times New Roman"/>
                <w:color w:val="auto"/>
                <w:spacing w:val="0"/>
                <w:w w:val="100"/>
                <w:kern w:val="0"/>
                <w:position w:val="0"/>
                <w:sz w:val="24"/>
                <w:szCs w:val="21"/>
                <w:highlight w:val="none"/>
                <w:lang w:val="en-US" w:eastAsia="zh-CN" w:bidi="ar-SA"/>
              </w:rPr>
              <w:t>、CO、NOx、碳氢化合物。这些施工机械及车辆所排放的废气以无组织面源、间歇式排放，主要对运输路线两侧局部范围产生一定影响。但项目工程量较小，车辆使用数量较少，尾气排放量有限，且随施工的结束而消失，只要加强设备及车辆的养护，严格执行国家关于机动车辆的尾气排放规定，施工机械和运输车辆的尾气不会对当地环境空气质量造成不良影响。</w:t>
            </w:r>
          </w:p>
          <w:p w14:paraId="655E5AB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2</w:t>
            </w:r>
            <w:r>
              <w:rPr>
                <w:rFonts w:hint="default" w:ascii="Times New Roman" w:hAnsi="Times New Roman" w:cs="Times New Roman" w:eastAsiaTheme="minorEastAsia"/>
                <w:b/>
                <w:bCs/>
                <w:color w:val="auto"/>
                <w:sz w:val="24"/>
                <w:szCs w:val="24"/>
                <w:highlight w:val="none"/>
                <w:lang w:val="en-US" w:eastAsia="zh-CN"/>
              </w:rPr>
              <w:t>.</w:t>
            </w:r>
            <w:r>
              <w:rPr>
                <w:rFonts w:hint="default" w:ascii="Times New Roman" w:hAnsi="Times New Roman" w:cs="Times New Roman" w:eastAsiaTheme="minorEastAsia"/>
                <w:b/>
                <w:bCs/>
                <w:color w:val="auto"/>
                <w:sz w:val="24"/>
                <w:szCs w:val="24"/>
                <w:highlight w:val="none"/>
              </w:rPr>
              <w:t>废水污染物防治措施</w:t>
            </w:r>
          </w:p>
          <w:p w14:paraId="6FCB8A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施工期的废水主要为生活污水，主要来自于施工人员的日常生活。</w:t>
            </w:r>
          </w:p>
          <w:p w14:paraId="6E90370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因施工人员少，施工工期短，且不在场内食宿，施工期产生的生活污水量很少，可直接排入厂区现有</w:t>
            </w:r>
            <w:r>
              <w:rPr>
                <w:rFonts w:hint="default" w:ascii="Times New Roman" w:hAnsi="Times New Roman" w:cs="Times New Roman" w:eastAsiaTheme="minorEastAsia"/>
                <w:color w:val="auto"/>
                <w:sz w:val="24"/>
                <w:szCs w:val="24"/>
                <w:highlight w:val="none"/>
                <w:lang w:val="en-US" w:eastAsia="zh-CN"/>
              </w:rPr>
              <w:t>地埋式化粪池集中收集</w:t>
            </w:r>
            <w:r>
              <w:rPr>
                <w:rFonts w:hint="default" w:ascii="Times New Roman" w:hAnsi="Times New Roman" w:cs="Times New Roman" w:eastAsiaTheme="minorEastAsia"/>
                <w:color w:val="auto"/>
                <w:sz w:val="24"/>
                <w:szCs w:val="24"/>
                <w:highlight w:val="none"/>
              </w:rPr>
              <w:t>，定期由环卫部门拉运</w:t>
            </w:r>
            <w:r>
              <w:rPr>
                <w:rFonts w:hint="default" w:ascii="Times New Roman" w:hAnsi="Times New Roman" w:cs="Times New Roman" w:eastAsiaTheme="minorEastAsia"/>
                <w:color w:val="auto"/>
                <w:sz w:val="24"/>
                <w:szCs w:val="24"/>
                <w:highlight w:val="none"/>
                <w:lang w:val="en-US" w:eastAsia="zh-CN"/>
              </w:rPr>
              <w:t>至昌吉市第二污水处理厂</w:t>
            </w:r>
            <w:r>
              <w:rPr>
                <w:rFonts w:hint="default" w:ascii="Times New Roman" w:hAnsi="Times New Roman" w:cs="Times New Roman" w:eastAsiaTheme="minorEastAsia"/>
                <w:color w:val="auto"/>
                <w:sz w:val="24"/>
                <w:szCs w:val="24"/>
                <w:highlight w:val="none"/>
              </w:rPr>
              <w:t>。</w:t>
            </w:r>
          </w:p>
          <w:p w14:paraId="2D9B79F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3</w:t>
            </w:r>
            <w:r>
              <w:rPr>
                <w:rFonts w:hint="default" w:ascii="Times New Roman" w:hAnsi="Times New Roman" w:cs="Times New Roman" w:eastAsiaTheme="minorEastAsia"/>
                <w:b/>
                <w:bCs/>
                <w:color w:val="auto"/>
                <w:sz w:val="24"/>
                <w:szCs w:val="24"/>
                <w:highlight w:val="none"/>
                <w:lang w:val="en-US" w:eastAsia="zh-CN"/>
              </w:rPr>
              <w:t>.</w:t>
            </w:r>
            <w:r>
              <w:rPr>
                <w:rFonts w:hint="default" w:ascii="Times New Roman" w:hAnsi="Times New Roman" w:cs="Times New Roman" w:eastAsiaTheme="minorEastAsia"/>
                <w:b/>
                <w:bCs/>
                <w:color w:val="auto"/>
                <w:sz w:val="24"/>
                <w:szCs w:val="24"/>
                <w:highlight w:val="none"/>
              </w:rPr>
              <w:t>噪声防治措施</w:t>
            </w:r>
          </w:p>
          <w:p w14:paraId="03C9B12A">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施工期的噪声主要来自施工机械运行及运输车辆的往来噪声。</w:t>
            </w:r>
          </w:p>
          <w:p w14:paraId="2681D38D">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虽然施工期噪声影响是暂时的、短期的行为，随着工程竣工，施工噪声对环境的不利影响将不再存在。但为了减小施工噪声对施工人员及周围环境的影响，建设单位和工程施工单位必须按照《中华人民共和国环境噪声污染防治条例》和地方环保部门的规定，规范施工行为。</w:t>
            </w:r>
          </w:p>
          <w:p w14:paraId="274A9327">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为了最大限度减少工程施工噪声对周边环境的影响，建设单位应采取以下防噪降噪措施。</w:t>
            </w:r>
          </w:p>
          <w:p w14:paraId="2127B105">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（1）合理安排施工时间及施工设备组合，避免同一时间使用大量高噪声设备，加强现场管理，禁止人员大声喧，在现场设置禁止鸣笛标志，禁止进出车辆鸣笛。</w:t>
            </w:r>
          </w:p>
          <w:p w14:paraId="3793BD21">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（2）尽力避免大量噪声设备同时使用，避免在同一地点安排多动力机械设备，控制不产生局部声级过高。</w:t>
            </w:r>
          </w:p>
          <w:p w14:paraId="517A97C8">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3）在施工设备的选型上尽量采用低噪声设备：固定机械设备与挖土、运土机构，如挖土机、推土机等，可通过消声器和隔离发动机部件的方法降低噪声空压机、发电机等高噪声设备在使用时，可采用固定式或活动式隔声罩或隔声屏障进行局部拦挡。加强对设备的维护、养护。尽可能采用外加工材料，减少现场加工的工作量。</w:t>
            </w:r>
          </w:p>
          <w:p w14:paraId="5CAA0207">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4）加强环境管理，对于必须夜间施工的情况，应认真执行申报审批手续，并报环保部门备案。根据有关规定，建设施工时除抢修、抢险作业和因生产工艺要求或者特殊要求必须连续作业外，禁止夜间进行产生环境噪声污染的建筑施工作业。</w:t>
            </w:r>
          </w:p>
          <w:p w14:paraId="5C8994B8">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（5）降低人为噪声，按规定操作机械设备，模板、支架拆卸吊装过程中，遵守作业规定，减少碰撞噪声。尽量少用哨子等指挥作业，而代以现代化设备如用无线对讲机等。</w:t>
            </w:r>
          </w:p>
          <w:p w14:paraId="7477F0CB">
            <w:pPr>
              <w:pStyle w:val="63"/>
              <w:keepNext w:val="0"/>
              <w:keepLines w:val="0"/>
              <w:pageBreakBefore w:val="0"/>
              <w:kinsoku/>
              <w:wordWrap/>
              <w:overflowPunct/>
              <w:topLinePunct w:val="0"/>
              <w:autoSpaceDE/>
              <w:autoSpaceDN/>
              <w:bidi w:val="0"/>
              <w:adjustRightInd/>
              <w:snapToGrid/>
              <w:spacing w:line="360" w:lineRule="auto"/>
              <w:ind w:left="0" w:right="0" w:firstLine="480" w:firstLineChars="200"/>
              <w:jc w:val="both"/>
              <w:textAlignment w:val="auto"/>
              <w:rPr>
                <w:rFonts w:hint="default" w:ascii="Times New Roman" w:hAnsi="Times New Roman" w:eastAsia="宋体" w:cs="Times New Roman"/>
                <w:color w:val="auto"/>
                <w:spacing w:val="0"/>
                <w:w w:val="100"/>
                <w:kern w:val="0"/>
                <w:position w:val="0"/>
                <w:sz w:val="24"/>
                <w:szCs w:val="21"/>
                <w:highlight w:val="none"/>
                <w:lang w:val="en-US" w:eastAsia="zh-CN" w:bidi="ar-SA"/>
              </w:rPr>
            </w:pPr>
            <w:r>
              <w:rPr>
                <w:rFonts w:hint="default" w:ascii="Times New Roman" w:hAnsi="Times New Roman" w:eastAsia="宋体" w:cs="Times New Roman"/>
                <w:color w:val="auto"/>
                <w:spacing w:val="0"/>
                <w:w w:val="100"/>
                <w:kern w:val="0"/>
                <w:position w:val="0"/>
                <w:sz w:val="24"/>
                <w:szCs w:val="21"/>
                <w:highlight w:val="none"/>
                <w:lang w:val="en-US" w:eastAsia="zh-CN" w:bidi="ar-SA"/>
              </w:rPr>
              <w:t>项目施工噪声属于暂时污染源，将随着施工的结束而停止，施工中只要采取合理的施工布置和相应的降噪隔声措施，项目边界噪声能达到《建筑施工场界环境噪声排放标准限值》（GB12523－2011）的要求，项目施工噪声值可控制在可接受范围内。</w:t>
            </w:r>
          </w:p>
          <w:p w14:paraId="52991EF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采取上述有效措施对项目区施工噪声进行控制后，本项目施工噪声对周围声环境影响较小。</w:t>
            </w:r>
          </w:p>
          <w:p w14:paraId="5746374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bCs/>
                <w:color w:val="auto"/>
                <w:sz w:val="24"/>
                <w:szCs w:val="24"/>
                <w:highlight w:val="none"/>
              </w:rPr>
            </w:pPr>
            <w:r>
              <w:rPr>
                <w:rFonts w:hint="default" w:ascii="Times New Roman" w:hAnsi="Times New Roman" w:cs="Times New Roman" w:eastAsiaTheme="minorEastAsia"/>
                <w:b/>
                <w:bCs/>
                <w:color w:val="auto"/>
                <w:sz w:val="24"/>
                <w:szCs w:val="24"/>
                <w:highlight w:val="none"/>
              </w:rPr>
              <w:t>4</w:t>
            </w:r>
            <w:r>
              <w:rPr>
                <w:rFonts w:hint="default" w:ascii="Times New Roman" w:hAnsi="Times New Roman" w:cs="Times New Roman" w:eastAsiaTheme="minorEastAsia"/>
                <w:b/>
                <w:bCs/>
                <w:color w:val="auto"/>
                <w:sz w:val="24"/>
                <w:szCs w:val="24"/>
                <w:highlight w:val="none"/>
                <w:lang w:val="en-US" w:eastAsia="zh-CN"/>
              </w:rPr>
              <w:t>.</w:t>
            </w:r>
            <w:r>
              <w:rPr>
                <w:rFonts w:hint="default" w:ascii="Times New Roman" w:hAnsi="Times New Roman" w:cs="Times New Roman" w:eastAsiaTheme="minorEastAsia"/>
                <w:b/>
                <w:bCs/>
                <w:color w:val="auto"/>
                <w:sz w:val="24"/>
                <w:szCs w:val="24"/>
                <w:highlight w:val="none"/>
              </w:rPr>
              <w:t>固体废弃物防治措施</w:t>
            </w:r>
          </w:p>
          <w:p w14:paraId="3BC2C2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施工过程中主要产生的固体废物为安装设备产生的废包装物和施工人员产生的生活垃圾。</w:t>
            </w:r>
          </w:p>
          <w:p w14:paraId="65C6E2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黑体" w:cs="Times New Roman"/>
                <w:color w:val="auto"/>
                <w:sz w:val="24"/>
                <w:szCs w:val="24"/>
                <w:highlight w:val="none"/>
                <w:vertAlign w:val="baseline"/>
                <w:lang w:val="en-US" w:eastAsia="zh-CN"/>
              </w:rPr>
            </w:pPr>
            <w:r>
              <w:rPr>
                <w:rFonts w:hint="default" w:ascii="Times New Roman" w:hAnsi="Times New Roman" w:cs="Times New Roman" w:eastAsiaTheme="minorEastAsia"/>
                <w:color w:val="auto"/>
                <w:sz w:val="24"/>
                <w:szCs w:val="24"/>
                <w:highlight w:val="none"/>
              </w:rPr>
              <w:t>本项目产生的废包装物定期清理，回收利用，施工区设立垃圾收集箱，生活垃圾定期由环卫部门统一清运，垃圾拉运到指定垃圾填埋场进行集中处理。施工区作业结束后，应及时、全面地进行清场作业，做到施工区内不遗留各类垃圾。</w:t>
            </w:r>
          </w:p>
        </w:tc>
      </w:tr>
      <w:tr w14:paraId="69F348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69" w:type="dxa"/>
            <w:tcBorders>
              <w:tl2br w:val="nil"/>
              <w:tr2bl w:val="nil"/>
            </w:tcBorders>
            <w:vAlign w:val="center"/>
          </w:tcPr>
          <w:p w14:paraId="6C3F78F5">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运营</w:t>
            </w:r>
          </w:p>
          <w:p w14:paraId="27D051D2">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期环</w:t>
            </w:r>
          </w:p>
          <w:p w14:paraId="47C42D73">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境影</w:t>
            </w:r>
          </w:p>
          <w:p w14:paraId="1FD93D76">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响和</w:t>
            </w:r>
          </w:p>
          <w:p w14:paraId="6B863214">
            <w:pPr>
              <w:adjustRightInd w:val="0"/>
              <w:snapToGrid w:val="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保护</w:t>
            </w:r>
          </w:p>
          <w:p w14:paraId="3B5CB690">
            <w:pPr>
              <w:rPr>
                <w:rFonts w:hint="default" w:ascii="Times New Roman" w:hAnsi="Times New Roman" w:cs="Times New Roman"/>
                <w:color w:val="auto"/>
                <w:highlight w:val="none"/>
                <w:vertAlign w:val="baseline"/>
              </w:rPr>
            </w:pPr>
            <w:r>
              <w:rPr>
                <w:rFonts w:hint="default" w:ascii="Times New Roman" w:hAnsi="Times New Roman" w:cs="Times New Roman"/>
                <w:bCs/>
                <w:color w:val="auto"/>
                <w:sz w:val="24"/>
                <w:szCs w:val="24"/>
                <w:highlight w:val="none"/>
              </w:rPr>
              <w:t>措施</w:t>
            </w:r>
          </w:p>
        </w:tc>
        <w:tc>
          <w:tcPr>
            <w:tcW w:w="7753" w:type="dxa"/>
            <w:tcBorders>
              <w:tl2br w:val="nil"/>
              <w:tr2bl w:val="nil"/>
            </w:tcBorders>
          </w:tcPr>
          <w:p w14:paraId="732C542B">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cs="Times New Roman"/>
                <w:b/>
                <w:bCs/>
                <w:color w:val="auto"/>
                <w:sz w:val="24"/>
                <w:szCs w:val="24"/>
                <w:highlight w:val="none"/>
                <w:lang w:eastAsia="zh-CN"/>
              </w:rPr>
            </w:pP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eastAsia="zh-CN"/>
              </w:rPr>
              <w:t>大气环境影响及保护措施</w:t>
            </w:r>
          </w:p>
          <w:p w14:paraId="502A9D62">
            <w:pPr>
              <w:keepNext w:val="0"/>
              <w:keepLines w:val="0"/>
              <w:pageBreakBefore w:val="0"/>
              <w:widowControl w:val="0"/>
              <w:kinsoku/>
              <w:wordWrap/>
              <w:overflowPunct w:val="0"/>
              <w:topLinePunct w:val="0"/>
              <w:autoSpaceDE/>
              <w:autoSpaceDN/>
              <w:bidi w:val="0"/>
              <w:spacing w:line="360" w:lineRule="auto"/>
              <w:contextualSpacing/>
              <w:textAlignment w:val="auto"/>
              <w:rPr>
                <w:rFonts w:hint="default" w:ascii="Times New Roman" w:hAnsi="Times New Roman" w:cs="Times New Roman"/>
                <w:b/>
                <w:bCs/>
                <w:snapToGrid w:val="0"/>
                <w:color w:val="auto"/>
                <w:sz w:val="24"/>
                <w:szCs w:val="24"/>
                <w:highlight w:val="none"/>
                <w:lang w:val="en-US" w:eastAsia="zh-CN"/>
              </w:rPr>
            </w:pPr>
            <w:r>
              <w:rPr>
                <w:rFonts w:hint="default" w:ascii="Times New Roman" w:hAnsi="Times New Roman" w:cs="Times New Roman"/>
                <w:b/>
                <w:bCs/>
                <w:snapToGrid w:val="0"/>
                <w:color w:val="auto"/>
                <w:sz w:val="24"/>
                <w:szCs w:val="24"/>
                <w:highlight w:val="none"/>
                <w:lang w:val="en-US" w:eastAsia="zh-CN"/>
              </w:rPr>
              <w:t>1.1加热熔融工序产生的VOCs（以非甲烷总烃计）</w:t>
            </w:r>
          </w:p>
          <w:p w14:paraId="413BDA20">
            <w:pPr>
              <w:keepNext w:val="0"/>
              <w:keepLines w:val="0"/>
              <w:pageBreakBefore w:val="0"/>
              <w:widowControl w:val="0"/>
              <w:kinsoku/>
              <w:wordWrap/>
              <w:overflowPunct w:val="0"/>
              <w:topLinePunct w:val="0"/>
              <w:autoSpaceDE/>
              <w:autoSpaceDN/>
              <w:bidi w:val="0"/>
              <w:spacing w:line="360" w:lineRule="auto"/>
              <w:ind w:firstLine="480" w:firstLineChars="200"/>
              <w:contextualSpacing/>
              <w:textAlignment w:val="auto"/>
              <w:rPr>
                <w:rFonts w:hint="default" w:ascii="Times New Roman" w:hAnsi="Times New Roman" w:cs="Times New Roman"/>
                <w:b w:val="0"/>
                <w:bCs w:val="0"/>
                <w:snapToGrid w:val="0"/>
                <w:color w:val="auto"/>
                <w:sz w:val="24"/>
                <w:szCs w:val="24"/>
                <w:highlight w:val="none"/>
                <w:lang w:val="en-US" w:eastAsia="zh-CN"/>
              </w:rPr>
            </w:pPr>
            <w:r>
              <w:rPr>
                <w:rFonts w:hint="default" w:ascii="Times New Roman" w:hAnsi="Times New Roman" w:cs="Times New Roman"/>
                <w:b w:val="0"/>
                <w:bCs w:val="0"/>
                <w:snapToGrid w:val="0"/>
                <w:color w:val="auto"/>
                <w:sz w:val="24"/>
                <w:szCs w:val="24"/>
                <w:highlight w:val="none"/>
                <w:lang w:val="en-US" w:eastAsia="zh-CN"/>
              </w:rPr>
              <w:t>本项目设置20条地膜生产线，加热熔融工序会产生VOCs（以非甲烷总烃计），主要污染物为非甲烷总烃。项目使用的原料主要为聚乙烯颗粒，其分解温度＞270℃。项目在对原料进行加热熔融时均在密闭的吹塑机内进行，加热温度为170～200℃，不会导致塑料分解；项目所使用的设备均为电加热设备，在生产过程中不加任何助剂，不会使原料改性。</w:t>
            </w:r>
          </w:p>
          <w:p w14:paraId="3427E2D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根据</w:t>
            </w:r>
            <w:r>
              <w:rPr>
                <w:rFonts w:hint="default" w:ascii="Times New Roman" w:hAnsi="Times New Roman" w:cs="Times New Roman"/>
                <w:color w:val="auto"/>
                <w:sz w:val="24"/>
                <w:highlight w:val="none"/>
              </w:rPr>
              <w:t>《排放源统计调查产排污核算方法和系数手册》</w:t>
            </w:r>
            <w:r>
              <w:rPr>
                <w:rFonts w:hint="default" w:ascii="Times New Roman" w:hAnsi="Times New Roman" w:eastAsia="宋体" w:cs="Times New Roman"/>
                <w:b w:val="0"/>
                <w:bCs w:val="0"/>
                <w:color w:val="auto"/>
                <w:sz w:val="24"/>
                <w:szCs w:val="24"/>
                <w:highlight w:val="none"/>
                <w:lang w:val="en-US" w:eastAsia="zh-CN"/>
              </w:rPr>
              <w:t>2921塑料薄膜制造行业系数表，挥发性有机物的排污系数为2.5kg</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t产品</w:t>
            </w:r>
            <w:r>
              <w:rPr>
                <w:rFonts w:hint="default" w:ascii="Times New Roman" w:hAnsi="Times New Roman" w:eastAsia="宋体" w:cs="Times New Roman"/>
                <w:b w:val="0"/>
                <w:bCs w:val="0"/>
                <w:color w:val="auto"/>
                <w:sz w:val="24"/>
                <w:szCs w:val="24"/>
                <w:highlight w:val="none"/>
                <w:lang w:eastAsia="zh-CN"/>
              </w:rPr>
              <w:t>。</w:t>
            </w:r>
          </w:p>
          <w:p w14:paraId="16B3C0F6">
            <w:pPr>
              <w:pStyle w:val="60"/>
              <w:keepNext w:val="0"/>
              <w:keepLines w:val="0"/>
              <w:pageBreakBefore w:val="0"/>
              <w:kinsoku/>
              <w:overflowPunct/>
              <w:bidi w:val="0"/>
              <w:spacing w:line="240" w:lineRule="auto"/>
              <w:ind w:left="0" w:right="0" w:firstLine="420"/>
              <w:jc w:val="center"/>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表4-1</w:t>
            </w:r>
            <w:r>
              <w:rPr>
                <w:rFonts w:hint="default" w:ascii="Times New Roman" w:hAnsi="Times New Roman" w:cs="Times New Roman"/>
                <w:color w:val="auto"/>
                <w:spacing w:val="0"/>
                <w:w w:val="100"/>
                <w:position w:val="0"/>
                <w:sz w:val="21"/>
                <w:szCs w:val="21"/>
                <w:highlight w:val="none"/>
              </w:rPr>
              <w:t xml:space="preserve"> </w:t>
            </w:r>
            <w:r>
              <w:rPr>
                <w:rFonts w:hint="eastAsia" w:ascii="Times New Roman" w:hAnsi="Times New Roman" w:cs="Times New Roman"/>
                <w:color w:val="auto"/>
                <w:spacing w:val="0"/>
                <w:w w:val="100"/>
                <w:position w:val="0"/>
                <w:sz w:val="21"/>
                <w:szCs w:val="21"/>
                <w:highlight w:val="none"/>
                <w:lang w:val="en-US" w:eastAsia="zh-CN"/>
              </w:rPr>
              <w:t xml:space="preserve"> </w:t>
            </w:r>
            <w:r>
              <w:rPr>
                <w:rFonts w:hint="default" w:ascii="Times New Roman" w:hAnsi="Times New Roman" w:cs="Times New Roman"/>
                <w:color w:val="auto"/>
                <w:spacing w:val="0"/>
                <w:w w:val="100"/>
                <w:position w:val="0"/>
                <w:sz w:val="21"/>
                <w:szCs w:val="21"/>
                <w:highlight w:val="none"/>
              </w:rPr>
              <w:t xml:space="preserve"> </w:t>
            </w:r>
            <w:r>
              <w:rPr>
                <w:rFonts w:hint="eastAsia" w:ascii="Times New Roman" w:hAnsi="Times New Roman" w:cs="Times New Roman"/>
                <w:b/>
                <w:bCs/>
                <w:color w:val="auto"/>
                <w:spacing w:val="0"/>
                <w:w w:val="100"/>
                <w:position w:val="0"/>
                <w:sz w:val="21"/>
                <w:szCs w:val="21"/>
                <w:highlight w:val="none"/>
                <w:lang w:val="en-US" w:eastAsia="zh-CN"/>
              </w:rPr>
              <w:t>塑料薄膜</w:t>
            </w:r>
            <w:r>
              <w:rPr>
                <w:rFonts w:hint="default" w:ascii="Times New Roman" w:hAnsi="Times New Roman" w:cs="Times New Roman"/>
                <w:b/>
                <w:bCs/>
                <w:color w:val="auto"/>
                <w:spacing w:val="0"/>
                <w:w w:val="100"/>
                <w:position w:val="0"/>
                <w:sz w:val="21"/>
                <w:szCs w:val="21"/>
                <w:highlight w:val="none"/>
              </w:rPr>
              <w:t>行业系数表</w:t>
            </w:r>
          </w:p>
          <w:tbl>
            <w:tblPr>
              <w:tblStyle w:val="54"/>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16"/>
              <w:gridCol w:w="1071"/>
              <w:gridCol w:w="969"/>
              <w:gridCol w:w="1005"/>
              <w:gridCol w:w="1016"/>
              <w:gridCol w:w="1071"/>
              <w:gridCol w:w="1207"/>
            </w:tblGrid>
            <w:tr w14:paraId="37AD7F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48" w:type="pct"/>
                  <w:tcBorders>
                    <w:bottom w:val="single" w:color="000000" w:sz="12" w:space="0"/>
                  </w:tcBorders>
                  <w:vAlign w:val="center"/>
                </w:tcPr>
                <w:p w14:paraId="4D7BCB55">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原料名称</w:t>
                  </w:r>
                </w:p>
              </w:tc>
              <w:tc>
                <w:tcPr>
                  <w:tcW w:w="718" w:type="pct"/>
                  <w:tcBorders>
                    <w:bottom w:val="single" w:color="000000" w:sz="12" w:space="0"/>
                  </w:tcBorders>
                  <w:vAlign w:val="center"/>
                </w:tcPr>
                <w:p w14:paraId="161A4808">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产品名称</w:t>
                  </w:r>
                </w:p>
              </w:tc>
              <w:tc>
                <w:tcPr>
                  <w:tcW w:w="650" w:type="pct"/>
                  <w:tcBorders>
                    <w:bottom w:val="single" w:color="000000" w:sz="12" w:space="0"/>
                  </w:tcBorders>
                  <w:vAlign w:val="center"/>
                </w:tcPr>
                <w:p w14:paraId="652C8DD0">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工艺名称</w:t>
                  </w:r>
                </w:p>
              </w:tc>
              <w:tc>
                <w:tcPr>
                  <w:tcW w:w="674" w:type="pct"/>
                  <w:tcBorders>
                    <w:bottom w:val="single" w:color="000000" w:sz="12" w:space="0"/>
                  </w:tcBorders>
                  <w:vAlign w:val="center"/>
                </w:tcPr>
                <w:p w14:paraId="480CA58E">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规模等级</w:t>
                  </w:r>
                </w:p>
              </w:tc>
              <w:tc>
                <w:tcPr>
                  <w:tcW w:w="681" w:type="pct"/>
                  <w:tcBorders>
                    <w:bottom w:val="single" w:color="000000" w:sz="12" w:space="0"/>
                  </w:tcBorders>
                  <w:vAlign w:val="center"/>
                </w:tcPr>
                <w:p w14:paraId="6E1A080C">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污染物指标</w:t>
                  </w:r>
                </w:p>
              </w:tc>
              <w:tc>
                <w:tcPr>
                  <w:tcW w:w="718" w:type="pct"/>
                  <w:tcBorders>
                    <w:bottom w:val="single" w:color="000000" w:sz="12" w:space="0"/>
                  </w:tcBorders>
                  <w:vAlign w:val="center"/>
                </w:tcPr>
                <w:p w14:paraId="4505D4CF">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单位</w:t>
                  </w:r>
                </w:p>
              </w:tc>
              <w:tc>
                <w:tcPr>
                  <w:tcW w:w="809" w:type="pct"/>
                  <w:tcBorders>
                    <w:bottom w:val="single" w:color="000000" w:sz="12" w:space="0"/>
                  </w:tcBorders>
                  <w:vAlign w:val="center"/>
                </w:tcPr>
                <w:p w14:paraId="08B97E88">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b/>
                      <w:bCs/>
                      <w:color w:val="auto"/>
                      <w:spacing w:val="0"/>
                      <w:w w:val="100"/>
                      <w:position w:val="0"/>
                      <w:sz w:val="21"/>
                      <w:szCs w:val="21"/>
                      <w:highlight w:val="none"/>
                    </w:rPr>
                  </w:pPr>
                  <w:r>
                    <w:rPr>
                      <w:rFonts w:hint="default" w:ascii="Times New Roman" w:hAnsi="Times New Roman" w:cs="Times New Roman"/>
                      <w:b/>
                      <w:bCs/>
                      <w:color w:val="auto"/>
                      <w:spacing w:val="0"/>
                      <w:w w:val="100"/>
                      <w:position w:val="0"/>
                      <w:sz w:val="21"/>
                      <w:szCs w:val="21"/>
                      <w:highlight w:val="none"/>
                    </w:rPr>
                    <w:t>产排系数</w:t>
                  </w:r>
                </w:p>
              </w:tc>
            </w:tr>
            <w:tr w14:paraId="6F08D7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48" w:type="pct"/>
                  <w:tcBorders>
                    <w:top w:val="single" w:color="000000" w:sz="12" w:space="0"/>
                    <w:tl2br w:val="nil"/>
                    <w:tr2bl w:val="nil"/>
                  </w:tcBorders>
                  <w:vAlign w:val="center"/>
                </w:tcPr>
                <w:p w14:paraId="74CAEBE2">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w w:val="100"/>
                      <w:position w:val="0"/>
                      <w:sz w:val="21"/>
                      <w:szCs w:val="21"/>
                      <w:highlight w:val="none"/>
                    </w:rPr>
                  </w:pPr>
                  <w:r>
                    <w:rPr>
                      <w:rFonts w:hint="eastAsia" w:ascii="Times New Roman" w:hAnsi="Times New Roman" w:cs="Times New Roman"/>
                      <w:b/>
                      <w:bCs/>
                      <w:color w:val="auto"/>
                      <w:spacing w:val="0"/>
                      <w:w w:val="100"/>
                      <w:position w:val="0"/>
                      <w:sz w:val="21"/>
                      <w:szCs w:val="21"/>
                      <w:highlight w:val="none"/>
                      <w:lang w:val="en-US" w:eastAsia="zh-CN"/>
                    </w:rPr>
                    <w:t>塑料薄膜</w:t>
                  </w:r>
                </w:p>
              </w:tc>
              <w:tc>
                <w:tcPr>
                  <w:tcW w:w="718" w:type="pct"/>
                  <w:tcBorders>
                    <w:top w:val="single" w:color="000000" w:sz="12" w:space="0"/>
                    <w:tl2br w:val="nil"/>
                    <w:tr2bl w:val="nil"/>
                  </w:tcBorders>
                  <w:vAlign w:val="center"/>
                </w:tcPr>
                <w:p w14:paraId="5C6CE898">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树脂、助剂</w:t>
                  </w:r>
                </w:p>
              </w:tc>
              <w:tc>
                <w:tcPr>
                  <w:tcW w:w="650" w:type="pct"/>
                  <w:tcBorders>
                    <w:top w:val="single" w:color="000000" w:sz="12" w:space="0"/>
                    <w:tl2br w:val="nil"/>
                    <w:tr2bl w:val="nil"/>
                  </w:tcBorders>
                  <w:vAlign w:val="center"/>
                </w:tcPr>
                <w:p w14:paraId="6D82FE8E">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配料、混合、挤出</w:t>
                  </w:r>
                </w:p>
              </w:tc>
              <w:tc>
                <w:tcPr>
                  <w:tcW w:w="674" w:type="pct"/>
                  <w:tcBorders>
                    <w:top w:val="single" w:color="000000" w:sz="12" w:space="0"/>
                    <w:tl2br w:val="nil"/>
                    <w:tr2bl w:val="nil"/>
                  </w:tcBorders>
                  <w:vAlign w:val="center"/>
                </w:tcPr>
                <w:p w14:paraId="2A2127EA">
                  <w:pPr>
                    <w:pStyle w:val="63"/>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所有规模</w:t>
                  </w:r>
                </w:p>
              </w:tc>
              <w:tc>
                <w:tcPr>
                  <w:tcW w:w="681" w:type="pct"/>
                  <w:tcBorders>
                    <w:top w:val="single" w:color="000000" w:sz="12" w:space="0"/>
                    <w:tl2br w:val="nil"/>
                    <w:tr2bl w:val="nil"/>
                  </w:tcBorders>
                  <w:vAlign w:val="center"/>
                </w:tcPr>
                <w:p w14:paraId="5300D57A">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挥发性有机物</w:t>
                  </w:r>
                </w:p>
              </w:tc>
              <w:tc>
                <w:tcPr>
                  <w:tcW w:w="718" w:type="pct"/>
                  <w:tcBorders>
                    <w:top w:val="single" w:color="000000" w:sz="12" w:space="0"/>
                    <w:tl2br w:val="nil"/>
                    <w:tr2bl w:val="nil"/>
                  </w:tcBorders>
                  <w:vAlign w:val="center"/>
                </w:tcPr>
                <w:p w14:paraId="732BA061">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cs="Times New Roman"/>
                      <w:color w:val="auto"/>
                      <w:spacing w:val="0"/>
                      <w:w w:val="100"/>
                      <w:position w:val="0"/>
                      <w:sz w:val="21"/>
                      <w:szCs w:val="21"/>
                      <w:highlight w:val="none"/>
                    </w:rPr>
                  </w:pPr>
                  <w:r>
                    <w:rPr>
                      <w:rFonts w:hint="default" w:ascii="Times New Roman" w:hAnsi="Times New Roman" w:cs="Times New Roman"/>
                      <w:color w:val="auto"/>
                      <w:spacing w:val="0"/>
                      <w:w w:val="100"/>
                      <w:position w:val="0"/>
                      <w:sz w:val="21"/>
                      <w:szCs w:val="21"/>
                      <w:highlight w:val="none"/>
                    </w:rPr>
                    <w:t>千克/吨-产品</w:t>
                  </w:r>
                </w:p>
              </w:tc>
              <w:tc>
                <w:tcPr>
                  <w:tcW w:w="809" w:type="pct"/>
                  <w:tcBorders>
                    <w:top w:val="single" w:color="000000" w:sz="12" w:space="0"/>
                    <w:tl2br w:val="nil"/>
                    <w:tr2bl w:val="nil"/>
                  </w:tcBorders>
                  <w:vAlign w:val="center"/>
                </w:tcPr>
                <w:p w14:paraId="36D6D60E">
                  <w:pPr>
                    <w:pStyle w:val="63"/>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Calibri" w:cs="Times New Roman"/>
                      <w:color w:val="auto"/>
                      <w:spacing w:val="0"/>
                      <w:w w:val="100"/>
                      <w:position w:val="0"/>
                      <w:sz w:val="21"/>
                      <w:szCs w:val="21"/>
                      <w:highlight w:val="none"/>
                    </w:rPr>
                  </w:pPr>
                  <w:r>
                    <w:rPr>
                      <w:rFonts w:hint="eastAsia" w:ascii="Times New Roman" w:hAnsi="Times New Roman" w:eastAsia="宋体" w:cs="Times New Roman"/>
                      <w:color w:val="auto"/>
                      <w:spacing w:val="0"/>
                      <w:w w:val="100"/>
                      <w:position w:val="0"/>
                      <w:sz w:val="21"/>
                      <w:szCs w:val="21"/>
                      <w:highlight w:val="none"/>
                      <w:lang w:val="en-US" w:eastAsia="zh-CN"/>
                    </w:rPr>
                    <w:t>2</w:t>
                  </w:r>
                  <w:r>
                    <w:rPr>
                      <w:rFonts w:hint="default" w:ascii="Times New Roman" w:hAnsi="Times New Roman" w:cs="Times New Roman"/>
                      <w:color w:val="auto"/>
                      <w:spacing w:val="0"/>
                      <w:w w:val="100"/>
                      <w:position w:val="0"/>
                      <w:sz w:val="21"/>
                      <w:szCs w:val="21"/>
                      <w:highlight w:val="none"/>
                    </w:rPr>
                    <w:t>.5</w:t>
                  </w:r>
                </w:p>
              </w:tc>
            </w:tr>
          </w:tbl>
          <w:p w14:paraId="4F573FA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项目塑料薄膜生产过程中以聚乙烯树脂为原料，产品产量为</w:t>
            </w:r>
            <w:r>
              <w:rPr>
                <w:rFonts w:hint="default" w:ascii="Times New Roman" w:hAnsi="Times New Roman" w:cs="Times New Roman"/>
                <w:b w:val="0"/>
                <w:bCs w:val="0"/>
                <w:color w:val="auto"/>
                <w:sz w:val="24"/>
                <w:szCs w:val="24"/>
                <w:highlight w:val="none"/>
                <w:lang w:val="en-US" w:eastAsia="zh-CN"/>
              </w:rPr>
              <w:t>6000</w:t>
            </w:r>
            <w:r>
              <w:rPr>
                <w:rFonts w:hint="default" w:ascii="Times New Roman" w:hAnsi="Times New Roman" w:eastAsia="宋体" w:cs="Times New Roman"/>
                <w:b w:val="0"/>
                <w:bCs w:val="0"/>
                <w:color w:val="auto"/>
                <w:sz w:val="24"/>
                <w:szCs w:val="24"/>
                <w:highlight w:val="none"/>
                <w:lang w:val="en-US" w:eastAsia="zh-CN"/>
              </w:rPr>
              <w:t>t/a。因此本项目聚乙烯制品生产过程</w:t>
            </w:r>
            <w:r>
              <w:rPr>
                <w:rFonts w:hint="default" w:ascii="Times New Roman" w:hAnsi="Times New Roman" w:cs="Times New Roman"/>
                <w:b w:val="0"/>
                <w:bCs w:val="0"/>
                <w:color w:val="auto"/>
                <w:sz w:val="24"/>
                <w:szCs w:val="24"/>
                <w:highlight w:val="none"/>
                <w:lang w:val="en-US" w:eastAsia="zh-CN"/>
              </w:rPr>
              <w:t>VOCs（以非甲烷总烃计）</w:t>
            </w:r>
            <w:r>
              <w:rPr>
                <w:rFonts w:hint="default" w:ascii="Times New Roman" w:hAnsi="Times New Roman" w:eastAsia="宋体" w:cs="Times New Roman"/>
                <w:b w:val="0"/>
                <w:bCs w:val="0"/>
                <w:color w:val="auto"/>
                <w:sz w:val="24"/>
                <w:szCs w:val="24"/>
                <w:highlight w:val="none"/>
                <w:lang w:val="en-US" w:eastAsia="zh-CN"/>
              </w:rPr>
              <w:t>（以非甲烷总烃计）产生量为</w:t>
            </w:r>
            <w:r>
              <w:rPr>
                <w:rFonts w:hint="default" w:ascii="Times New Roman" w:hAnsi="Times New Roman" w:cs="Times New Roman"/>
                <w:b w:val="0"/>
                <w:bCs w:val="0"/>
                <w:color w:val="auto"/>
                <w:sz w:val="24"/>
                <w:szCs w:val="24"/>
                <w:highlight w:val="none"/>
                <w:lang w:val="en-US" w:eastAsia="zh-CN"/>
              </w:rPr>
              <w:t>15</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年生产300天，日工作8小时计，产生速率为</w:t>
            </w:r>
            <w:r>
              <w:rPr>
                <w:rFonts w:hint="default" w:ascii="Times New Roman" w:hAnsi="Times New Roman" w:cs="Times New Roman"/>
                <w:b w:val="0"/>
                <w:bCs w:val="0"/>
                <w:color w:val="auto"/>
                <w:sz w:val="24"/>
                <w:szCs w:val="24"/>
                <w:highlight w:val="none"/>
                <w:lang w:val="en-US" w:eastAsia="zh-CN"/>
              </w:rPr>
              <w:t>6.25</w:t>
            </w:r>
            <w:r>
              <w:rPr>
                <w:rFonts w:hint="default" w:ascii="Times New Roman" w:hAnsi="Times New Roman" w:eastAsia="宋体" w:cs="Times New Roman"/>
                <w:b w:val="0"/>
                <w:bCs w:val="0"/>
                <w:color w:val="auto"/>
                <w:sz w:val="24"/>
                <w:szCs w:val="24"/>
                <w:highlight w:val="none"/>
              </w:rPr>
              <w:t>kg/</w:t>
            </w:r>
            <w:r>
              <w:rPr>
                <w:rFonts w:hint="default" w:ascii="Times New Roman" w:hAnsi="Times New Roman" w:eastAsia="宋体" w:cs="Times New Roman"/>
                <w:b w:val="0"/>
                <w:bCs w:val="0"/>
                <w:color w:val="auto"/>
                <w:sz w:val="24"/>
                <w:szCs w:val="24"/>
                <w:highlight w:val="none"/>
                <w:lang w:val="en-US" w:eastAsia="zh-CN"/>
              </w:rPr>
              <w:t>h。</w:t>
            </w:r>
          </w:p>
          <w:p w14:paraId="056B657E">
            <w:pPr>
              <w:pStyle w:val="6"/>
              <w:keepNext/>
              <w:keepLines w:val="0"/>
              <w:pageBreakBefore w:val="0"/>
              <w:widowControl w:val="0"/>
              <w:tabs>
                <w:tab w:val="left" w:pos="425"/>
              </w:tabs>
              <w:kinsoku/>
              <w:wordWrap/>
              <w:overflowPunct/>
              <w:topLinePunct w:val="0"/>
              <w:autoSpaceDE/>
              <w:autoSpaceDN/>
              <w:bidi w:val="0"/>
              <w:adjustRightInd/>
              <w:snapToGrid w:val="0"/>
              <w:spacing w:before="0" w:after="0" w:line="360" w:lineRule="auto"/>
              <w:ind w:left="0" w:firstLine="480" w:firstLineChars="200"/>
              <w:textAlignment w:val="auto"/>
              <w:rPr>
                <w:rFonts w:hint="default" w:ascii="Times New Roman" w:hAnsi="Times New Roman" w:eastAsia="宋体" w:cs="Times New Roman"/>
                <w:b w:val="0"/>
                <w:bCs w:val="0"/>
                <w:color w:val="auto"/>
                <w:sz w:val="24"/>
                <w:szCs w:val="24"/>
                <w:highlight w:val="none"/>
                <w:vertAlign w:val="baseline"/>
                <w:lang w:val="en-US" w:eastAsia="zh-CN"/>
              </w:rPr>
            </w:pPr>
            <w:r>
              <w:rPr>
                <w:rFonts w:hint="default" w:ascii="Times New Roman" w:hAnsi="Times New Roman" w:eastAsia="宋体" w:cs="Times New Roman"/>
                <w:b w:val="0"/>
                <w:bCs w:val="0"/>
                <w:color w:val="auto"/>
                <w:sz w:val="24"/>
                <w:szCs w:val="24"/>
                <w:highlight w:val="none"/>
              </w:rPr>
              <w:t>本项目</w:t>
            </w:r>
            <w:r>
              <w:rPr>
                <w:rFonts w:hint="default" w:ascii="Times New Roman" w:hAnsi="Times New Roman" w:eastAsia="宋体" w:cs="Times New Roman"/>
                <w:b w:val="0"/>
                <w:bCs w:val="0"/>
                <w:color w:val="auto"/>
                <w:sz w:val="24"/>
                <w:szCs w:val="24"/>
                <w:highlight w:val="none"/>
                <w:lang w:eastAsia="zh-CN"/>
              </w:rPr>
              <w:t>要求改进处理工艺</w:t>
            </w:r>
            <w:r>
              <w:rPr>
                <w:rFonts w:hint="default" w:ascii="Times New Roman" w:hAnsi="Times New Roman" w:eastAsia="宋体" w:cs="Times New Roman"/>
                <w:b w:val="0"/>
                <w:bCs w:val="0"/>
                <w:color w:val="auto"/>
                <w:sz w:val="24"/>
                <w:szCs w:val="24"/>
                <w:highlight w:val="none"/>
              </w:rPr>
              <w:t>在</w:t>
            </w:r>
            <w:r>
              <w:rPr>
                <w:rFonts w:hint="default" w:ascii="Times New Roman" w:hAnsi="Times New Roman" w:eastAsia="宋体" w:cs="Times New Roman"/>
                <w:b w:val="0"/>
                <w:bCs w:val="0"/>
                <w:color w:val="auto"/>
                <w:sz w:val="24"/>
                <w:szCs w:val="24"/>
                <w:highlight w:val="none"/>
                <w:lang w:val="en-US" w:eastAsia="zh-CN"/>
              </w:rPr>
              <w:t>吹塑机上方</w:t>
            </w:r>
            <w:r>
              <w:rPr>
                <w:rFonts w:hint="default" w:ascii="Times New Roman" w:hAnsi="Times New Roman" w:eastAsia="宋体" w:cs="Times New Roman"/>
                <w:b w:val="0"/>
                <w:bCs w:val="0"/>
                <w:color w:val="auto"/>
                <w:sz w:val="24"/>
                <w:szCs w:val="24"/>
                <w:highlight w:val="none"/>
              </w:rPr>
              <w:t>设</w:t>
            </w:r>
            <w:r>
              <w:rPr>
                <w:rFonts w:hint="default" w:ascii="Times New Roman" w:hAnsi="Times New Roman" w:eastAsia="宋体" w:cs="Times New Roman"/>
                <w:b w:val="0"/>
                <w:bCs w:val="0"/>
                <w:color w:val="auto"/>
                <w:sz w:val="24"/>
                <w:szCs w:val="24"/>
                <w:highlight w:val="none"/>
                <w:lang w:val="en-US" w:eastAsia="zh-CN"/>
              </w:rPr>
              <w:t>置负压集气</w:t>
            </w:r>
            <w:r>
              <w:rPr>
                <w:rFonts w:hint="default" w:ascii="Times New Roman" w:hAnsi="Times New Roman" w:eastAsia="宋体" w:cs="Times New Roman"/>
                <w:b w:val="0"/>
                <w:bCs w:val="0"/>
                <w:color w:val="auto"/>
                <w:sz w:val="24"/>
                <w:szCs w:val="24"/>
                <w:highlight w:val="none"/>
              </w:rPr>
              <w:t>罩</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20个集气罩，收集效率为90%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，将</w:t>
            </w:r>
            <w:r>
              <w:rPr>
                <w:rFonts w:hint="default" w:ascii="Times New Roman" w:hAnsi="Times New Roman" w:eastAsia="宋体" w:cs="Times New Roman"/>
                <w:b w:val="0"/>
                <w:bCs w:val="0"/>
                <w:color w:val="auto"/>
                <w:sz w:val="24"/>
                <w:szCs w:val="24"/>
                <w:highlight w:val="none"/>
                <w:lang w:eastAsia="zh-CN"/>
              </w:rPr>
              <w:t>VOCs（以非甲烷总烃计）</w:t>
            </w:r>
            <w:r>
              <w:rPr>
                <w:rFonts w:hint="default" w:ascii="Times New Roman" w:hAnsi="Times New Roman" w:eastAsia="宋体" w:cs="Times New Roman"/>
                <w:b w:val="0"/>
                <w:bCs w:val="0"/>
                <w:color w:val="auto"/>
                <w:sz w:val="24"/>
                <w:szCs w:val="24"/>
                <w:highlight w:val="none"/>
              </w:rPr>
              <w:t>收集</w:t>
            </w:r>
            <w:r>
              <w:rPr>
                <w:rFonts w:hint="default" w:ascii="Times New Roman" w:hAnsi="Times New Roman" w:eastAsia="宋体" w:cs="Times New Roman"/>
                <w:b w:val="0"/>
                <w:bCs w:val="0"/>
                <w:color w:val="auto"/>
                <w:sz w:val="24"/>
                <w:szCs w:val="24"/>
                <w:highlight w:val="none"/>
                <w:lang w:val="en-US" w:eastAsia="zh-CN"/>
              </w:rPr>
              <w:t>并送</w:t>
            </w:r>
            <w:r>
              <w:rPr>
                <w:rFonts w:hint="default" w:ascii="Times New Roman" w:hAnsi="Times New Roman" w:eastAsia="宋体" w:cs="Times New Roman"/>
                <w:b w:val="0"/>
                <w:bCs w:val="0"/>
                <w:color w:val="auto"/>
                <w:sz w:val="24"/>
                <w:szCs w:val="24"/>
                <w:highlight w:val="none"/>
              </w:rPr>
              <w:t>至</w:t>
            </w:r>
            <w:r>
              <w:rPr>
                <w:rFonts w:hint="default" w:ascii="Times New Roman" w:hAnsi="Times New Roman" w:eastAsia="宋体" w:cs="Times New Roman"/>
                <w:b w:val="0"/>
                <w:bCs w:val="0"/>
                <w:color w:val="auto"/>
                <w:sz w:val="24"/>
                <w:szCs w:val="24"/>
                <w:highlight w:val="none"/>
                <w:lang w:val="en-US" w:eastAsia="zh-CN"/>
              </w:rPr>
              <w:t>活性炭吸附脱附+催化燃烧装置（RCO）</w:t>
            </w:r>
            <w:r>
              <w:rPr>
                <w:rFonts w:hint="eastAsia" w:ascii="Times New Roman" w:hAnsi="Times New Roman" w:eastAsia="宋体" w:cs="Times New Roman"/>
                <w:b w:val="0"/>
                <w:bCs w:val="0"/>
                <w:color w:val="auto"/>
                <w:sz w:val="24"/>
                <w:szCs w:val="24"/>
                <w:highlight w:val="none"/>
                <w:lang w:val="en-US" w:eastAsia="zh-CN"/>
              </w:rPr>
              <w:t>（处理效率：85%）</w:t>
            </w:r>
            <w:r>
              <w:rPr>
                <w:rFonts w:hint="default" w:ascii="Times New Roman" w:hAnsi="Times New Roman" w:eastAsia="宋体" w:cs="Times New Roman"/>
                <w:b w:val="0"/>
                <w:bCs w:val="0"/>
                <w:color w:val="auto"/>
                <w:sz w:val="24"/>
                <w:szCs w:val="24"/>
                <w:highlight w:val="none"/>
                <w:vertAlign w:val="baseline"/>
                <w:lang w:val="en-US" w:eastAsia="zh-CN"/>
              </w:rPr>
              <w:t>处理后经1根15m高排气筒</w:t>
            </w:r>
            <w:r>
              <w:rPr>
                <w:rFonts w:hint="default" w:ascii="Times New Roman" w:hAnsi="Times New Roman" w:cs="Times New Roman"/>
                <w:b w:val="0"/>
                <w:bCs w:val="0"/>
                <w:color w:val="auto"/>
                <w:sz w:val="24"/>
                <w:szCs w:val="22"/>
                <w:highlight w:val="none"/>
                <w:lang w:val="en-US" w:eastAsia="zh-CN"/>
              </w:rPr>
              <w:t>（DA003）</w:t>
            </w:r>
            <w:r>
              <w:rPr>
                <w:rFonts w:hint="default" w:ascii="Times New Roman" w:hAnsi="Times New Roman" w:eastAsia="宋体" w:cs="Times New Roman"/>
                <w:b w:val="0"/>
                <w:bCs w:val="0"/>
                <w:color w:val="auto"/>
                <w:sz w:val="24"/>
                <w:szCs w:val="24"/>
                <w:highlight w:val="none"/>
              </w:rPr>
              <w:t>有组织排放。</w:t>
            </w:r>
            <w:r>
              <w:rPr>
                <w:rFonts w:hint="default" w:ascii="Times New Roman" w:hAnsi="Times New Roman" w:eastAsia="宋体" w:cs="Times New Roman"/>
                <w:b w:val="0"/>
                <w:bCs w:val="0"/>
                <w:color w:val="auto"/>
                <w:sz w:val="24"/>
                <w:szCs w:val="24"/>
                <w:highlight w:val="none"/>
              </w:rPr>
              <w:t>设计风量为</w:t>
            </w:r>
            <w:r>
              <w:rPr>
                <w:rFonts w:hint="default" w:ascii="Times New Roman" w:hAnsi="Times New Roman" w:eastAsia="宋体" w:cs="Times New Roman"/>
                <w:b w:val="0"/>
                <w:bCs w:val="0"/>
                <w:color w:val="auto"/>
                <w:sz w:val="24"/>
                <w:szCs w:val="24"/>
                <w:highlight w:val="none"/>
                <w:lang w:val="en-US" w:eastAsia="zh-CN"/>
              </w:rPr>
              <w:t>40000</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rPr>
              <w:t>/h。</w:t>
            </w:r>
            <w:r>
              <w:rPr>
                <w:rFonts w:hint="default" w:ascii="Times New Roman" w:hAnsi="Times New Roman" w:eastAsia="宋体" w:cs="Times New Roman"/>
                <w:b w:val="0"/>
                <w:bCs w:val="0"/>
                <w:color w:val="auto"/>
                <w:sz w:val="24"/>
                <w:szCs w:val="24"/>
                <w:highlight w:val="none"/>
                <w:lang w:val="en-US" w:eastAsia="zh-CN"/>
              </w:rPr>
              <w:t>经处理后有组织排放量为2.025</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排放速率为0.844</w:t>
            </w:r>
            <w:r>
              <w:rPr>
                <w:rFonts w:hint="default" w:ascii="Times New Roman" w:hAnsi="Times New Roman" w:eastAsia="宋体" w:cs="Times New Roman"/>
                <w:b w:val="0"/>
                <w:bCs w:val="0"/>
                <w:color w:val="auto"/>
                <w:sz w:val="24"/>
                <w:szCs w:val="24"/>
                <w:highlight w:val="none"/>
              </w:rPr>
              <w:t>kg/</w:t>
            </w:r>
            <w:r>
              <w:rPr>
                <w:rFonts w:hint="default" w:ascii="Times New Roman" w:hAnsi="Times New Roman" w:eastAsia="宋体" w:cs="Times New Roman"/>
                <w:b w:val="0"/>
                <w:bCs w:val="0"/>
                <w:color w:val="auto"/>
                <w:sz w:val="24"/>
                <w:szCs w:val="24"/>
                <w:highlight w:val="none"/>
                <w:lang w:val="en-US" w:eastAsia="zh-CN"/>
              </w:rPr>
              <w:t>h，排放浓度为21.094mg/m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vertAlign w:val="baseline"/>
                <w:lang w:val="en-US" w:eastAsia="zh-CN"/>
              </w:rPr>
              <w:t>。非甲烷总烃</w:t>
            </w:r>
            <w:r>
              <w:rPr>
                <w:rFonts w:hint="default" w:ascii="Times New Roman" w:hAnsi="Times New Roman" w:eastAsia="宋体" w:cs="Times New Roman"/>
                <w:b w:val="0"/>
                <w:bCs w:val="0"/>
                <w:color w:val="auto"/>
                <w:sz w:val="24"/>
                <w:szCs w:val="24"/>
                <w:highlight w:val="none"/>
                <w:lang w:val="en-US" w:eastAsia="zh-CN"/>
              </w:rPr>
              <w:t>满足</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合成树脂工业污染物排放标准</w:t>
            </w:r>
            <w:r>
              <w:rPr>
                <w:rFonts w:hint="default" w:ascii="Times New Roman" w:hAnsi="Times New Roman" w:eastAsia="宋体" w:cs="Times New Roman"/>
                <w:b w:val="0"/>
                <w:bCs w:val="0"/>
                <w:color w:val="auto"/>
                <w:sz w:val="24"/>
                <w:szCs w:val="24"/>
                <w:highlight w:val="none"/>
              </w:rPr>
              <w:t>》（GB</w:t>
            </w:r>
            <w:r>
              <w:rPr>
                <w:rFonts w:hint="default" w:ascii="Times New Roman" w:hAnsi="Times New Roman" w:eastAsia="宋体" w:cs="Times New Roman"/>
                <w:b w:val="0"/>
                <w:bCs w:val="0"/>
                <w:color w:val="auto"/>
                <w:sz w:val="24"/>
                <w:szCs w:val="24"/>
                <w:highlight w:val="none"/>
                <w:lang w:val="en-US" w:eastAsia="zh-CN"/>
              </w:rPr>
              <w:t>31572-2015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表5特别排放限值（60mg/m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w:t>
            </w:r>
          </w:p>
          <w:p w14:paraId="2C2C0B01">
            <w:pPr>
              <w:pStyle w:val="6"/>
              <w:keepNext/>
              <w:keepLines w:val="0"/>
              <w:pageBreakBefore w:val="0"/>
              <w:widowControl w:val="0"/>
              <w:tabs>
                <w:tab w:val="left" w:pos="425"/>
              </w:tabs>
              <w:kinsoku/>
              <w:wordWrap/>
              <w:overflowPunct/>
              <w:topLinePunct w:val="0"/>
              <w:autoSpaceDE/>
              <w:autoSpaceDN/>
              <w:bidi w:val="0"/>
              <w:adjustRightInd/>
              <w:snapToGrid w:val="0"/>
              <w:spacing w:before="0" w:after="0" w:line="360" w:lineRule="auto"/>
              <w:ind w:left="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vertAlign w:val="baseline"/>
                <w:lang w:val="en-US" w:eastAsia="zh-CN"/>
              </w:rPr>
              <w:t>未被收集非甲烷总烃呈无组织排放，无组织排放量为1.5</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排放速率为0.625</w:t>
            </w:r>
            <w:r>
              <w:rPr>
                <w:rFonts w:hint="default" w:ascii="Times New Roman" w:hAnsi="Times New Roman" w:eastAsia="宋体" w:cs="Times New Roman"/>
                <w:b w:val="0"/>
                <w:bCs w:val="0"/>
                <w:color w:val="auto"/>
                <w:sz w:val="24"/>
                <w:szCs w:val="24"/>
                <w:highlight w:val="none"/>
              </w:rPr>
              <w:t>kg/</w:t>
            </w:r>
            <w:r>
              <w:rPr>
                <w:rFonts w:hint="default" w:ascii="Times New Roman" w:hAnsi="Times New Roman" w:eastAsia="宋体" w:cs="Times New Roman"/>
                <w:b w:val="0"/>
                <w:bCs w:val="0"/>
                <w:color w:val="auto"/>
                <w:sz w:val="24"/>
                <w:szCs w:val="24"/>
                <w:highlight w:val="none"/>
                <w:lang w:val="en-US" w:eastAsia="zh-CN"/>
              </w:rPr>
              <w:t>h</w:t>
            </w:r>
            <w:r>
              <w:rPr>
                <w:rFonts w:hint="default" w:ascii="Times New Roman" w:hAnsi="Times New Roman" w:eastAsia="宋体" w:cs="Times New Roman"/>
                <w:b w:val="0"/>
                <w:bCs w:val="0"/>
                <w:color w:val="auto"/>
                <w:sz w:val="24"/>
                <w:szCs w:val="24"/>
                <w:highlight w:val="none"/>
                <w:vertAlign w:val="baseline"/>
                <w:lang w:val="en-US" w:eastAsia="zh-CN"/>
              </w:rPr>
              <w:t>；由于无组织排放量较小，在加强车间通风条件下，</w:t>
            </w:r>
            <w:r>
              <w:rPr>
                <w:rFonts w:hint="default" w:ascii="Times New Roman" w:hAnsi="Times New Roman" w:eastAsia="宋体" w:cs="Times New Roman"/>
                <w:b w:val="0"/>
                <w:bCs w:val="0"/>
                <w:color w:val="auto"/>
                <w:sz w:val="24"/>
                <w:szCs w:val="24"/>
                <w:highlight w:val="none"/>
                <w:vertAlign w:val="baseline"/>
                <w:lang w:val="en-US" w:eastAsia="zh-CN"/>
              </w:rPr>
              <w:t>厂界任意边界</w:t>
            </w:r>
            <w:r>
              <w:rPr>
                <w:rFonts w:hint="default" w:ascii="Times New Roman" w:hAnsi="Times New Roman" w:eastAsia="宋体" w:cs="Times New Roman"/>
                <w:b w:val="0"/>
                <w:bCs w:val="0"/>
                <w:color w:val="auto"/>
                <w:sz w:val="24"/>
                <w:szCs w:val="24"/>
                <w:highlight w:val="none"/>
                <w:vertAlign w:val="baseline"/>
                <w:lang w:val="en-US" w:eastAsia="zh-CN"/>
              </w:rPr>
              <w:t>非甲烷总烃</w:t>
            </w:r>
            <w:r>
              <w:rPr>
                <w:rFonts w:hint="default" w:ascii="Times New Roman" w:hAnsi="Times New Roman" w:eastAsia="宋体" w:cs="Times New Roman"/>
                <w:b w:val="0"/>
                <w:bCs w:val="0"/>
                <w:color w:val="auto"/>
                <w:sz w:val="24"/>
                <w:szCs w:val="24"/>
                <w:highlight w:val="none"/>
                <w:lang w:val="en-US" w:eastAsia="zh-CN"/>
              </w:rPr>
              <w:t>满足</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合成树脂工业污染物排放标准</w:t>
            </w:r>
            <w:r>
              <w:rPr>
                <w:rFonts w:hint="default" w:ascii="Times New Roman" w:hAnsi="Times New Roman" w:eastAsia="宋体" w:cs="Times New Roman"/>
                <w:b w:val="0"/>
                <w:bCs w:val="0"/>
                <w:color w:val="auto"/>
                <w:sz w:val="24"/>
                <w:szCs w:val="24"/>
                <w:highlight w:val="none"/>
              </w:rPr>
              <w:t>》（GB</w:t>
            </w:r>
            <w:r>
              <w:rPr>
                <w:rFonts w:hint="default" w:ascii="Times New Roman" w:hAnsi="Times New Roman" w:eastAsia="宋体" w:cs="Times New Roman"/>
                <w:b w:val="0"/>
                <w:bCs w:val="0"/>
                <w:color w:val="auto"/>
                <w:sz w:val="24"/>
                <w:szCs w:val="24"/>
                <w:highlight w:val="none"/>
                <w:lang w:val="en-US" w:eastAsia="zh-CN"/>
              </w:rPr>
              <w:t>31572-2015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表9无组织排放限值（4.0mg/m</w:t>
            </w:r>
            <w:r>
              <w:rPr>
                <w:rFonts w:hint="default" w:ascii="Times New Roman" w:hAnsi="Times New Roman" w:eastAsia="宋体" w:cs="Times New Roman"/>
                <w:b w:val="0"/>
                <w:bCs w:val="0"/>
                <w:color w:val="auto"/>
                <w:sz w:val="24"/>
                <w:szCs w:val="24"/>
                <w:highlight w:val="none"/>
                <w:vertAlign w:val="superscript"/>
                <w:lang w:val="en-US" w:eastAsia="zh-CN"/>
              </w:rPr>
              <w:t>3</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厂房外VOCs（以非甲烷总烃计）符合</w:t>
            </w:r>
            <w:r>
              <w:rPr>
                <w:rFonts w:hint="default" w:ascii="Times New Roman" w:hAnsi="Times New Roman" w:eastAsia="宋体" w:cs="Times New Roman"/>
                <w:b w:val="0"/>
                <w:bCs w:val="0"/>
                <w:color w:val="auto"/>
                <w:sz w:val="24"/>
                <w:szCs w:val="24"/>
                <w:highlight w:val="none"/>
                <w:lang w:val="en-US" w:eastAsia="zh-CN"/>
              </w:rPr>
              <w:t>《挥发性有机物无组织排放控制标准》（GB37822-2019）中厂房外VOCs（以非甲烷总烃计）无组织排放限值监控点处1h平均浓度值6mg/m³的要求，对大气环境影响较小。</w:t>
            </w:r>
          </w:p>
          <w:p w14:paraId="48A47DF3">
            <w:pPr>
              <w:spacing w:line="218" w:lineRule="auto"/>
              <w:ind w:left="505"/>
              <w:rPr>
                <w:rFonts w:hint="default" w:ascii="Times New Roman" w:hAnsi="Times New Roman" w:eastAsia="Times New Roman"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本项目大气污染物排放情况见表</w:t>
            </w:r>
            <w:r>
              <w:rPr>
                <w:rFonts w:hint="default" w:ascii="Times New Roman" w:hAnsi="Times New Roman" w:eastAsia="宋体" w:cs="Times New Roman"/>
                <w:color w:val="auto"/>
                <w:spacing w:val="-55"/>
                <w:sz w:val="24"/>
                <w:szCs w:val="24"/>
                <w:highlight w:val="none"/>
              </w:rPr>
              <w:t xml:space="preserve"> </w:t>
            </w:r>
            <w:r>
              <w:rPr>
                <w:rFonts w:hint="default" w:ascii="Times New Roman" w:hAnsi="Times New Roman" w:eastAsia="Times New Roman" w:cs="Times New Roman"/>
                <w:color w:val="auto"/>
                <w:spacing w:val="-1"/>
                <w:sz w:val="24"/>
                <w:szCs w:val="24"/>
                <w:highlight w:val="none"/>
              </w:rPr>
              <w:t>4-1</w:t>
            </w:r>
          </w:p>
          <w:p w14:paraId="2847D59D">
            <w:pPr>
              <w:spacing w:before="179" w:line="222"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b/>
                <w:bCs/>
                <w:color w:val="auto"/>
                <w:spacing w:val="6"/>
                <w:sz w:val="20"/>
                <w:szCs w:val="20"/>
                <w:highlight w:val="none"/>
              </w:rPr>
              <w:t>表</w:t>
            </w:r>
            <w:r>
              <w:rPr>
                <w:rFonts w:hint="default" w:ascii="Times New Roman" w:hAnsi="Times New Roman" w:eastAsia="宋体" w:cs="Times New Roman"/>
                <w:color w:val="auto"/>
                <w:spacing w:val="-24"/>
                <w:sz w:val="20"/>
                <w:szCs w:val="20"/>
                <w:highlight w:val="none"/>
              </w:rPr>
              <w:t xml:space="preserve"> </w:t>
            </w:r>
            <w:r>
              <w:rPr>
                <w:rFonts w:hint="default" w:ascii="Times New Roman" w:hAnsi="Times New Roman" w:eastAsia="Times New Roman" w:cs="Times New Roman"/>
                <w:b/>
                <w:bCs/>
                <w:color w:val="auto"/>
                <w:spacing w:val="6"/>
                <w:sz w:val="20"/>
                <w:szCs w:val="20"/>
                <w:highlight w:val="none"/>
              </w:rPr>
              <w:t xml:space="preserve">4-1  </w:t>
            </w:r>
            <w:r>
              <w:rPr>
                <w:rFonts w:hint="default" w:ascii="Times New Roman" w:hAnsi="Times New Roman" w:eastAsia="宋体" w:cs="Times New Roman"/>
                <w:b/>
                <w:bCs/>
                <w:color w:val="auto"/>
                <w:spacing w:val="6"/>
                <w:sz w:val="20"/>
                <w:szCs w:val="20"/>
                <w:highlight w:val="none"/>
              </w:rPr>
              <w:t>本项目大气污染物排放情况一览表</w:t>
            </w:r>
          </w:p>
          <w:tbl>
            <w:tblPr>
              <w:tblStyle w:val="54"/>
              <w:tblW w:w="49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24"/>
              <w:gridCol w:w="806"/>
              <w:gridCol w:w="705"/>
              <w:gridCol w:w="1177"/>
              <w:gridCol w:w="2141"/>
              <w:gridCol w:w="749"/>
              <w:gridCol w:w="1181"/>
            </w:tblGrid>
            <w:tr w14:paraId="00A1B0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20" w:type="dxa"/>
                  <w:tcBorders>
                    <w:bottom w:val="single" w:color="000000" w:sz="12" w:space="0"/>
                  </w:tcBorders>
                  <w:vAlign w:val="center"/>
                </w:tcPr>
                <w:p w14:paraId="0FC4DD0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排放形式</w:t>
                  </w:r>
                </w:p>
              </w:tc>
              <w:tc>
                <w:tcPr>
                  <w:tcW w:w="802" w:type="dxa"/>
                  <w:tcBorders>
                    <w:bottom w:val="single" w:color="000000" w:sz="12" w:space="0"/>
                  </w:tcBorders>
                  <w:vAlign w:val="center"/>
                </w:tcPr>
                <w:p w14:paraId="3B193F5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污染物</w:t>
                  </w:r>
                </w:p>
              </w:tc>
              <w:tc>
                <w:tcPr>
                  <w:tcW w:w="701" w:type="dxa"/>
                  <w:tcBorders>
                    <w:bottom w:val="single" w:color="000000" w:sz="12" w:space="0"/>
                  </w:tcBorders>
                  <w:vAlign w:val="center"/>
                </w:tcPr>
                <w:p w14:paraId="7768938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产生量</w:t>
                  </w:r>
                  <w:r>
                    <w:rPr>
                      <w:rFonts w:hint="default" w:ascii="Times New Roman" w:hAnsi="Times New Roman" w:eastAsia="宋体" w:cs="Times New Roman"/>
                      <w:b/>
                      <w:bCs/>
                      <w:color w:val="auto"/>
                      <w:spacing w:val="-1"/>
                      <w:sz w:val="21"/>
                      <w:szCs w:val="21"/>
                      <w:highlight w:val="none"/>
                    </w:rPr>
                    <w:t>（</w:t>
                  </w:r>
                  <w:r>
                    <w:rPr>
                      <w:rFonts w:hint="default" w:ascii="Times New Roman" w:hAnsi="Times New Roman" w:eastAsia="Times New Roman" w:cs="Times New Roman"/>
                      <w:b/>
                      <w:bCs/>
                      <w:color w:val="auto"/>
                      <w:spacing w:val="-1"/>
                      <w:sz w:val="21"/>
                      <w:szCs w:val="21"/>
                      <w:highlight w:val="none"/>
                    </w:rPr>
                    <w:t>t/a</w:t>
                  </w:r>
                  <w:r>
                    <w:rPr>
                      <w:rFonts w:hint="default" w:ascii="Times New Roman" w:hAnsi="Times New Roman" w:eastAsia="宋体" w:cs="Times New Roman"/>
                      <w:b/>
                      <w:bCs/>
                      <w:color w:val="auto"/>
                      <w:spacing w:val="-1"/>
                      <w:sz w:val="21"/>
                      <w:szCs w:val="21"/>
                      <w:highlight w:val="none"/>
                    </w:rPr>
                    <w:t>）</w:t>
                  </w:r>
                </w:p>
              </w:tc>
              <w:tc>
                <w:tcPr>
                  <w:tcW w:w="1171" w:type="dxa"/>
                  <w:tcBorders>
                    <w:bottom w:val="single" w:color="000000" w:sz="12" w:space="0"/>
                  </w:tcBorders>
                  <w:vAlign w:val="center"/>
                </w:tcPr>
                <w:p w14:paraId="0BFC0633">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产生浓度</w:t>
                  </w:r>
                  <w:r>
                    <w:rPr>
                      <w:rFonts w:hint="default" w:ascii="Times New Roman" w:hAnsi="Times New Roman" w:eastAsia="宋体" w:cs="Times New Roman"/>
                      <w:b/>
                      <w:bCs/>
                      <w:color w:val="auto"/>
                      <w:spacing w:val="3"/>
                      <w:sz w:val="21"/>
                      <w:szCs w:val="21"/>
                      <w:highlight w:val="none"/>
                    </w:rPr>
                    <w:t>（</w:t>
                  </w:r>
                  <w:r>
                    <w:rPr>
                      <w:rFonts w:hint="default" w:ascii="Times New Roman" w:hAnsi="Times New Roman" w:eastAsia="Times New Roman" w:cs="Times New Roman"/>
                      <w:b/>
                      <w:bCs/>
                      <w:color w:val="auto"/>
                      <w:sz w:val="21"/>
                      <w:szCs w:val="21"/>
                      <w:highlight w:val="none"/>
                    </w:rPr>
                    <w:t>mg</w:t>
                  </w:r>
                  <w:r>
                    <w:rPr>
                      <w:rFonts w:hint="default" w:ascii="Times New Roman" w:hAnsi="Times New Roman" w:eastAsia="Times New Roman" w:cs="Times New Roman"/>
                      <w:b/>
                      <w:bCs/>
                      <w:color w:val="auto"/>
                      <w:spacing w:val="3"/>
                      <w:sz w:val="21"/>
                      <w:szCs w:val="21"/>
                      <w:highlight w:val="none"/>
                    </w:rPr>
                    <w:t>/m</w:t>
                  </w:r>
                  <w:r>
                    <w:rPr>
                      <w:rFonts w:hint="default" w:ascii="Times New Roman" w:hAnsi="Times New Roman" w:eastAsia="宋体" w:cs="Times New Roman"/>
                      <w:b/>
                      <w:bCs/>
                      <w:color w:val="auto"/>
                      <w:spacing w:val="3"/>
                      <w:sz w:val="21"/>
                      <w:szCs w:val="21"/>
                      <w:highlight w:val="none"/>
                      <w:vertAlign w:val="superscript"/>
                      <w:lang w:val="en-US" w:eastAsia="zh-CN"/>
                    </w:rPr>
                    <w:t>3</w:t>
                  </w:r>
                  <w:r>
                    <w:rPr>
                      <w:rFonts w:hint="default" w:ascii="Times New Roman" w:hAnsi="Times New Roman" w:eastAsia="宋体" w:cs="Times New Roman"/>
                      <w:b/>
                      <w:bCs/>
                      <w:color w:val="auto"/>
                      <w:spacing w:val="3"/>
                      <w:sz w:val="21"/>
                      <w:szCs w:val="21"/>
                      <w:highlight w:val="none"/>
                    </w:rPr>
                    <w:t>）</w:t>
                  </w:r>
                </w:p>
              </w:tc>
              <w:tc>
                <w:tcPr>
                  <w:tcW w:w="2129" w:type="dxa"/>
                  <w:tcBorders>
                    <w:bottom w:val="single" w:color="000000" w:sz="12" w:space="0"/>
                  </w:tcBorders>
                  <w:vAlign w:val="center"/>
                </w:tcPr>
                <w:p w14:paraId="709EBFE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处理措施</w:t>
                  </w:r>
                </w:p>
              </w:tc>
              <w:tc>
                <w:tcPr>
                  <w:tcW w:w="745" w:type="dxa"/>
                  <w:tcBorders>
                    <w:bottom w:val="single" w:color="000000" w:sz="12" w:space="0"/>
                  </w:tcBorders>
                  <w:vAlign w:val="center"/>
                </w:tcPr>
                <w:p w14:paraId="2145CD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排放量</w:t>
                  </w:r>
                  <w:r>
                    <w:rPr>
                      <w:rFonts w:hint="default" w:ascii="Times New Roman" w:hAnsi="Times New Roman" w:eastAsia="宋体" w:cs="Times New Roman"/>
                      <w:b/>
                      <w:bCs/>
                      <w:color w:val="auto"/>
                      <w:spacing w:val="-1"/>
                      <w:sz w:val="21"/>
                      <w:szCs w:val="21"/>
                      <w:highlight w:val="none"/>
                    </w:rPr>
                    <w:t>（</w:t>
                  </w:r>
                  <w:r>
                    <w:rPr>
                      <w:rFonts w:hint="default" w:ascii="Times New Roman" w:hAnsi="Times New Roman" w:eastAsia="Times New Roman" w:cs="Times New Roman"/>
                      <w:b/>
                      <w:bCs/>
                      <w:color w:val="auto"/>
                      <w:spacing w:val="-1"/>
                      <w:sz w:val="21"/>
                      <w:szCs w:val="21"/>
                      <w:highlight w:val="none"/>
                    </w:rPr>
                    <w:t>t/a</w:t>
                  </w:r>
                  <w:r>
                    <w:rPr>
                      <w:rFonts w:hint="default" w:ascii="Times New Roman" w:hAnsi="Times New Roman" w:eastAsia="宋体" w:cs="Times New Roman"/>
                      <w:b/>
                      <w:bCs/>
                      <w:color w:val="auto"/>
                      <w:spacing w:val="-1"/>
                      <w:sz w:val="21"/>
                      <w:szCs w:val="21"/>
                      <w:highlight w:val="none"/>
                    </w:rPr>
                    <w:t>）</w:t>
                  </w:r>
                </w:p>
              </w:tc>
              <w:tc>
                <w:tcPr>
                  <w:tcW w:w="1174" w:type="dxa"/>
                  <w:tcBorders>
                    <w:bottom w:val="single" w:color="000000" w:sz="12" w:space="0"/>
                  </w:tcBorders>
                  <w:vAlign w:val="center"/>
                </w:tcPr>
                <w:p w14:paraId="7140528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排放浓度</w:t>
                  </w:r>
                  <w:r>
                    <w:rPr>
                      <w:rFonts w:hint="default" w:ascii="Times New Roman" w:hAnsi="Times New Roman" w:eastAsia="宋体" w:cs="Times New Roman"/>
                      <w:b/>
                      <w:bCs/>
                      <w:color w:val="auto"/>
                      <w:spacing w:val="2"/>
                      <w:sz w:val="21"/>
                      <w:szCs w:val="21"/>
                      <w:highlight w:val="none"/>
                    </w:rPr>
                    <w:t>（</w:t>
                  </w:r>
                  <w:r>
                    <w:rPr>
                      <w:rFonts w:hint="default" w:ascii="Times New Roman" w:hAnsi="Times New Roman" w:eastAsia="Times New Roman" w:cs="Times New Roman"/>
                      <w:b/>
                      <w:bCs/>
                      <w:color w:val="auto"/>
                      <w:sz w:val="21"/>
                      <w:szCs w:val="21"/>
                      <w:highlight w:val="none"/>
                    </w:rPr>
                    <w:t>mg</w:t>
                  </w:r>
                  <w:r>
                    <w:rPr>
                      <w:rFonts w:hint="default" w:ascii="Times New Roman" w:hAnsi="Times New Roman" w:eastAsia="Times New Roman" w:cs="Times New Roman"/>
                      <w:b/>
                      <w:bCs/>
                      <w:color w:val="auto"/>
                      <w:spacing w:val="2"/>
                      <w:sz w:val="21"/>
                      <w:szCs w:val="21"/>
                      <w:highlight w:val="none"/>
                    </w:rPr>
                    <w:t>/m</w:t>
                  </w:r>
                  <w:r>
                    <w:rPr>
                      <w:rFonts w:hint="default" w:ascii="Times New Roman" w:hAnsi="Times New Roman" w:eastAsia="宋体" w:cs="Times New Roman"/>
                      <w:b/>
                      <w:bCs/>
                      <w:color w:val="auto"/>
                      <w:spacing w:val="2"/>
                      <w:sz w:val="21"/>
                      <w:szCs w:val="21"/>
                      <w:highlight w:val="none"/>
                      <w:vertAlign w:val="superscript"/>
                      <w:lang w:val="en-US" w:eastAsia="zh-CN"/>
                    </w:rPr>
                    <w:t>3</w:t>
                  </w:r>
                  <w:r>
                    <w:rPr>
                      <w:rFonts w:hint="default" w:ascii="Times New Roman" w:hAnsi="Times New Roman" w:eastAsia="宋体" w:cs="Times New Roman"/>
                      <w:b/>
                      <w:bCs/>
                      <w:color w:val="auto"/>
                      <w:spacing w:val="2"/>
                      <w:sz w:val="21"/>
                      <w:szCs w:val="21"/>
                      <w:highlight w:val="none"/>
                    </w:rPr>
                    <w:t>）</w:t>
                  </w:r>
                </w:p>
              </w:tc>
            </w:tr>
            <w:tr w14:paraId="0351C5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20" w:type="dxa"/>
                  <w:tcBorders>
                    <w:top w:val="single" w:color="000000" w:sz="12" w:space="0"/>
                    <w:tl2br w:val="nil"/>
                    <w:tr2bl w:val="nil"/>
                  </w:tcBorders>
                  <w:vAlign w:val="center"/>
                </w:tcPr>
                <w:p w14:paraId="52A3D6F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有组织</w:t>
                  </w:r>
                </w:p>
              </w:tc>
              <w:tc>
                <w:tcPr>
                  <w:tcW w:w="802" w:type="dxa"/>
                  <w:tcBorders>
                    <w:top w:val="single" w:color="000000" w:sz="12" w:space="0"/>
                    <w:tl2br w:val="nil"/>
                    <w:tr2bl w:val="nil"/>
                  </w:tcBorders>
                  <w:vAlign w:val="center"/>
                </w:tcPr>
                <w:p w14:paraId="047F7D2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有组织</w:t>
                  </w:r>
                  <w:r>
                    <w:rPr>
                      <w:rFonts w:hint="default" w:ascii="Times New Roman" w:hAnsi="Times New Roman" w:eastAsia="宋体" w:cs="Times New Roman"/>
                      <w:color w:val="auto"/>
                      <w:spacing w:val="5"/>
                      <w:sz w:val="21"/>
                      <w:szCs w:val="21"/>
                      <w:highlight w:val="none"/>
                    </w:rPr>
                    <w:t>非甲烷</w:t>
                  </w:r>
                  <w:r>
                    <w:rPr>
                      <w:rFonts w:hint="default" w:ascii="Times New Roman" w:hAnsi="Times New Roman" w:eastAsia="宋体" w:cs="Times New Roman"/>
                      <w:color w:val="auto"/>
                      <w:spacing w:val="2"/>
                      <w:sz w:val="21"/>
                      <w:szCs w:val="21"/>
                      <w:highlight w:val="none"/>
                    </w:rPr>
                    <w:t>总烃</w:t>
                  </w:r>
                </w:p>
              </w:tc>
              <w:tc>
                <w:tcPr>
                  <w:tcW w:w="701" w:type="dxa"/>
                  <w:tcBorders>
                    <w:top w:val="single" w:color="000000" w:sz="12" w:space="0"/>
                    <w:tl2br w:val="nil"/>
                    <w:tr2bl w:val="nil"/>
                  </w:tcBorders>
                  <w:vAlign w:val="center"/>
                </w:tcPr>
                <w:p w14:paraId="20557CC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171" w:type="dxa"/>
                  <w:tcBorders>
                    <w:top w:val="single" w:color="000000" w:sz="12" w:space="0"/>
                    <w:tl2br w:val="nil"/>
                    <w:tr2bl w:val="nil"/>
                  </w:tcBorders>
                  <w:vAlign w:val="center"/>
                </w:tcPr>
                <w:p w14:paraId="146C3C0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pacing w:val="1"/>
                      <w:sz w:val="21"/>
                      <w:szCs w:val="21"/>
                      <w:highlight w:val="none"/>
                      <w:lang w:val="en-US" w:eastAsia="zh-CN"/>
                    </w:rPr>
                    <w:t>/</w:t>
                  </w:r>
                </w:p>
              </w:tc>
              <w:tc>
                <w:tcPr>
                  <w:tcW w:w="2129" w:type="dxa"/>
                  <w:tcBorders>
                    <w:top w:val="single" w:color="000000" w:sz="12" w:space="0"/>
                    <w:tl2br w:val="nil"/>
                    <w:tr2bl w:val="nil"/>
                  </w:tcBorders>
                  <w:vAlign w:val="center"/>
                </w:tcPr>
                <w:p w14:paraId="5B3212C5">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6"/>
                      <w:sz w:val="21"/>
                      <w:szCs w:val="21"/>
                      <w:highlight w:val="none"/>
                      <w:lang w:val="en-US" w:eastAsia="zh-CN"/>
                    </w:rPr>
                    <w:t>集气罩</w:t>
                  </w:r>
                  <w:r>
                    <w:rPr>
                      <w:rFonts w:hint="default" w:ascii="Times New Roman" w:hAnsi="Times New Roman" w:eastAsia="宋体" w:cs="Times New Roman"/>
                      <w:color w:val="auto"/>
                      <w:spacing w:val="6"/>
                      <w:sz w:val="21"/>
                      <w:szCs w:val="21"/>
                      <w:highlight w:val="none"/>
                    </w:rPr>
                    <w:t>收集</w:t>
                  </w:r>
                  <w:r>
                    <w:rPr>
                      <w:rFonts w:hint="default" w:ascii="Times New Roman" w:hAnsi="Times New Roman" w:eastAsia="Times New Roman" w:cs="Times New Roman"/>
                      <w:color w:val="auto"/>
                      <w:spacing w:val="6"/>
                      <w:sz w:val="21"/>
                      <w:szCs w:val="21"/>
                      <w:highlight w:val="none"/>
                    </w:rPr>
                    <w:t>+</w:t>
                  </w:r>
                  <w:r>
                    <w:rPr>
                      <w:rFonts w:hint="default" w:ascii="Times New Roman" w:hAnsi="Times New Roman" w:cs="Times New Roman"/>
                      <w:color w:val="auto"/>
                      <w:spacing w:val="6"/>
                      <w:sz w:val="21"/>
                      <w:szCs w:val="21"/>
                      <w:highlight w:val="none"/>
                      <w:lang w:eastAsia="zh-CN"/>
                    </w:rPr>
                    <w:t>活性炭吸附脱附+催化燃烧装置</w:t>
                  </w:r>
                  <w:r>
                    <w:rPr>
                      <w:rFonts w:hint="default" w:ascii="Times New Roman" w:hAnsi="Times New Roman" w:eastAsia="Times New Roman" w:cs="Times New Roman"/>
                      <w:color w:val="auto"/>
                      <w:spacing w:val="6"/>
                      <w:sz w:val="21"/>
                      <w:szCs w:val="21"/>
                      <w:highlight w:val="none"/>
                    </w:rPr>
                    <w:t>+15m</w:t>
                  </w:r>
                  <w:r>
                    <w:rPr>
                      <w:rFonts w:hint="default" w:ascii="Times New Roman" w:hAnsi="Times New Roman" w:eastAsia="宋体" w:cs="Times New Roman"/>
                      <w:color w:val="auto"/>
                      <w:spacing w:val="6"/>
                      <w:sz w:val="21"/>
                      <w:szCs w:val="21"/>
                      <w:highlight w:val="none"/>
                    </w:rPr>
                    <w:t>高排气</w:t>
                  </w:r>
                  <w:r>
                    <w:rPr>
                      <w:rFonts w:hint="default" w:ascii="Times New Roman" w:hAnsi="Times New Roman" w:eastAsia="宋体" w:cs="Times New Roman"/>
                      <w:color w:val="auto"/>
                      <w:sz w:val="21"/>
                      <w:szCs w:val="21"/>
                      <w:highlight w:val="none"/>
                    </w:rPr>
                    <w:t>筒</w:t>
                  </w:r>
                </w:p>
              </w:tc>
              <w:tc>
                <w:tcPr>
                  <w:tcW w:w="745" w:type="dxa"/>
                  <w:tcBorders>
                    <w:top w:val="single" w:color="000000" w:sz="12" w:space="0"/>
                    <w:tl2br w:val="nil"/>
                    <w:tr2bl w:val="nil"/>
                  </w:tcBorders>
                  <w:vAlign w:val="center"/>
                </w:tcPr>
                <w:p w14:paraId="138DD9E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pacing w:val="-4"/>
                      <w:sz w:val="21"/>
                      <w:szCs w:val="21"/>
                      <w:highlight w:val="none"/>
                      <w:lang w:val="en-US" w:eastAsia="zh-CN"/>
                    </w:rPr>
                    <w:t>2.025</w:t>
                  </w:r>
                </w:p>
              </w:tc>
              <w:tc>
                <w:tcPr>
                  <w:tcW w:w="1174" w:type="dxa"/>
                  <w:tcBorders>
                    <w:top w:val="single" w:color="000000" w:sz="12" w:space="0"/>
                    <w:tl2br w:val="nil"/>
                    <w:tr2bl w:val="nil"/>
                  </w:tcBorders>
                  <w:vAlign w:val="center"/>
                </w:tcPr>
                <w:p w14:paraId="7477BCD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21.094</w:t>
                  </w:r>
                </w:p>
              </w:tc>
            </w:tr>
            <w:tr w14:paraId="6BAC4F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20" w:type="dxa"/>
                  <w:tcBorders>
                    <w:tl2br w:val="nil"/>
                    <w:tr2bl w:val="nil"/>
                  </w:tcBorders>
                  <w:vAlign w:val="center"/>
                </w:tcPr>
                <w:p w14:paraId="5E2E78A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无组织</w:t>
                  </w:r>
                </w:p>
              </w:tc>
              <w:tc>
                <w:tcPr>
                  <w:tcW w:w="802" w:type="dxa"/>
                  <w:tcBorders>
                    <w:tl2br w:val="nil"/>
                    <w:tr2bl w:val="nil"/>
                  </w:tcBorders>
                  <w:vAlign w:val="center"/>
                </w:tcPr>
                <w:p w14:paraId="64BCB8D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无组织</w:t>
                  </w:r>
                  <w:r>
                    <w:rPr>
                      <w:rFonts w:hint="default" w:ascii="Times New Roman" w:hAnsi="Times New Roman" w:eastAsia="宋体" w:cs="Times New Roman"/>
                      <w:color w:val="auto"/>
                      <w:spacing w:val="5"/>
                      <w:sz w:val="21"/>
                      <w:szCs w:val="21"/>
                      <w:highlight w:val="none"/>
                    </w:rPr>
                    <w:t>非甲烷</w:t>
                  </w:r>
                  <w:r>
                    <w:rPr>
                      <w:rFonts w:hint="default" w:ascii="Times New Roman" w:hAnsi="Times New Roman" w:eastAsia="宋体" w:cs="Times New Roman"/>
                      <w:color w:val="auto"/>
                      <w:spacing w:val="2"/>
                      <w:sz w:val="21"/>
                      <w:szCs w:val="21"/>
                      <w:highlight w:val="none"/>
                    </w:rPr>
                    <w:t>总烃</w:t>
                  </w:r>
                </w:p>
              </w:tc>
              <w:tc>
                <w:tcPr>
                  <w:tcW w:w="701" w:type="dxa"/>
                  <w:tcBorders>
                    <w:tl2br w:val="nil"/>
                    <w:tr2bl w:val="nil"/>
                  </w:tcBorders>
                  <w:vAlign w:val="center"/>
                </w:tcPr>
                <w:p w14:paraId="1DD7FB1B">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8"/>
                      <w:sz w:val="21"/>
                      <w:szCs w:val="21"/>
                      <w:highlight w:val="none"/>
                      <w:lang w:val="en-US" w:eastAsia="zh-CN"/>
                    </w:rPr>
                    <w:t>1.5</w:t>
                  </w:r>
                </w:p>
              </w:tc>
              <w:tc>
                <w:tcPr>
                  <w:tcW w:w="1171" w:type="dxa"/>
                  <w:tcBorders>
                    <w:tl2br w:val="nil"/>
                    <w:tr2bl w:val="nil"/>
                  </w:tcBorders>
                  <w:vAlign w:val="center"/>
                </w:tcPr>
                <w:p w14:paraId="3897550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w:t>
                  </w:r>
                </w:p>
              </w:tc>
              <w:tc>
                <w:tcPr>
                  <w:tcW w:w="2129" w:type="dxa"/>
                  <w:tcBorders>
                    <w:tl2br w:val="nil"/>
                    <w:tr2bl w:val="nil"/>
                  </w:tcBorders>
                  <w:vAlign w:val="center"/>
                </w:tcPr>
                <w:p w14:paraId="400A06F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w:t>
                  </w:r>
                </w:p>
              </w:tc>
              <w:tc>
                <w:tcPr>
                  <w:tcW w:w="745" w:type="dxa"/>
                  <w:tcBorders>
                    <w:tl2br w:val="nil"/>
                    <w:tr2bl w:val="nil"/>
                  </w:tcBorders>
                  <w:vAlign w:val="center"/>
                </w:tcPr>
                <w:p w14:paraId="5EE5F0A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174" w:type="dxa"/>
                  <w:tcBorders>
                    <w:tl2br w:val="nil"/>
                    <w:tr2bl w:val="nil"/>
                  </w:tcBorders>
                  <w:vAlign w:val="center"/>
                </w:tcPr>
                <w:p w14:paraId="0D4C9C5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auto"/>
                      <w:spacing w:val="-4"/>
                      <w:sz w:val="21"/>
                      <w:szCs w:val="21"/>
                      <w:highlight w:val="none"/>
                      <w:lang w:val="en-US" w:eastAsia="zh-CN"/>
                    </w:rPr>
                  </w:pPr>
                  <w:r>
                    <w:rPr>
                      <w:rFonts w:hint="default" w:ascii="Times New Roman" w:hAnsi="Times New Roman" w:eastAsia="宋体" w:cs="Times New Roman"/>
                      <w:color w:val="auto"/>
                      <w:spacing w:val="-4"/>
                      <w:sz w:val="21"/>
                      <w:szCs w:val="21"/>
                      <w:highlight w:val="none"/>
                      <w:lang w:val="en-US" w:eastAsia="zh-CN"/>
                    </w:rPr>
                    <w:t>/</w:t>
                  </w:r>
                </w:p>
              </w:tc>
            </w:tr>
          </w:tbl>
          <w:p w14:paraId="24EDC4C8">
            <w:pPr>
              <w:pStyle w:val="7"/>
              <w:keepNext/>
              <w:keepLines/>
              <w:pageBreakBefore w:val="0"/>
              <w:widowControl w:val="0"/>
              <w:numPr>
                <w:ilvl w:val="0"/>
                <w:numId w:val="0"/>
              </w:numPr>
              <w:tabs>
                <w:tab w:val="left" w:pos="1864"/>
              </w:tabs>
              <w:kinsoku/>
              <w:wordWrap/>
              <w:overflowPunct/>
              <w:topLinePunct w:val="0"/>
              <w:autoSpaceDE/>
              <w:autoSpaceDN/>
              <w:bidi w:val="0"/>
              <w:adjustRightInd/>
              <w:snapToGrid/>
              <w:spacing w:before="0" w:after="0" w:line="360" w:lineRule="auto"/>
              <w:ind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b/>
                <w:color w:val="auto"/>
                <w:kern w:val="0"/>
                <w:sz w:val="24"/>
                <w:szCs w:val="24"/>
                <w:highlight w:val="none"/>
                <w:lang w:val="en-US" w:eastAsia="zh-CN" w:bidi="ar"/>
              </w:rPr>
              <w:t>1.3</w:t>
            </w:r>
            <w:r>
              <w:rPr>
                <w:rFonts w:hint="default" w:ascii="Times New Roman" w:hAnsi="Times New Roman" w:eastAsia="宋体" w:cs="Times New Roman"/>
                <w:color w:val="auto"/>
                <w:sz w:val="24"/>
                <w:szCs w:val="24"/>
                <w:highlight w:val="none"/>
                <w:lang w:val="en-US" w:eastAsia="zh-CN"/>
              </w:rPr>
              <w:t>废气治理措施可行性</w:t>
            </w:r>
          </w:p>
          <w:p w14:paraId="3F16C91E">
            <w:pPr>
              <w:spacing w:line="360" w:lineRule="auto"/>
              <w:ind w:firstLine="482" w:firstLineChars="200"/>
              <w:rPr>
                <w:rFonts w:hint="default" w:ascii="Times New Roman" w:hAnsi="Times New Roman" w:cs="Times New Roman"/>
                <w:b/>
                <w:bCs/>
                <w:smallCaps w:val="0"/>
                <w:snapToGrid w:val="0"/>
                <w:color w:val="auto"/>
                <w:spacing w:val="0"/>
                <w:kern w:val="0"/>
                <w:position w:val="0"/>
                <w:sz w:val="24"/>
                <w:szCs w:val="24"/>
                <w:highlight w:val="none"/>
                <w:lang w:val="en-US" w:eastAsia="zh-CN"/>
              </w:rPr>
            </w:pPr>
            <w:r>
              <w:rPr>
                <w:rFonts w:hint="default" w:ascii="Times New Roman" w:hAnsi="Times New Roman" w:cs="Times New Roman"/>
                <w:b/>
                <w:bCs/>
                <w:smallCaps w:val="0"/>
                <w:snapToGrid w:val="0"/>
                <w:color w:val="auto"/>
                <w:spacing w:val="0"/>
                <w:kern w:val="0"/>
                <w:position w:val="0"/>
                <w:sz w:val="24"/>
                <w:szCs w:val="24"/>
                <w:highlight w:val="none"/>
                <w:lang w:val="en-US" w:eastAsia="zh-CN"/>
              </w:rPr>
              <w:t>①集气罩收集效率的确定</w:t>
            </w:r>
          </w:p>
          <w:p w14:paraId="7FB3EE67">
            <w:pPr>
              <w:pStyle w:val="22"/>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smallCaps w:val="0"/>
                <w:snapToGrid w:val="0"/>
                <w:color w:val="auto"/>
                <w:spacing w:val="0"/>
                <w:kern w:val="0"/>
                <w:position w:val="0"/>
                <w:sz w:val="24"/>
                <w:szCs w:val="24"/>
                <w:highlight w:val="none"/>
                <w:lang w:val="en-US" w:eastAsia="zh-CN"/>
              </w:rPr>
            </w:pPr>
            <w:r>
              <w:rPr>
                <w:rFonts w:hint="default" w:ascii="Times New Roman" w:hAnsi="Times New Roman" w:cs="Times New Roman"/>
                <w:smallCaps w:val="0"/>
                <w:snapToGrid w:val="0"/>
                <w:color w:val="auto"/>
                <w:spacing w:val="0"/>
                <w:kern w:val="0"/>
                <w:position w:val="0"/>
                <w:sz w:val="24"/>
                <w:szCs w:val="24"/>
                <w:highlight w:val="none"/>
                <w:lang w:val="en-US" w:eastAsia="zh-CN"/>
              </w:rPr>
              <w:t>本次</w:t>
            </w:r>
            <w:r>
              <w:rPr>
                <w:rFonts w:hint="default" w:ascii="Times New Roman" w:hAnsi="Times New Roman" w:eastAsia="宋体" w:cs="Times New Roman"/>
                <w:smallCaps w:val="0"/>
                <w:snapToGrid w:val="0"/>
                <w:color w:val="auto"/>
                <w:spacing w:val="0"/>
                <w:kern w:val="0"/>
                <w:position w:val="0"/>
                <w:sz w:val="24"/>
                <w:szCs w:val="24"/>
                <w:highlight w:val="none"/>
                <w:lang w:val="en-US" w:eastAsia="zh-CN"/>
              </w:rPr>
              <w:t>评价集气罩收集效率参考《</w:t>
            </w:r>
            <w:r>
              <w:rPr>
                <w:color w:val="auto"/>
                <w:highlight w:val="none"/>
              </w:rPr>
              <w:t>主要污染物总量减排核算技术指南</w:t>
            </w:r>
            <w:r>
              <w:rPr>
                <w:rFonts w:hint="default" w:ascii="Times New Roman" w:hAnsi="Times New Roman" w:cs="Times New Roman"/>
                <w:smallCaps w:val="0"/>
                <w:snapToGrid w:val="0"/>
                <w:color w:val="auto"/>
                <w:spacing w:val="0"/>
                <w:kern w:val="0"/>
                <w:position w:val="0"/>
                <w:sz w:val="24"/>
                <w:szCs w:val="24"/>
                <w:highlight w:val="none"/>
                <w:lang w:val="en-US" w:eastAsia="zh-CN"/>
              </w:rPr>
              <w:t>》</w:t>
            </w:r>
            <w:r>
              <w:rPr>
                <w:rFonts w:hint="eastAsia" w:ascii="Times New Roman" w:hAnsi="Times New Roman" w:cs="Times New Roman"/>
                <w:smallCaps w:val="0"/>
                <w:snapToGrid w:val="0"/>
                <w:color w:val="auto"/>
                <w:spacing w:val="0"/>
                <w:kern w:val="0"/>
                <w:position w:val="0"/>
                <w:sz w:val="24"/>
                <w:szCs w:val="24"/>
                <w:highlight w:val="none"/>
                <w:lang w:val="en-US" w:eastAsia="zh-CN"/>
              </w:rPr>
              <w:t>表2-3 VOCs废气收集率和治理设施去除率通用系数可知：</w:t>
            </w:r>
          </w:p>
          <w:p w14:paraId="5B299694">
            <w:pPr>
              <w:pStyle w:val="22"/>
              <w:keepNext w:val="0"/>
              <w:keepLines w:val="0"/>
              <w:widowControl/>
              <w:suppressLineNumbers w:val="0"/>
              <w:spacing w:before="0" w:beforeAutospacing="0" w:after="0" w:afterAutospacing="0" w:line="240" w:lineRule="auto"/>
              <w:ind w:left="0" w:right="0" w:firstLine="446" w:firstLineChars="200"/>
              <w:jc w:val="center"/>
              <w:rPr>
                <w:rFonts w:hint="default" w:ascii="Times New Roman" w:hAnsi="Times New Roman" w:eastAsia="宋体" w:cs="Times New Roman"/>
                <w:b/>
                <w:bCs/>
                <w:color w:val="auto"/>
                <w:spacing w:val="6"/>
                <w:kern w:val="2"/>
                <w:sz w:val="21"/>
                <w:szCs w:val="21"/>
                <w:highlight w:val="none"/>
                <w:lang w:val="en-US" w:eastAsia="zh-CN" w:bidi="ar-SA"/>
              </w:rPr>
            </w:pPr>
            <w:r>
              <w:rPr>
                <w:rFonts w:hint="eastAsia" w:ascii="Times New Roman" w:hAnsi="Times New Roman" w:eastAsia="宋体" w:cs="Times New Roman"/>
                <w:b/>
                <w:bCs/>
                <w:color w:val="auto"/>
                <w:spacing w:val="6"/>
                <w:kern w:val="2"/>
                <w:sz w:val="21"/>
                <w:szCs w:val="21"/>
                <w:highlight w:val="none"/>
                <w:lang w:val="en-US" w:eastAsia="zh-CN" w:bidi="ar-SA"/>
              </w:rPr>
              <w:t xml:space="preserve">表4-2   </w:t>
            </w:r>
            <w:r>
              <w:rPr>
                <w:rFonts w:hint="default" w:ascii="Times New Roman" w:hAnsi="Times New Roman" w:eastAsia="宋体" w:cs="Times New Roman"/>
                <w:b/>
                <w:bCs/>
                <w:color w:val="auto"/>
                <w:spacing w:val="6"/>
                <w:kern w:val="2"/>
                <w:sz w:val="21"/>
                <w:szCs w:val="21"/>
                <w:highlight w:val="none"/>
                <w:lang w:val="en-US" w:eastAsia="zh-CN" w:bidi="ar-SA"/>
              </w:rPr>
              <w:t>集气罩收集效率</w:t>
            </w:r>
            <w:r>
              <w:rPr>
                <w:rFonts w:hint="eastAsia" w:ascii="Times New Roman" w:hAnsi="Times New Roman" w:eastAsia="宋体" w:cs="Times New Roman"/>
                <w:b/>
                <w:bCs/>
                <w:color w:val="auto"/>
                <w:spacing w:val="6"/>
                <w:kern w:val="2"/>
                <w:sz w:val="21"/>
                <w:szCs w:val="21"/>
                <w:highlight w:val="none"/>
                <w:lang w:val="en-US" w:eastAsia="zh-CN" w:bidi="ar-SA"/>
              </w:rPr>
              <w:t>一览表</w:t>
            </w:r>
          </w:p>
          <w:tbl>
            <w:tblPr>
              <w:tblStyle w:val="24"/>
              <w:tblW w:w="736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03"/>
              <w:gridCol w:w="797"/>
              <w:gridCol w:w="962"/>
              <w:gridCol w:w="1087"/>
              <w:gridCol w:w="904"/>
              <w:gridCol w:w="904"/>
              <w:gridCol w:w="1052"/>
              <w:gridCol w:w="756"/>
            </w:tblGrid>
            <w:tr w14:paraId="38BFC7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3" w:type="dxa"/>
                  <w:vMerge w:val="restart"/>
                  <w:tcBorders>
                    <w:tl2br w:val="nil"/>
                    <w:tr2bl w:val="nil"/>
                  </w:tcBorders>
                  <w:shd w:val="clear" w:color="auto" w:fill="auto"/>
                  <w:noWrap/>
                  <w:vAlign w:val="center"/>
                </w:tcPr>
                <w:p w14:paraId="5307297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废气收集方式</w:t>
                  </w:r>
                </w:p>
              </w:tc>
              <w:tc>
                <w:tcPr>
                  <w:tcW w:w="797" w:type="dxa"/>
                  <w:vMerge w:val="restart"/>
                  <w:tcBorders>
                    <w:tl2br w:val="nil"/>
                    <w:tr2bl w:val="nil"/>
                  </w:tcBorders>
                  <w:shd w:val="clear" w:color="auto" w:fill="auto"/>
                  <w:noWrap/>
                  <w:vAlign w:val="center"/>
                </w:tcPr>
                <w:p w14:paraId="32739F0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密闭管道</w:t>
                  </w:r>
                </w:p>
              </w:tc>
              <w:tc>
                <w:tcPr>
                  <w:tcW w:w="2049" w:type="dxa"/>
                  <w:gridSpan w:val="2"/>
                  <w:tcBorders>
                    <w:tl2br w:val="nil"/>
                    <w:tr2bl w:val="nil"/>
                  </w:tcBorders>
                  <w:shd w:val="clear" w:color="auto" w:fill="auto"/>
                  <w:noWrap/>
                  <w:vAlign w:val="center"/>
                </w:tcPr>
                <w:p w14:paraId="643D0C0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密闭空间(含密闭式集气罩)</w:t>
                  </w:r>
                </w:p>
              </w:tc>
              <w:tc>
                <w:tcPr>
                  <w:tcW w:w="904" w:type="dxa"/>
                  <w:vMerge w:val="restart"/>
                  <w:tcBorders>
                    <w:tl2br w:val="nil"/>
                    <w:tr2bl w:val="nil"/>
                  </w:tcBorders>
                  <w:shd w:val="clear" w:color="auto" w:fill="auto"/>
                  <w:noWrap/>
                  <w:vAlign w:val="center"/>
                </w:tcPr>
                <w:p w14:paraId="3A02888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半密闭集气罩(含排气柜)</w:t>
                  </w:r>
                </w:p>
              </w:tc>
              <w:tc>
                <w:tcPr>
                  <w:tcW w:w="904" w:type="dxa"/>
                  <w:vMerge w:val="restart"/>
                  <w:tcBorders>
                    <w:tl2br w:val="nil"/>
                    <w:tr2bl w:val="nil"/>
                  </w:tcBorders>
                  <w:shd w:val="clear" w:color="auto" w:fill="auto"/>
                  <w:noWrap/>
                  <w:vAlign w:val="center"/>
                </w:tcPr>
                <w:p w14:paraId="6FCA310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包围型集气罩(含软帘)</w:t>
                  </w:r>
                </w:p>
              </w:tc>
              <w:tc>
                <w:tcPr>
                  <w:tcW w:w="1052" w:type="dxa"/>
                  <w:vMerge w:val="restart"/>
                  <w:tcBorders>
                    <w:tl2br w:val="nil"/>
                    <w:tr2bl w:val="nil"/>
                  </w:tcBorders>
                  <w:shd w:val="clear" w:color="auto" w:fill="auto"/>
                  <w:noWrap/>
                  <w:vAlign w:val="center"/>
                </w:tcPr>
                <w:p w14:paraId="38B94C0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符合标准要求的外部集气罩</w:t>
                  </w:r>
                </w:p>
              </w:tc>
              <w:tc>
                <w:tcPr>
                  <w:tcW w:w="756" w:type="dxa"/>
                  <w:vMerge w:val="restart"/>
                  <w:tcBorders>
                    <w:tl2br w:val="nil"/>
                    <w:tr2bl w:val="nil"/>
                  </w:tcBorders>
                  <w:shd w:val="clear" w:color="auto" w:fill="auto"/>
                  <w:noWrap/>
                  <w:vAlign w:val="center"/>
                </w:tcPr>
                <w:p w14:paraId="6ABDF57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其他收集方式</w:t>
                  </w:r>
                </w:p>
              </w:tc>
            </w:tr>
            <w:tr w14:paraId="70090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jc w:val="center"/>
              </w:trPr>
              <w:tc>
                <w:tcPr>
                  <w:tcW w:w="903" w:type="dxa"/>
                  <w:vMerge w:val="continue"/>
                  <w:tcBorders>
                    <w:bottom w:val="single" w:color="auto" w:sz="12" w:space="0"/>
                    <w:tl2br w:val="nil"/>
                    <w:tr2bl w:val="nil"/>
                  </w:tcBorders>
                  <w:shd w:val="clear" w:color="auto" w:fill="auto"/>
                  <w:noWrap/>
                  <w:vAlign w:val="center"/>
                </w:tcPr>
                <w:p w14:paraId="7D5E131F">
                  <w:pPr>
                    <w:jc w:val="center"/>
                    <w:rPr>
                      <w:rFonts w:hint="default" w:ascii="Times New Roman" w:hAnsi="Times New Roman" w:eastAsia="宋体" w:cs="Times New Roman"/>
                      <w:i w:val="0"/>
                      <w:iCs w:val="0"/>
                      <w:color w:val="auto"/>
                      <w:sz w:val="21"/>
                      <w:szCs w:val="21"/>
                      <w:highlight w:val="none"/>
                      <w:u w:val="none"/>
                    </w:rPr>
                  </w:pPr>
                </w:p>
              </w:tc>
              <w:tc>
                <w:tcPr>
                  <w:tcW w:w="797" w:type="dxa"/>
                  <w:vMerge w:val="continue"/>
                  <w:tcBorders>
                    <w:bottom w:val="single" w:color="auto" w:sz="12" w:space="0"/>
                    <w:tl2br w:val="nil"/>
                    <w:tr2bl w:val="nil"/>
                  </w:tcBorders>
                  <w:shd w:val="clear" w:color="auto" w:fill="auto"/>
                  <w:noWrap/>
                  <w:vAlign w:val="center"/>
                </w:tcPr>
                <w:p w14:paraId="63936CC2">
                  <w:pPr>
                    <w:jc w:val="center"/>
                    <w:rPr>
                      <w:rFonts w:hint="default" w:ascii="Times New Roman" w:hAnsi="Times New Roman" w:eastAsia="宋体" w:cs="Times New Roman"/>
                      <w:i w:val="0"/>
                      <w:iCs w:val="0"/>
                      <w:color w:val="auto"/>
                      <w:sz w:val="21"/>
                      <w:szCs w:val="21"/>
                      <w:highlight w:val="none"/>
                      <w:u w:val="none"/>
                    </w:rPr>
                  </w:pPr>
                </w:p>
              </w:tc>
              <w:tc>
                <w:tcPr>
                  <w:tcW w:w="962" w:type="dxa"/>
                  <w:tcBorders>
                    <w:bottom w:val="single" w:color="auto" w:sz="12" w:space="0"/>
                    <w:tl2br w:val="nil"/>
                    <w:tr2bl w:val="nil"/>
                  </w:tcBorders>
                  <w:shd w:val="clear" w:color="auto" w:fill="auto"/>
                  <w:noWrap/>
                  <w:vAlign w:val="center"/>
                </w:tcPr>
                <w:p w14:paraId="1184069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负压</w:t>
                  </w:r>
                </w:p>
              </w:tc>
              <w:tc>
                <w:tcPr>
                  <w:tcW w:w="1087" w:type="dxa"/>
                  <w:tcBorders>
                    <w:bottom w:val="single" w:color="auto" w:sz="12" w:space="0"/>
                    <w:tl2br w:val="nil"/>
                    <w:tr2bl w:val="nil"/>
                  </w:tcBorders>
                  <w:shd w:val="clear" w:color="auto" w:fill="auto"/>
                  <w:noWrap/>
                  <w:vAlign w:val="center"/>
                </w:tcPr>
                <w:p w14:paraId="2E3D739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正压</w:t>
                  </w:r>
                </w:p>
              </w:tc>
              <w:tc>
                <w:tcPr>
                  <w:tcW w:w="904" w:type="dxa"/>
                  <w:vMerge w:val="continue"/>
                  <w:tcBorders>
                    <w:bottom w:val="single" w:color="auto" w:sz="12" w:space="0"/>
                    <w:tl2br w:val="nil"/>
                    <w:tr2bl w:val="nil"/>
                  </w:tcBorders>
                  <w:shd w:val="clear" w:color="auto" w:fill="auto"/>
                  <w:noWrap/>
                  <w:vAlign w:val="center"/>
                </w:tcPr>
                <w:p w14:paraId="635B24F0">
                  <w:pPr>
                    <w:jc w:val="center"/>
                    <w:rPr>
                      <w:rFonts w:hint="default" w:ascii="Times New Roman" w:hAnsi="Times New Roman" w:eastAsia="宋体" w:cs="Times New Roman"/>
                      <w:i w:val="0"/>
                      <w:iCs w:val="0"/>
                      <w:color w:val="auto"/>
                      <w:sz w:val="21"/>
                      <w:szCs w:val="21"/>
                      <w:highlight w:val="none"/>
                      <w:u w:val="none"/>
                    </w:rPr>
                  </w:pPr>
                </w:p>
              </w:tc>
              <w:tc>
                <w:tcPr>
                  <w:tcW w:w="904" w:type="dxa"/>
                  <w:vMerge w:val="continue"/>
                  <w:tcBorders>
                    <w:bottom w:val="single" w:color="auto" w:sz="12" w:space="0"/>
                    <w:tl2br w:val="nil"/>
                    <w:tr2bl w:val="nil"/>
                  </w:tcBorders>
                  <w:shd w:val="clear" w:color="auto" w:fill="auto"/>
                  <w:noWrap/>
                  <w:vAlign w:val="center"/>
                </w:tcPr>
                <w:p w14:paraId="64037814">
                  <w:pPr>
                    <w:jc w:val="center"/>
                    <w:rPr>
                      <w:rFonts w:hint="default" w:ascii="Times New Roman" w:hAnsi="Times New Roman" w:eastAsia="宋体" w:cs="Times New Roman"/>
                      <w:i w:val="0"/>
                      <w:iCs w:val="0"/>
                      <w:color w:val="auto"/>
                      <w:sz w:val="21"/>
                      <w:szCs w:val="21"/>
                      <w:highlight w:val="none"/>
                      <w:u w:val="none"/>
                    </w:rPr>
                  </w:pPr>
                </w:p>
              </w:tc>
              <w:tc>
                <w:tcPr>
                  <w:tcW w:w="1052" w:type="dxa"/>
                  <w:vMerge w:val="continue"/>
                  <w:tcBorders>
                    <w:bottom w:val="single" w:color="auto" w:sz="12" w:space="0"/>
                    <w:tl2br w:val="nil"/>
                    <w:tr2bl w:val="nil"/>
                  </w:tcBorders>
                  <w:shd w:val="clear" w:color="auto" w:fill="auto"/>
                  <w:noWrap/>
                  <w:vAlign w:val="center"/>
                </w:tcPr>
                <w:p w14:paraId="15996850">
                  <w:pPr>
                    <w:jc w:val="center"/>
                    <w:rPr>
                      <w:rFonts w:hint="default" w:ascii="Times New Roman" w:hAnsi="Times New Roman" w:eastAsia="宋体" w:cs="Times New Roman"/>
                      <w:i w:val="0"/>
                      <w:iCs w:val="0"/>
                      <w:color w:val="auto"/>
                      <w:sz w:val="21"/>
                      <w:szCs w:val="21"/>
                      <w:highlight w:val="none"/>
                      <w:u w:val="none"/>
                    </w:rPr>
                  </w:pPr>
                </w:p>
              </w:tc>
              <w:tc>
                <w:tcPr>
                  <w:tcW w:w="756" w:type="dxa"/>
                  <w:vMerge w:val="continue"/>
                  <w:tcBorders>
                    <w:bottom w:val="single" w:color="auto" w:sz="12" w:space="0"/>
                    <w:tl2br w:val="nil"/>
                    <w:tr2bl w:val="nil"/>
                  </w:tcBorders>
                  <w:shd w:val="clear" w:color="auto" w:fill="auto"/>
                  <w:noWrap/>
                  <w:vAlign w:val="center"/>
                </w:tcPr>
                <w:p w14:paraId="3E615583">
                  <w:pPr>
                    <w:jc w:val="center"/>
                    <w:rPr>
                      <w:rFonts w:hint="default" w:ascii="Times New Roman" w:hAnsi="Times New Roman" w:eastAsia="宋体" w:cs="Times New Roman"/>
                      <w:i w:val="0"/>
                      <w:iCs w:val="0"/>
                      <w:color w:val="auto"/>
                      <w:sz w:val="21"/>
                      <w:szCs w:val="21"/>
                      <w:highlight w:val="none"/>
                      <w:u w:val="none"/>
                    </w:rPr>
                  </w:pPr>
                </w:p>
              </w:tc>
            </w:tr>
            <w:tr w14:paraId="2A9A1A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903" w:type="dxa"/>
                  <w:tcBorders>
                    <w:top w:val="single" w:color="auto" w:sz="12" w:space="0"/>
                  </w:tcBorders>
                  <w:shd w:val="clear" w:color="auto" w:fill="auto"/>
                  <w:noWrap/>
                  <w:vAlign w:val="center"/>
                </w:tcPr>
                <w:p w14:paraId="1F2878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废气收集率</w:t>
                  </w:r>
                </w:p>
              </w:tc>
              <w:tc>
                <w:tcPr>
                  <w:tcW w:w="797" w:type="dxa"/>
                  <w:tcBorders>
                    <w:top w:val="single" w:color="auto" w:sz="12" w:space="0"/>
                  </w:tcBorders>
                  <w:shd w:val="clear" w:color="auto" w:fill="auto"/>
                  <w:noWrap/>
                  <w:vAlign w:val="center"/>
                </w:tcPr>
                <w:p w14:paraId="1AA97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962" w:type="dxa"/>
                  <w:tcBorders>
                    <w:top w:val="single" w:color="auto" w:sz="12" w:space="0"/>
                  </w:tcBorders>
                  <w:shd w:val="clear" w:color="auto" w:fill="auto"/>
                  <w:noWrap/>
                  <w:vAlign w:val="center"/>
                </w:tcPr>
                <w:p w14:paraId="307D92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1087" w:type="dxa"/>
                  <w:tcBorders>
                    <w:top w:val="single" w:color="auto" w:sz="12" w:space="0"/>
                  </w:tcBorders>
                  <w:shd w:val="clear" w:color="auto" w:fill="auto"/>
                  <w:noWrap/>
                  <w:vAlign w:val="center"/>
                </w:tcPr>
                <w:p w14:paraId="6DBBA6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904" w:type="dxa"/>
                  <w:tcBorders>
                    <w:top w:val="single" w:color="auto" w:sz="12" w:space="0"/>
                  </w:tcBorders>
                  <w:shd w:val="clear" w:color="auto" w:fill="auto"/>
                  <w:noWrap/>
                  <w:vAlign w:val="center"/>
                </w:tcPr>
                <w:p w14:paraId="0344BF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904" w:type="dxa"/>
                  <w:tcBorders>
                    <w:top w:val="single" w:color="auto" w:sz="12" w:space="0"/>
                  </w:tcBorders>
                  <w:shd w:val="clear" w:color="auto" w:fill="auto"/>
                  <w:noWrap/>
                  <w:vAlign w:val="center"/>
                </w:tcPr>
                <w:p w14:paraId="52349F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052" w:type="dxa"/>
                  <w:tcBorders>
                    <w:top w:val="single" w:color="auto" w:sz="12" w:space="0"/>
                  </w:tcBorders>
                  <w:shd w:val="clear" w:color="auto" w:fill="auto"/>
                  <w:noWrap/>
                  <w:vAlign w:val="center"/>
                </w:tcPr>
                <w:p w14:paraId="245A2C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756" w:type="dxa"/>
                  <w:tcBorders>
                    <w:top w:val="single" w:color="auto" w:sz="12" w:space="0"/>
                  </w:tcBorders>
                  <w:shd w:val="clear" w:color="auto" w:fill="auto"/>
                  <w:noWrap/>
                  <w:vAlign w:val="center"/>
                </w:tcPr>
                <w:p w14:paraId="66DD05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r>
          </w:tbl>
          <w:p w14:paraId="70755F47">
            <w:pPr>
              <w:spacing w:line="360" w:lineRule="auto"/>
              <w:ind w:firstLine="480" w:firstLineChars="200"/>
              <w:rPr>
                <w:rFonts w:hint="default" w:ascii="Times New Roman" w:hAnsi="Times New Roman" w:eastAsia="宋体" w:cs="Times New Roman"/>
                <w:b w:val="0"/>
                <w:bCs w:val="0"/>
                <w:smallCaps w:val="0"/>
                <w:snapToGrid w:val="0"/>
                <w:color w:val="auto"/>
                <w:spacing w:val="0"/>
                <w:kern w:val="0"/>
                <w:position w:val="0"/>
                <w:sz w:val="24"/>
                <w:szCs w:val="24"/>
                <w:highlight w:val="none"/>
                <w:lang w:val="en-US" w:eastAsia="zh-CN"/>
              </w:rPr>
            </w:pPr>
            <w:r>
              <w:rPr>
                <w:rFonts w:hint="default" w:ascii="Times New Roman" w:hAnsi="Times New Roman" w:cs="Times New Roman"/>
                <w:smallCaps w:val="0"/>
                <w:snapToGrid w:val="0"/>
                <w:color w:val="auto"/>
                <w:spacing w:val="0"/>
                <w:kern w:val="0"/>
                <w:position w:val="0"/>
                <w:sz w:val="24"/>
                <w:szCs w:val="24"/>
                <w:highlight w:val="none"/>
                <w:lang w:val="en-US" w:eastAsia="zh-CN"/>
              </w:rPr>
              <w:t>本项目设置</w:t>
            </w:r>
            <w:r>
              <w:rPr>
                <w:rFonts w:hint="eastAsia" w:ascii="Times New Roman" w:hAnsi="Times New Roman" w:cs="Times New Roman"/>
                <w:smallCaps w:val="0"/>
                <w:snapToGrid w:val="0"/>
                <w:color w:val="auto"/>
                <w:spacing w:val="0"/>
                <w:kern w:val="0"/>
                <w:position w:val="0"/>
                <w:sz w:val="24"/>
                <w:szCs w:val="24"/>
                <w:highlight w:val="none"/>
                <w:lang w:val="en-US" w:eastAsia="zh-CN"/>
              </w:rPr>
              <w:t>负压</w:t>
            </w:r>
            <w:r>
              <w:rPr>
                <w:rFonts w:hint="default" w:ascii="Times New Roman" w:hAnsi="Times New Roman" w:cs="Times New Roman"/>
                <w:smallCaps w:val="0"/>
                <w:snapToGrid w:val="0"/>
                <w:color w:val="auto"/>
                <w:spacing w:val="0"/>
                <w:kern w:val="0"/>
                <w:position w:val="0"/>
                <w:sz w:val="24"/>
                <w:szCs w:val="24"/>
                <w:highlight w:val="none"/>
                <w:lang w:val="en-US" w:eastAsia="zh-CN"/>
              </w:rPr>
              <w:t>风机集气罩，集</w:t>
            </w:r>
            <w:r>
              <w:rPr>
                <w:rFonts w:hint="default" w:ascii="Times New Roman" w:hAnsi="Times New Roman" w:cs="Times New Roman"/>
                <w:b w:val="0"/>
                <w:bCs w:val="0"/>
                <w:smallCaps w:val="0"/>
                <w:snapToGrid w:val="0"/>
                <w:color w:val="auto"/>
                <w:spacing w:val="0"/>
                <w:kern w:val="0"/>
                <w:position w:val="0"/>
                <w:sz w:val="24"/>
                <w:szCs w:val="24"/>
                <w:highlight w:val="none"/>
                <w:lang w:val="en-US" w:eastAsia="zh-CN"/>
              </w:rPr>
              <w:t>气罩距离</w:t>
            </w:r>
            <w:r>
              <w:rPr>
                <w:rFonts w:hint="default" w:ascii="Times New Roman" w:hAnsi="Times New Roman" w:eastAsia="宋体" w:cs="Times New Roman"/>
                <w:b w:val="0"/>
                <w:bCs w:val="0"/>
                <w:smallCaps w:val="0"/>
                <w:snapToGrid w:val="0"/>
                <w:color w:val="auto"/>
                <w:spacing w:val="0"/>
                <w:kern w:val="0"/>
                <w:position w:val="0"/>
                <w:sz w:val="24"/>
                <w:szCs w:val="24"/>
                <w:highlight w:val="none"/>
                <w:lang w:val="en-US" w:eastAsia="zh-CN"/>
              </w:rPr>
              <w:t>剪切</w:t>
            </w:r>
            <w:r>
              <w:rPr>
                <w:rFonts w:hint="default" w:ascii="Times New Roman" w:hAnsi="Times New Roman" w:eastAsia="宋体" w:cs="Times New Roman"/>
                <w:b w:val="0"/>
                <w:bCs w:val="0"/>
                <w:smallCaps w:val="0"/>
                <w:snapToGrid w:val="0"/>
                <w:color w:val="auto"/>
                <w:spacing w:val="0"/>
                <w:kern w:val="0"/>
                <w:position w:val="0"/>
                <w:sz w:val="24"/>
                <w:szCs w:val="24"/>
                <w:highlight w:val="none"/>
              </w:rPr>
              <w:t>工序</w:t>
            </w:r>
            <w:r>
              <w:rPr>
                <w:rFonts w:hint="default" w:ascii="Times New Roman" w:hAnsi="Times New Roman" w:cs="Times New Roman"/>
                <w:b w:val="0"/>
                <w:bCs w:val="0"/>
                <w:smallCaps w:val="0"/>
                <w:snapToGrid w:val="0"/>
                <w:color w:val="auto"/>
                <w:spacing w:val="0"/>
                <w:kern w:val="0"/>
                <w:position w:val="0"/>
                <w:sz w:val="24"/>
                <w:szCs w:val="24"/>
                <w:highlight w:val="none"/>
                <w:lang w:val="en-US" w:eastAsia="zh-CN"/>
              </w:rPr>
              <w:t>工作面0.6m，</w:t>
            </w:r>
            <w:r>
              <w:rPr>
                <w:rFonts w:hint="default" w:ascii="Times New Roman" w:hAnsi="Times New Roman" w:cs="Times New Roman"/>
                <w:smallCaps w:val="0"/>
                <w:snapToGrid w:val="0"/>
                <w:color w:val="auto"/>
                <w:spacing w:val="0"/>
                <w:kern w:val="0"/>
                <w:position w:val="0"/>
                <w:sz w:val="24"/>
                <w:szCs w:val="24"/>
                <w:highlight w:val="none"/>
                <w:lang w:val="en-US" w:eastAsia="zh-CN"/>
              </w:rPr>
              <w:t>集</w:t>
            </w:r>
            <w:r>
              <w:rPr>
                <w:rFonts w:hint="default" w:ascii="Times New Roman" w:hAnsi="Times New Roman" w:cs="Times New Roman"/>
                <w:b w:val="0"/>
                <w:bCs w:val="0"/>
                <w:smallCaps w:val="0"/>
                <w:snapToGrid w:val="0"/>
                <w:color w:val="auto"/>
                <w:spacing w:val="0"/>
                <w:kern w:val="0"/>
                <w:position w:val="0"/>
                <w:sz w:val="24"/>
                <w:szCs w:val="24"/>
                <w:highlight w:val="none"/>
                <w:lang w:val="en-US" w:eastAsia="zh-CN"/>
              </w:rPr>
              <w:t>气罩面积不小于工作投影面积，因此，本项目集气罩收集效率取90%</w:t>
            </w:r>
          </w:p>
          <w:p w14:paraId="06DB87E1">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为减少</w:t>
            </w:r>
            <w:r>
              <w:rPr>
                <w:rFonts w:hint="default" w:ascii="Times New Roman" w:hAnsi="Times New Roman" w:eastAsia="宋体" w:cs="Times New Roman"/>
                <w:b w:val="0"/>
                <w:bCs w:val="0"/>
                <w:color w:val="auto"/>
                <w:sz w:val="24"/>
                <w:szCs w:val="24"/>
                <w:highlight w:val="none"/>
                <w:vertAlign w:val="baseline"/>
                <w:lang w:val="en-US" w:eastAsia="zh-CN"/>
              </w:rPr>
              <w:t>非甲烷总烃</w:t>
            </w:r>
            <w:r>
              <w:rPr>
                <w:rFonts w:hint="default" w:ascii="Times New Roman" w:hAnsi="Times New Roman" w:eastAsia="宋体" w:cs="Times New Roman"/>
                <w:b w:val="0"/>
                <w:bCs w:val="0"/>
                <w:color w:val="auto"/>
                <w:kern w:val="0"/>
                <w:sz w:val="24"/>
                <w:szCs w:val="24"/>
                <w:highlight w:val="none"/>
                <w:lang w:val="en-US" w:eastAsia="zh-CN" w:bidi="ar"/>
              </w:rPr>
              <w:t>直接排放影响，</w:t>
            </w:r>
            <w:r>
              <w:rPr>
                <w:rFonts w:hint="default" w:ascii="Times New Roman" w:hAnsi="Times New Roman" w:eastAsia="宋体" w:cs="Times New Roman"/>
                <w:b w:val="0"/>
                <w:bCs w:val="0"/>
                <w:smallCaps w:val="0"/>
                <w:snapToGrid w:val="0"/>
                <w:color w:val="auto"/>
                <w:spacing w:val="0"/>
                <w:kern w:val="0"/>
                <w:position w:val="0"/>
                <w:sz w:val="24"/>
                <w:szCs w:val="24"/>
                <w:highlight w:val="none"/>
                <w:lang w:val="en-US" w:eastAsia="zh-CN"/>
              </w:rPr>
              <w:t>企业拟在加热熔融工序设置集气罩。根据《局部排风设施控制风速检测与评估</w:t>
            </w:r>
            <w:r>
              <w:rPr>
                <w:rFonts w:hint="default" w:ascii="Times New Roman" w:hAnsi="Times New Roman" w:eastAsia="宋体" w:cs="Times New Roman"/>
                <w:b w:val="0"/>
                <w:bCs w:val="0"/>
                <w:color w:val="auto"/>
                <w:kern w:val="0"/>
                <w:sz w:val="24"/>
                <w:szCs w:val="24"/>
                <w:highlight w:val="none"/>
                <w:lang w:val="en-US" w:eastAsia="zh-CN" w:bidi="ar"/>
              </w:rPr>
              <w:t>技术规范》(AQ/T4274-2016)</w:t>
            </w:r>
            <w:r>
              <w:rPr>
                <w:rFonts w:hint="default" w:ascii="Times New Roman" w:hAnsi="Times New Roman"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集气罩收集的废气通过处理装置的控制风速要在0.5-1.0m/s之间，以保证收集效率。本报告按照《环境工程设计手册》中经验公式计算得出各废气收集装置所需的风量L。</w:t>
            </w:r>
          </w:p>
          <w:p w14:paraId="627AF8A8">
            <w:pPr>
              <w:keepNext w:val="0"/>
              <w:keepLines w:val="0"/>
              <w:widowControl/>
              <w:suppressLineNumbers w:val="0"/>
              <w:spacing w:line="360" w:lineRule="auto"/>
              <w:jc w:val="center"/>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L=3600(5X</w:t>
            </w:r>
            <w:r>
              <w:rPr>
                <w:rFonts w:hint="default" w:ascii="Times New Roman" w:hAnsi="Times New Roman" w:eastAsia="宋体" w:cs="Times New Roman"/>
                <w:b w:val="0"/>
                <w:bCs w:val="0"/>
                <w:color w:val="auto"/>
                <w:kern w:val="0"/>
                <w:sz w:val="24"/>
                <w:szCs w:val="24"/>
                <w:highlight w:val="none"/>
                <w:vertAlign w:val="superscript"/>
                <w:lang w:val="en-US" w:eastAsia="zh-CN" w:bidi="ar"/>
              </w:rPr>
              <w:t>2</w:t>
            </w:r>
            <w:r>
              <w:rPr>
                <w:rFonts w:hint="default" w:ascii="Times New Roman" w:hAnsi="Times New Roman" w:eastAsia="宋体" w:cs="Times New Roman"/>
                <w:b w:val="0"/>
                <w:bCs w:val="0"/>
                <w:color w:val="auto"/>
                <w:kern w:val="0"/>
                <w:sz w:val="24"/>
                <w:szCs w:val="24"/>
                <w:highlight w:val="none"/>
                <w:lang w:val="en-US" w:eastAsia="zh-CN" w:bidi="ar"/>
              </w:rPr>
              <w:t>+F)×Vx</w:t>
            </w:r>
          </w:p>
          <w:p w14:paraId="21E07539">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式中：X--集气罩至污染源的距离(</w:t>
            </w:r>
            <w:r>
              <w:rPr>
                <w:rFonts w:hint="default" w:ascii="Times New Roman" w:hAnsi="Times New Roman" w:cs="Times New Roman"/>
                <w:b w:val="0"/>
                <w:bCs w:val="0"/>
                <w:color w:val="auto"/>
                <w:kern w:val="0"/>
                <w:sz w:val="24"/>
                <w:szCs w:val="24"/>
                <w:highlight w:val="none"/>
                <w:lang w:val="en-US" w:eastAsia="zh-CN" w:bidi="ar"/>
              </w:rPr>
              <w:t>本次</w:t>
            </w:r>
            <w:r>
              <w:rPr>
                <w:rFonts w:hint="default" w:ascii="Times New Roman" w:hAnsi="Times New Roman" w:eastAsia="宋体" w:cs="Times New Roman"/>
                <w:b w:val="0"/>
                <w:bCs w:val="0"/>
                <w:color w:val="auto"/>
                <w:kern w:val="0"/>
                <w:sz w:val="24"/>
                <w:szCs w:val="24"/>
                <w:highlight w:val="none"/>
                <w:lang w:val="en-US" w:eastAsia="zh-CN" w:bidi="ar"/>
              </w:rPr>
              <w:t>取0.</w:t>
            </w:r>
            <w:r>
              <w:rPr>
                <w:rFonts w:hint="default" w:ascii="Times New Roman" w:hAnsi="Times New Roman" w:cs="Times New Roman"/>
                <w:b w:val="0"/>
                <w:bCs w:val="0"/>
                <w:color w:val="auto"/>
                <w:kern w:val="0"/>
                <w:sz w:val="24"/>
                <w:szCs w:val="24"/>
                <w:highlight w:val="none"/>
                <w:lang w:val="en-US" w:eastAsia="zh-CN" w:bidi="ar"/>
              </w:rPr>
              <w:t>6</w:t>
            </w:r>
            <w:r>
              <w:rPr>
                <w:rFonts w:hint="default" w:ascii="Times New Roman" w:hAnsi="Times New Roman" w:eastAsia="宋体" w:cs="Times New Roman"/>
                <w:b w:val="0"/>
                <w:bCs w:val="0"/>
                <w:color w:val="auto"/>
                <w:kern w:val="0"/>
                <w:sz w:val="24"/>
                <w:szCs w:val="24"/>
                <w:highlight w:val="none"/>
                <w:lang w:val="en-US" w:eastAsia="zh-CN" w:bidi="ar"/>
              </w:rPr>
              <w:t>m计)：</w:t>
            </w:r>
          </w:p>
          <w:p w14:paraId="79BF27D1">
            <w:pPr>
              <w:keepNext w:val="0"/>
              <w:keepLines w:val="0"/>
              <w:widowControl/>
              <w:suppressLineNumbers w:val="0"/>
              <w:spacing w:line="360" w:lineRule="auto"/>
              <w:ind w:firstLine="1200" w:firstLineChars="500"/>
              <w:jc w:val="left"/>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F--集气罩罩口面积(经核算，F=</w:t>
            </w:r>
            <w:r>
              <w:rPr>
                <w:rFonts w:hint="default" w:ascii="Times New Roman" w:hAnsi="Times New Roman" w:cs="Times New Roman"/>
                <w:b w:val="0"/>
                <w:bCs w:val="0"/>
                <w:color w:val="auto"/>
                <w:kern w:val="0"/>
                <w:sz w:val="24"/>
                <w:szCs w:val="24"/>
                <w:highlight w:val="none"/>
                <w:lang w:val="en-US" w:eastAsia="zh-CN" w:bidi="ar"/>
              </w:rPr>
              <w:t>4.0</w:t>
            </w:r>
            <w:r>
              <w:rPr>
                <w:rFonts w:hint="default" w:ascii="Times New Roman" w:hAnsi="Times New Roman" w:eastAsia="宋体" w:cs="Times New Roman"/>
                <w:b w:val="0"/>
                <w:bCs w:val="0"/>
                <w:color w:val="auto"/>
                <w:kern w:val="0"/>
                <w:sz w:val="24"/>
                <w:szCs w:val="24"/>
                <w:highlight w:val="none"/>
                <w:lang w:val="en-US" w:eastAsia="zh-CN" w:bidi="ar"/>
              </w:rPr>
              <w:t>m</w:t>
            </w:r>
            <w:r>
              <w:rPr>
                <w:rFonts w:hint="default" w:ascii="Times New Roman" w:hAnsi="Times New Roman" w:eastAsia="宋体" w:cs="Times New Roman"/>
                <w:b w:val="0"/>
                <w:bCs w:val="0"/>
                <w:color w:val="auto"/>
                <w:kern w:val="0"/>
                <w:sz w:val="24"/>
                <w:szCs w:val="24"/>
                <w:highlight w:val="none"/>
                <w:vertAlign w:val="superscript"/>
                <w:lang w:val="en-US" w:eastAsia="zh-CN" w:bidi="ar"/>
              </w:rPr>
              <w:t>2</w:t>
            </w:r>
            <w:r>
              <w:rPr>
                <w:rFonts w:hint="default" w:ascii="Times New Roman" w:hAnsi="Times New Roman" w:eastAsia="宋体" w:cs="Times New Roman"/>
                <w:b w:val="0"/>
                <w:bCs w:val="0"/>
                <w:color w:val="auto"/>
                <w:kern w:val="0"/>
                <w:sz w:val="24"/>
                <w:szCs w:val="24"/>
                <w:highlight w:val="none"/>
                <w:lang w:val="en-US" w:eastAsia="zh-CN" w:bidi="ar"/>
              </w:rPr>
              <w:t>):</w:t>
            </w:r>
          </w:p>
          <w:p w14:paraId="3BD1E1E4">
            <w:pPr>
              <w:keepNext w:val="0"/>
              <w:keepLines w:val="0"/>
              <w:widowControl/>
              <w:suppressLineNumbers w:val="0"/>
              <w:spacing w:line="360" w:lineRule="auto"/>
              <w:ind w:firstLine="1200" w:firstLineChars="500"/>
              <w:jc w:val="left"/>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Vx--控制风速(本项目取1.8m/s).</w:t>
            </w:r>
          </w:p>
          <w:p w14:paraId="17CA7812">
            <w:pPr>
              <w:keepNext w:val="0"/>
              <w:keepLines w:val="0"/>
              <w:widowControl/>
              <w:suppressLineNumbers w:val="0"/>
              <w:spacing w:line="360" w:lineRule="auto"/>
              <w:ind w:firstLine="480" w:firstLineChars="200"/>
              <w:jc w:val="left"/>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代入相关数据经计算可知：</w:t>
            </w:r>
            <w:r>
              <w:rPr>
                <w:rFonts w:hint="default" w:ascii="Times New Roman" w:hAnsi="Times New Roman" w:cs="Times New Roman"/>
                <w:b w:val="0"/>
                <w:bCs w:val="0"/>
                <w:color w:val="auto"/>
                <w:kern w:val="0"/>
                <w:sz w:val="24"/>
                <w:szCs w:val="24"/>
                <w:highlight w:val="none"/>
                <w:lang w:val="en-US" w:eastAsia="zh-CN" w:bidi="ar"/>
              </w:rPr>
              <w:t>2</w:t>
            </w:r>
            <w:r>
              <w:rPr>
                <w:rFonts w:hint="default" w:ascii="Times New Roman" w:hAnsi="Times New Roman" w:eastAsia="宋体" w:cs="Times New Roman"/>
                <w:b w:val="0"/>
                <w:bCs w:val="0"/>
                <w:color w:val="auto"/>
                <w:kern w:val="0"/>
                <w:sz w:val="24"/>
                <w:szCs w:val="24"/>
                <w:highlight w:val="none"/>
                <w:lang w:val="en-US" w:eastAsia="zh-CN" w:bidi="ar"/>
              </w:rPr>
              <w:t>组集气罩所需风量合计为</w:t>
            </w:r>
            <w:r>
              <w:rPr>
                <w:rFonts w:hint="default" w:ascii="Times New Roman" w:hAnsi="Times New Roman" w:cs="Times New Roman"/>
                <w:b w:val="0"/>
                <w:bCs w:val="0"/>
                <w:color w:val="auto"/>
                <w:kern w:val="0"/>
                <w:sz w:val="24"/>
                <w:szCs w:val="24"/>
                <w:highlight w:val="none"/>
                <w:lang w:val="en-US" w:eastAsia="zh-CN" w:bidi="ar"/>
              </w:rPr>
              <w:t>37584</w:t>
            </w:r>
            <w:r>
              <w:rPr>
                <w:rFonts w:hint="default" w:ascii="Times New Roman" w:hAnsi="Times New Roman" w:eastAsia="宋体" w:cs="Times New Roman"/>
                <w:b w:val="0"/>
                <w:bCs w:val="0"/>
                <w:color w:val="auto"/>
                <w:kern w:val="0"/>
                <w:sz w:val="24"/>
                <w:szCs w:val="24"/>
                <w:highlight w:val="none"/>
                <w:lang w:val="en-US" w:eastAsia="zh-CN" w:bidi="ar"/>
              </w:rPr>
              <w:t>m</w:t>
            </w:r>
            <w:r>
              <w:rPr>
                <w:rFonts w:hint="default" w:ascii="Times New Roman" w:hAnsi="Times New Roman" w:eastAsia="宋体" w:cs="Times New Roman"/>
                <w:b w:val="0"/>
                <w:bCs w:val="0"/>
                <w:color w:val="auto"/>
                <w:kern w:val="0"/>
                <w:sz w:val="24"/>
                <w:szCs w:val="24"/>
                <w:highlight w:val="none"/>
                <w:vertAlign w:val="superscript"/>
                <w:lang w:val="en-US" w:eastAsia="zh-CN" w:bidi="ar"/>
              </w:rPr>
              <w:t>3</w:t>
            </w:r>
            <w:r>
              <w:rPr>
                <w:rFonts w:hint="default" w:ascii="Times New Roman" w:hAnsi="Times New Roman" w:cs="Times New Roman"/>
                <w:b w:val="0"/>
                <w:bCs w:val="0"/>
                <w:color w:val="auto"/>
                <w:kern w:val="0"/>
                <w:sz w:val="24"/>
                <w:szCs w:val="24"/>
                <w:highlight w:val="none"/>
                <w:vertAlign w:val="baseli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h。考虑到设备风阻，本次评价废气处理设备需配套风机风量按照</w:t>
            </w:r>
            <w:r>
              <w:rPr>
                <w:rFonts w:hint="default" w:ascii="Times New Roman" w:hAnsi="Times New Roman" w:cs="Times New Roman"/>
                <w:b w:val="0"/>
                <w:bCs w:val="0"/>
                <w:color w:val="auto"/>
                <w:kern w:val="0"/>
                <w:sz w:val="24"/>
                <w:szCs w:val="24"/>
                <w:highlight w:val="none"/>
                <w:lang w:val="en-US" w:eastAsia="zh-CN" w:bidi="ar"/>
              </w:rPr>
              <w:t>4</w:t>
            </w:r>
            <w:r>
              <w:rPr>
                <w:rFonts w:hint="default" w:ascii="Times New Roman" w:hAnsi="Times New Roman" w:eastAsia="宋体" w:cs="Times New Roman"/>
                <w:b w:val="0"/>
                <w:bCs w:val="0"/>
                <w:color w:val="auto"/>
                <w:kern w:val="0"/>
                <w:sz w:val="24"/>
                <w:szCs w:val="24"/>
                <w:highlight w:val="none"/>
                <w:lang w:val="en-US" w:eastAsia="zh-CN" w:bidi="ar"/>
              </w:rPr>
              <w:t>0000m</w:t>
            </w:r>
            <w:r>
              <w:rPr>
                <w:rFonts w:hint="default" w:ascii="Times New Roman" w:hAnsi="Times New Roman" w:eastAsia="宋体" w:cs="Times New Roman"/>
                <w:b w:val="0"/>
                <w:bCs w:val="0"/>
                <w:color w:val="auto"/>
                <w:kern w:val="0"/>
                <w:sz w:val="24"/>
                <w:szCs w:val="24"/>
                <w:highlight w:val="none"/>
                <w:vertAlign w:val="superscript"/>
                <w:lang w:val="en-US" w:eastAsia="zh-CN" w:bidi="ar"/>
              </w:rPr>
              <w:t>3</w:t>
            </w:r>
            <w:r>
              <w:rPr>
                <w:rFonts w:hint="default" w:ascii="Times New Roman" w:hAnsi="Times New Roman"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kern w:val="0"/>
                <w:sz w:val="24"/>
                <w:szCs w:val="24"/>
                <w:highlight w:val="none"/>
                <w:lang w:val="en-US" w:eastAsia="zh-CN" w:bidi="ar"/>
              </w:rPr>
              <w:t>h设计。</w:t>
            </w:r>
          </w:p>
          <w:p w14:paraId="494DBF7F">
            <w:pPr>
              <w:spacing w:line="360" w:lineRule="auto"/>
              <w:ind w:firstLine="480" w:firstLineChars="200"/>
              <w:rPr>
                <w:rFonts w:hint="default" w:ascii="Times New Roman" w:hAnsi="Times New Roman" w:eastAsia="宋体" w:cs="Times New Roman"/>
                <w:smallCaps w:val="0"/>
                <w:snapToGrid w:val="0"/>
                <w:color w:val="auto"/>
                <w:spacing w:val="0"/>
                <w:kern w:val="0"/>
                <w:position w:val="0"/>
                <w:sz w:val="24"/>
                <w:szCs w:val="24"/>
                <w:highlight w:val="none"/>
              </w:rPr>
            </w:pPr>
            <w:r>
              <w:rPr>
                <w:rFonts w:hint="default" w:ascii="Times New Roman" w:hAnsi="Times New Roman" w:cs="Times New Roman"/>
                <w:smallCaps w:val="0"/>
                <w:snapToGrid w:val="0"/>
                <w:color w:val="auto"/>
                <w:spacing w:val="0"/>
                <w:kern w:val="0"/>
                <w:position w:val="0"/>
                <w:sz w:val="24"/>
                <w:szCs w:val="24"/>
                <w:highlight w:val="none"/>
                <w:lang w:val="en-US" w:eastAsia="zh-CN"/>
              </w:rPr>
              <w:t>综上，本项目</w:t>
            </w:r>
            <w:r>
              <w:rPr>
                <w:rFonts w:hint="default" w:ascii="Times New Roman" w:hAnsi="Times New Roman" w:eastAsia="宋体" w:cs="Times New Roman"/>
                <w:smallCaps w:val="0"/>
                <w:snapToGrid w:val="0"/>
                <w:color w:val="auto"/>
                <w:spacing w:val="0"/>
                <w:kern w:val="0"/>
                <w:position w:val="0"/>
                <w:sz w:val="24"/>
                <w:szCs w:val="24"/>
                <w:highlight w:val="none"/>
                <w:lang w:val="en-US" w:eastAsia="zh-CN"/>
              </w:rPr>
              <w:t>在加热熔融工序各设置20</w:t>
            </w:r>
            <w:r>
              <w:rPr>
                <w:rFonts w:hint="default" w:ascii="Times New Roman" w:hAnsi="Times New Roman" w:eastAsia="宋体" w:cs="Times New Roman"/>
                <w:smallCaps w:val="0"/>
                <w:snapToGrid w:val="0"/>
                <w:color w:val="auto"/>
                <w:spacing w:val="0"/>
                <w:kern w:val="0"/>
                <w:position w:val="0"/>
                <w:sz w:val="24"/>
                <w:szCs w:val="24"/>
                <w:highlight w:val="none"/>
              </w:rPr>
              <w:t>套集气罩，集气罩</w:t>
            </w:r>
            <w:r>
              <w:rPr>
                <w:rFonts w:hint="default" w:ascii="Times New Roman" w:hAnsi="Times New Roman" w:eastAsia="宋体" w:cs="Times New Roman"/>
                <w:smallCaps w:val="0"/>
                <w:snapToGrid w:val="0"/>
                <w:color w:val="auto"/>
                <w:spacing w:val="0"/>
                <w:kern w:val="0"/>
                <w:position w:val="0"/>
                <w:sz w:val="24"/>
                <w:szCs w:val="24"/>
                <w:highlight w:val="none"/>
                <w:lang w:eastAsia="zh-CN"/>
              </w:rPr>
              <w:t>收集</w:t>
            </w:r>
            <w:r>
              <w:rPr>
                <w:rFonts w:hint="default" w:ascii="Times New Roman" w:hAnsi="Times New Roman" w:eastAsia="宋体" w:cs="Times New Roman"/>
                <w:smallCaps w:val="0"/>
                <w:snapToGrid w:val="0"/>
                <w:color w:val="auto"/>
                <w:spacing w:val="0"/>
                <w:kern w:val="0"/>
                <w:position w:val="0"/>
                <w:sz w:val="24"/>
                <w:szCs w:val="24"/>
                <w:highlight w:val="none"/>
              </w:rPr>
              <w:t>效率90%</w:t>
            </w:r>
            <w:r>
              <w:rPr>
                <w:rFonts w:hint="default" w:ascii="Times New Roman" w:hAnsi="Times New Roman" w:eastAsia="宋体" w:cs="Times New Roman"/>
                <w:smallCaps w:val="0"/>
                <w:snapToGrid w:val="0"/>
                <w:color w:val="auto"/>
                <w:spacing w:val="0"/>
                <w:kern w:val="0"/>
                <w:position w:val="0"/>
                <w:sz w:val="24"/>
                <w:szCs w:val="24"/>
                <w:highlight w:val="none"/>
                <w:lang w:eastAsia="zh-CN"/>
              </w:rPr>
              <w:t>，</w:t>
            </w:r>
            <w:r>
              <w:rPr>
                <w:rFonts w:hint="default" w:ascii="Times New Roman" w:hAnsi="Times New Roman" w:eastAsia="宋体" w:cs="Times New Roman"/>
                <w:b w:val="0"/>
                <w:bCs w:val="0"/>
                <w:color w:val="auto"/>
                <w:sz w:val="24"/>
                <w:szCs w:val="24"/>
                <w:highlight w:val="none"/>
              </w:rPr>
              <w:t>收集</w:t>
            </w:r>
            <w:r>
              <w:rPr>
                <w:rFonts w:hint="default" w:ascii="Times New Roman" w:hAnsi="Times New Roman" w:eastAsia="宋体" w:cs="Times New Roman"/>
                <w:b w:val="0"/>
                <w:bCs w:val="0"/>
                <w:color w:val="auto"/>
                <w:sz w:val="24"/>
                <w:szCs w:val="24"/>
                <w:highlight w:val="none"/>
                <w:lang w:val="en-US" w:eastAsia="zh-CN"/>
              </w:rPr>
              <w:t>并送</w:t>
            </w:r>
            <w:r>
              <w:rPr>
                <w:rFonts w:hint="default" w:ascii="Times New Roman" w:hAnsi="Times New Roman" w:eastAsia="宋体" w:cs="Times New Roman"/>
                <w:b w:val="0"/>
                <w:bCs w:val="0"/>
                <w:color w:val="auto"/>
                <w:sz w:val="24"/>
                <w:szCs w:val="24"/>
                <w:highlight w:val="none"/>
              </w:rPr>
              <w:t>至</w:t>
            </w:r>
            <w:r>
              <w:rPr>
                <w:rFonts w:hint="default" w:ascii="Times New Roman" w:hAnsi="Times New Roman" w:eastAsia="宋体" w:cs="Times New Roman"/>
                <w:b w:val="0"/>
                <w:bCs w:val="0"/>
                <w:color w:val="auto"/>
                <w:sz w:val="24"/>
                <w:szCs w:val="24"/>
                <w:highlight w:val="none"/>
                <w:lang w:val="en-US" w:eastAsia="zh-CN"/>
              </w:rPr>
              <w:t>活性炭吸附</w:t>
            </w:r>
            <w:r>
              <w:rPr>
                <w:rFonts w:hint="eastAsia" w:ascii="Times New Roman" w:hAnsi="Times New Roman"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脱附+催化燃烧装置</w:t>
            </w:r>
            <w:r>
              <w:rPr>
                <w:rFonts w:hint="eastAsia" w:ascii="Times New Roman" w:hAnsi="Times New Roman" w:eastAsia="宋体" w:cs="Times New Roman"/>
                <w:b w:val="0"/>
                <w:bCs w:val="0"/>
                <w:color w:val="auto"/>
                <w:sz w:val="24"/>
                <w:szCs w:val="24"/>
                <w:highlight w:val="none"/>
                <w:lang w:val="en-US" w:eastAsia="zh-CN"/>
              </w:rPr>
              <w:t>（处理效率：85%）</w:t>
            </w:r>
            <w:r>
              <w:rPr>
                <w:rFonts w:hint="default" w:ascii="Times New Roman" w:hAnsi="Times New Roman" w:eastAsia="宋体" w:cs="Times New Roman"/>
                <w:b w:val="0"/>
                <w:bCs w:val="0"/>
                <w:color w:val="auto"/>
                <w:sz w:val="24"/>
                <w:szCs w:val="24"/>
                <w:highlight w:val="none"/>
                <w:lang w:val="en-US" w:eastAsia="zh-CN"/>
              </w:rPr>
              <w:t>（RCO）</w:t>
            </w:r>
            <w:r>
              <w:rPr>
                <w:rFonts w:hint="default" w:ascii="Times New Roman" w:hAnsi="Times New Roman" w:eastAsia="宋体" w:cs="Times New Roman"/>
                <w:b w:val="0"/>
                <w:bCs w:val="0"/>
                <w:color w:val="auto"/>
                <w:sz w:val="24"/>
                <w:szCs w:val="24"/>
                <w:highlight w:val="none"/>
                <w:vertAlign w:val="baseline"/>
                <w:lang w:val="en-US" w:eastAsia="zh-CN"/>
              </w:rPr>
              <w:t>处理后经1根15m高排气筒</w:t>
            </w:r>
            <w:r>
              <w:rPr>
                <w:rFonts w:hint="default" w:ascii="Times New Roman" w:hAnsi="Times New Roman" w:cs="Times New Roman"/>
                <w:b w:val="0"/>
                <w:bCs w:val="0"/>
                <w:color w:val="auto"/>
                <w:sz w:val="24"/>
                <w:szCs w:val="22"/>
                <w:highlight w:val="none"/>
                <w:lang w:val="en-US" w:eastAsia="zh-CN"/>
              </w:rPr>
              <w:t>（DA003）</w:t>
            </w:r>
            <w:r>
              <w:rPr>
                <w:rFonts w:hint="default" w:ascii="Times New Roman" w:hAnsi="Times New Roman" w:eastAsia="宋体" w:cs="Times New Roman"/>
                <w:b w:val="0"/>
                <w:bCs w:val="0"/>
                <w:color w:val="auto"/>
                <w:sz w:val="24"/>
                <w:szCs w:val="24"/>
                <w:highlight w:val="none"/>
              </w:rPr>
              <w:t>有组织排放</w:t>
            </w:r>
            <w:r>
              <w:rPr>
                <w:rFonts w:hint="default" w:ascii="Times New Roman" w:hAnsi="Times New Roman" w:eastAsia="宋体" w:cs="Times New Roman"/>
                <w:b w:val="0"/>
                <w:bCs w:val="0"/>
                <w:color w:val="auto"/>
                <w:sz w:val="24"/>
                <w:szCs w:val="24"/>
                <w:highlight w:val="none"/>
                <w:lang w:val="en-US" w:eastAsia="zh-CN"/>
              </w:rPr>
              <w:t>方式可行</w:t>
            </w:r>
            <w:r>
              <w:rPr>
                <w:rFonts w:hint="default" w:ascii="Times New Roman" w:hAnsi="Times New Roman" w:eastAsia="宋体" w:cs="Times New Roman"/>
                <w:b w:val="0"/>
                <w:bCs w:val="0"/>
                <w:color w:val="auto"/>
                <w:sz w:val="24"/>
                <w:szCs w:val="24"/>
                <w:highlight w:val="none"/>
              </w:rPr>
              <w:t>。</w:t>
            </w:r>
          </w:p>
          <w:p w14:paraId="59B8B6CA">
            <w:pPr>
              <w:keepNext w:val="0"/>
              <w:keepLines w:val="0"/>
              <w:pageBreakBefore w:val="0"/>
              <w:widowControl w:val="0"/>
              <w:shd w:val="clear" w:color="auto" w:fill="auto"/>
              <w:kinsoku/>
              <w:wordWrap/>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cs="Times New Roman"/>
                <w:b/>
                <w:bCs/>
                <w:color w:val="auto"/>
                <w:kern w:val="2"/>
                <w:sz w:val="24"/>
                <w:szCs w:val="24"/>
                <w:highlight w:val="none"/>
                <w:lang w:val="en-US" w:eastAsia="zh-CN" w:bidi="ar-SA"/>
              </w:rPr>
              <w:t>②催化燃烧装置</w:t>
            </w:r>
            <w:r>
              <w:rPr>
                <w:rFonts w:hint="eastAsia" w:ascii="Times New Roman" w:hAnsi="Times New Roman" w:cs="Times New Roman"/>
                <w:b/>
                <w:bCs/>
                <w:color w:val="auto"/>
                <w:kern w:val="2"/>
                <w:sz w:val="24"/>
                <w:szCs w:val="24"/>
                <w:highlight w:val="none"/>
                <w:lang w:val="en-US" w:eastAsia="zh-CN" w:bidi="ar-SA"/>
              </w:rPr>
              <w:t>分类</w:t>
            </w:r>
            <w:r>
              <w:rPr>
                <w:rFonts w:hint="default" w:ascii="Times New Roman" w:hAnsi="Times New Roman" w:cs="Times New Roman"/>
                <w:b/>
                <w:bCs/>
                <w:color w:val="auto"/>
                <w:kern w:val="2"/>
                <w:sz w:val="24"/>
                <w:szCs w:val="24"/>
                <w:highlight w:val="none"/>
                <w:lang w:val="en-US" w:eastAsia="zh-CN" w:bidi="ar-SA"/>
              </w:rPr>
              <w:t>的确定</w:t>
            </w:r>
          </w:p>
          <w:p w14:paraId="3B429AD5">
            <w:pPr>
              <w:keepNext w:val="0"/>
              <w:keepLines w:val="0"/>
              <w:pageBreakBefore w:val="0"/>
              <w:widowControl w:val="0"/>
              <w:shd w:val="clear" w:color="auto" w:fill="auto"/>
              <w:kinsoku/>
              <w:wordWrap/>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本项目采用</w:t>
            </w:r>
            <w:r>
              <w:rPr>
                <w:rFonts w:hint="eastAsia" w:ascii="Times New Roman" w:hAnsi="Times New Roman" w:cs="Times New Roman"/>
                <w:b w:val="0"/>
                <w:color w:val="auto"/>
                <w:kern w:val="2"/>
                <w:sz w:val="24"/>
                <w:szCs w:val="24"/>
                <w:highlight w:val="none"/>
                <w:lang w:val="en-US" w:eastAsia="zh-CN" w:bidi="ar-SA"/>
              </w:rPr>
              <w:t>活性炭吸附+脱附+催化燃烧</w:t>
            </w:r>
            <w:r>
              <w:rPr>
                <w:rFonts w:hint="eastAsia" w:ascii="Times New Roman" w:hAnsi="Times New Roman" w:eastAsia="宋体" w:cs="Times New Roman"/>
                <w:b w:val="0"/>
                <w:bCs w:val="0"/>
                <w:color w:val="auto"/>
                <w:sz w:val="24"/>
                <w:szCs w:val="24"/>
                <w:highlight w:val="none"/>
                <w:lang w:val="en-US" w:eastAsia="zh-CN"/>
              </w:rPr>
              <w:t>（处理效率：85%）</w:t>
            </w:r>
            <w:r>
              <w:rPr>
                <w:rFonts w:hint="default" w:ascii="Times New Roman" w:hAnsi="Times New Roman" w:eastAsia="宋体" w:cs="Times New Roman"/>
                <w:b w:val="0"/>
                <w:color w:val="auto"/>
                <w:kern w:val="2"/>
                <w:sz w:val="24"/>
                <w:szCs w:val="24"/>
                <w:highlight w:val="none"/>
                <w:lang w:val="en-US" w:eastAsia="zh-CN" w:bidi="ar-SA"/>
              </w:rPr>
              <w:t>（RCO）作为废气治理设置处理</w:t>
            </w:r>
            <w:r>
              <w:rPr>
                <w:rFonts w:hint="default" w:ascii="Times New Roman" w:hAnsi="Times New Roman" w:cs="Times New Roman"/>
                <w:b w:val="0"/>
                <w:color w:val="auto"/>
                <w:kern w:val="2"/>
                <w:sz w:val="24"/>
                <w:szCs w:val="24"/>
                <w:highlight w:val="none"/>
                <w:lang w:val="en-US" w:eastAsia="zh-CN" w:bidi="ar-SA"/>
              </w:rPr>
              <w:t>VOCs（以非甲烷总烃计）</w:t>
            </w:r>
            <w:r>
              <w:rPr>
                <w:rFonts w:hint="default" w:ascii="Times New Roman" w:hAnsi="Times New Roman" w:eastAsia="宋体" w:cs="Times New Roman"/>
                <w:b w:val="0"/>
                <w:color w:val="auto"/>
                <w:kern w:val="2"/>
                <w:sz w:val="24"/>
                <w:szCs w:val="24"/>
                <w:highlight w:val="none"/>
                <w:lang w:val="en-US" w:eastAsia="zh-CN" w:bidi="ar-SA"/>
              </w:rPr>
              <w:t>，具体工艺流程如下：</w:t>
            </w:r>
          </w:p>
          <w:p w14:paraId="3DC60339">
            <w:pPr>
              <w:keepNext w:val="0"/>
              <w:keepLines w:val="0"/>
              <w:pageBreakBefore w:val="0"/>
              <w:widowControl w:val="0"/>
              <w:shd w:val="clear" w:color="auto" w:fill="auto"/>
              <w:kinsoku/>
              <w:wordWrap/>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w:t>
            </w:r>
            <w:r>
              <w:rPr>
                <w:rFonts w:hint="eastAsia" w:ascii="Times New Roman" w:hAnsi="Times New Roman" w:cs="Times New Roman"/>
                <w:b w:val="0"/>
                <w:color w:val="auto"/>
                <w:kern w:val="2"/>
                <w:sz w:val="24"/>
                <w:szCs w:val="24"/>
                <w:highlight w:val="none"/>
                <w:lang w:val="en-US" w:eastAsia="zh-CN" w:bidi="ar-SA"/>
              </w:rPr>
              <w:t>活性炭吸附+脱附+催化燃烧</w:t>
            </w:r>
            <w:r>
              <w:rPr>
                <w:rFonts w:hint="eastAsia" w:ascii="Times New Roman" w:hAnsi="Times New Roman" w:eastAsia="宋体" w:cs="Times New Roman"/>
                <w:b w:val="0"/>
                <w:bCs w:val="0"/>
                <w:color w:val="auto"/>
                <w:sz w:val="24"/>
                <w:szCs w:val="24"/>
                <w:highlight w:val="none"/>
                <w:lang w:val="en-US" w:eastAsia="zh-CN"/>
              </w:rPr>
              <w:t>（处理效率：85%）</w:t>
            </w:r>
            <w:r>
              <w:rPr>
                <w:rFonts w:hint="default" w:ascii="Times New Roman" w:hAnsi="Times New Roman" w:eastAsia="宋体" w:cs="Times New Roman"/>
                <w:b w:val="0"/>
                <w:color w:val="auto"/>
                <w:kern w:val="2"/>
                <w:sz w:val="24"/>
                <w:szCs w:val="24"/>
                <w:highlight w:val="none"/>
                <w:lang w:val="en-US" w:eastAsia="zh-CN" w:bidi="ar-SA"/>
              </w:rPr>
              <w:t>(RCO)”技术是一种高效</w:t>
            </w:r>
            <w:r>
              <w:rPr>
                <w:rFonts w:hint="default" w:ascii="Times New Roman" w:hAnsi="Times New Roman" w:cs="Times New Roman"/>
                <w:b w:val="0"/>
                <w:color w:val="auto"/>
                <w:kern w:val="2"/>
                <w:sz w:val="24"/>
                <w:szCs w:val="24"/>
                <w:highlight w:val="none"/>
                <w:lang w:val="en-US" w:eastAsia="zh-CN" w:bidi="ar-SA"/>
              </w:rPr>
              <w:t>VOCs（以非甲烷总烃计）</w:t>
            </w:r>
            <w:r>
              <w:rPr>
                <w:rFonts w:hint="default" w:ascii="Times New Roman" w:hAnsi="Times New Roman" w:eastAsia="宋体" w:cs="Times New Roman"/>
                <w:b w:val="0"/>
                <w:color w:val="auto"/>
                <w:kern w:val="2"/>
                <w:sz w:val="24"/>
                <w:szCs w:val="24"/>
                <w:highlight w:val="none"/>
                <w:lang w:val="en-US" w:eastAsia="zh-CN" w:bidi="ar-SA"/>
              </w:rPr>
              <w:t>治理设备。与传统的催化燃烧、直燃式热氧化炉(TO)相比，具有热效率高(≥</w:t>
            </w:r>
            <w:r>
              <w:rPr>
                <w:rFonts w:hint="default" w:ascii="Times New Roman" w:hAnsi="Times New Roman" w:cs="Times New Roman"/>
                <w:b w:val="0"/>
                <w:color w:val="auto"/>
                <w:kern w:val="2"/>
                <w:sz w:val="24"/>
                <w:szCs w:val="24"/>
                <w:highlight w:val="none"/>
                <w:lang w:val="en-US" w:eastAsia="zh-CN" w:bidi="ar-SA"/>
              </w:rPr>
              <w:t>8</w:t>
            </w:r>
            <w:r>
              <w:rPr>
                <w:rFonts w:hint="default" w:ascii="Times New Roman" w:hAnsi="Times New Roman" w:eastAsia="宋体" w:cs="Times New Roman"/>
                <w:b w:val="0"/>
                <w:color w:val="auto"/>
                <w:kern w:val="2"/>
                <w:sz w:val="24"/>
                <w:szCs w:val="24"/>
                <w:highlight w:val="none"/>
                <w:lang w:val="en-US" w:eastAsia="zh-CN" w:bidi="ar-SA"/>
              </w:rPr>
              <w:t>5%)、运行成本低、能处理大风量中低浓度废气等特点，浓度稍高时，还可进行二次余热回收，大大降低生产运营成本。</w:t>
            </w:r>
          </w:p>
          <w:p w14:paraId="2D29BA8B">
            <w:pPr>
              <w:keepNext w:val="0"/>
              <w:keepLines w:val="0"/>
              <w:pageBreakBefore w:val="0"/>
              <w:widowControl w:val="0"/>
              <w:shd w:val="clear" w:color="auto" w:fill="auto"/>
              <w:kinsoku/>
              <w:wordWrap/>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第一步是催化剂对</w:t>
            </w:r>
            <w:r>
              <w:rPr>
                <w:rFonts w:hint="default" w:ascii="Times New Roman" w:hAnsi="Times New Roman" w:cs="Times New Roman"/>
                <w:b w:val="0"/>
                <w:color w:val="auto"/>
                <w:kern w:val="2"/>
                <w:sz w:val="24"/>
                <w:szCs w:val="24"/>
                <w:highlight w:val="none"/>
                <w:lang w:val="en-US" w:eastAsia="zh-CN" w:bidi="ar-SA"/>
              </w:rPr>
              <w:t>VOCs（以非甲烷总烃计）</w:t>
            </w:r>
            <w:r>
              <w:rPr>
                <w:rFonts w:hint="default" w:ascii="Times New Roman" w:hAnsi="Times New Roman" w:eastAsia="宋体" w:cs="Times New Roman"/>
                <w:b w:val="0"/>
                <w:color w:val="auto"/>
                <w:kern w:val="2"/>
                <w:sz w:val="24"/>
                <w:szCs w:val="24"/>
                <w:highlight w:val="none"/>
                <w:lang w:val="en-US" w:eastAsia="zh-CN" w:bidi="ar-SA"/>
              </w:rPr>
              <w:t>分子的吸附，提高了反应物的浓度，第二步是催化氧化阶段降低反应的活化能，提高了反应速率。借助催化剂可使</w:t>
            </w:r>
            <w:r>
              <w:rPr>
                <w:rFonts w:hint="default" w:ascii="Times New Roman" w:hAnsi="Times New Roman" w:cs="Times New Roman"/>
                <w:b w:val="0"/>
                <w:color w:val="auto"/>
                <w:kern w:val="2"/>
                <w:sz w:val="24"/>
                <w:szCs w:val="24"/>
                <w:highlight w:val="none"/>
                <w:lang w:val="en-US" w:eastAsia="zh-CN" w:bidi="ar-SA"/>
              </w:rPr>
              <w:t>VOCs（以非甲烷总烃计）</w:t>
            </w:r>
            <w:r>
              <w:rPr>
                <w:rFonts w:hint="default" w:ascii="Times New Roman" w:hAnsi="Times New Roman" w:eastAsia="宋体" w:cs="Times New Roman"/>
                <w:b w:val="0"/>
                <w:color w:val="auto"/>
                <w:kern w:val="2"/>
                <w:sz w:val="24"/>
                <w:szCs w:val="24"/>
                <w:highlight w:val="none"/>
                <w:lang w:val="en-US" w:eastAsia="zh-CN" w:bidi="ar-SA"/>
              </w:rPr>
              <w:t>在较低的起燃温度下，发生无氧燃烧，分解成CO₂和H₂O放出大量的热，反应温度在250～400℃。</w:t>
            </w:r>
          </w:p>
          <w:p w14:paraId="6EEA50B4">
            <w:pPr>
              <w:pStyle w:val="5"/>
              <w:keepNext w:val="0"/>
              <w:keepLines w:val="0"/>
              <w:pageBreakBefore w:val="0"/>
              <w:shd w:val="clear" w:color="auto" w:fill="auto"/>
              <w:kinsoku/>
              <w:wordWrap/>
              <w:overflowPunct/>
              <w:topLinePunct w:val="0"/>
              <w:autoSpaceDE/>
              <w:autoSpaceDN/>
              <w:bidi w:val="0"/>
              <w:adjustRightInd/>
              <w:spacing w:before="0" w:after="0" w:line="360" w:lineRule="auto"/>
              <w:ind w:right="0" w:firstLine="0" w:firstLineChars="0"/>
              <w:jc w:val="center"/>
              <w:textAlignment w:val="auto"/>
              <w:rPr>
                <w:rFonts w:hint="default" w:ascii="Times New Roman" w:hAnsi="Times New Roman" w:eastAsia="宋体" w:cs="Times New Roman"/>
                <w:b/>
                <w:color w:val="auto"/>
                <w:spacing w:val="0"/>
                <w:sz w:val="24"/>
                <w:szCs w:val="24"/>
                <w:highlight w:val="none"/>
                <w:lang w:eastAsia="zh-CN"/>
              </w:rPr>
            </w:pPr>
            <w:r>
              <w:rPr>
                <w:rFonts w:hint="default" w:ascii="Times New Roman" w:hAnsi="Times New Roman" w:cs="Times New Roman"/>
                <w:color w:val="auto"/>
                <w:sz w:val="24"/>
                <w:szCs w:val="24"/>
                <w:highlight w:val="none"/>
              </w:rPr>
              <w:drawing>
                <wp:inline distT="0" distB="0" distL="114300" distR="114300">
                  <wp:extent cx="4536440" cy="1827530"/>
                  <wp:effectExtent l="0" t="0" r="16510" b="1270"/>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16"/>
                          <a:stretch>
                            <a:fillRect/>
                          </a:stretch>
                        </pic:blipFill>
                        <pic:spPr>
                          <a:xfrm>
                            <a:off x="0" y="0"/>
                            <a:ext cx="4536440" cy="1827530"/>
                          </a:xfrm>
                          <a:prstGeom prst="rect">
                            <a:avLst/>
                          </a:prstGeom>
                          <a:noFill/>
                          <a:ln>
                            <a:noFill/>
                          </a:ln>
                        </pic:spPr>
                      </pic:pic>
                    </a:graphicData>
                  </a:graphic>
                </wp:inline>
              </w:drawing>
            </w:r>
          </w:p>
          <w:p w14:paraId="4331CD74">
            <w:pPr>
              <w:pStyle w:val="21"/>
              <w:keepNext w:val="0"/>
              <w:keepLines w:val="0"/>
              <w:pageBreakBefore w:val="0"/>
              <w:widowControl w:val="0"/>
              <w:shd w:val="clear" w:color="auto" w:fill="auto"/>
              <w:kinsoku/>
              <w:wordWrap/>
              <w:overflowPunct/>
              <w:topLinePunct w:val="0"/>
              <w:autoSpaceDE/>
              <w:autoSpaceDN/>
              <w:bidi w:val="0"/>
              <w:adjustRightInd/>
              <w:snapToGrid/>
              <w:spacing w:after="0" w:line="240" w:lineRule="auto"/>
              <w:ind w:right="0" w:firstLine="0" w:firstLineChars="0"/>
              <w:jc w:val="center"/>
              <w:textAlignment w:val="auto"/>
              <w:rPr>
                <w:rFonts w:hint="default" w:ascii="Times New Roman" w:hAnsi="Times New Roman" w:eastAsia="宋体" w:cs="Times New Roman"/>
                <w:b/>
                <w:color w:val="auto"/>
                <w:spacing w:val="0"/>
                <w:sz w:val="21"/>
                <w:szCs w:val="21"/>
                <w:highlight w:val="none"/>
                <w:lang w:val="en-US" w:eastAsia="zh-CN"/>
              </w:rPr>
            </w:pPr>
            <w:r>
              <w:rPr>
                <w:rFonts w:hint="default" w:ascii="Times New Roman" w:hAnsi="Times New Roman" w:eastAsia="宋体" w:cs="Times New Roman"/>
                <w:b/>
                <w:color w:val="auto"/>
                <w:spacing w:val="0"/>
                <w:sz w:val="21"/>
                <w:szCs w:val="21"/>
                <w:highlight w:val="none"/>
                <w:lang w:eastAsia="zh-CN"/>
              </w:rPr>
              <w:t>图</w:t>
            </w:r>
            <w:r>
              <w:rPr>
                <w:rFonts w:hint="default" w:ascii="Times New Roman" w:hAnsi="Times New Roman" w:eastAsia="宋体" w:cs="Times New Roman"/>
                <w:b/>
                <w:color w:val="auto"/>
                <w:spacing w:val="0"/>
                <w:sz w:val="21"/>
                <w:szCs w:val="21"/>
                <w:highlight w:val="none"/>
                <w:lang w:val="en-US" w:eastAsia="zh-CN"/>
              </w:rPr>
              <w:t>4-1   催化燃烧工艺流程图</w:t>
            </w:r>
          </w:p>
          <w:p w14:paraId="2F3F035E">
            <w:pPr>
              <w:keepNext w:val="0"/>
              <w:keepLines w:val="0"/>
              <w:pageBreakBefore w:val="0"/>
              <w:widowControl w:val="0"/>
              <w:shd w:val="clear" w:color="auto" w:fill="auto"/>
              <w:kinsoku/>
              <w:wordWrap/>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color w:val="auto"/>
                <w:kern w:val="2"/>
                <w:sz w:val="24"/>
                <w:szCs w:val="24"/>
                <w:highlight w:val="none"/>
                <w:lang w:val="en-US" w:eastAsia="zh-CN" w:bidi="ar-SA"/>
              </w:rPr>
            </w:pPr>
            <w:r>
              <w:rPr>
                <w:rFonts w:hint="default" w:ascii="Times New Roman" w:hAnsi="Times New Roman" w:eastAsia="宋体" w:cs="Times New Roman"/>
                <w:b w:val="0"/>
                <w:color w:val="auto"/>
                <w:kern w:val="2"/>
                <w:sz w:val="24"/>
                <w:szCs w:val="24"/>
                <w:highlight w:val="none"/>
                <w:lang w:val="en-US" w:eastAsia="zh-CN" w:bidi="ar-SA"/>
              </w:rPr>
              <w:t>过程如下：启动脱附风机、开启相应阀门和远红外电加热器，对催化燃烧床内部的催化剂进行预热，同时产生一定量的热空气，当床层温度达到设定值时将热空气送入吸附床，活性炭受热解吸出高浓度的有机气体，经脱附风机引入催化燃烧床，在贵金属催化剂的作用下于一个较低的温度进行无焰催化燃烧，将有机成分转化为无毒、无害的CO</w:t>
            </w:r>
            <w:r>
              <w:rPr>
                <w:rFonts w:hint="default" w:ascii="Times New Roman" w:hAnsi="Times New Roman" w:eastAsia="宋体" w:cs="Times New Roman"/>
                <w:b w:val="0"/>
                <w:color w:val="auto"/>
                <w:kern w:val="2"/>
                <w:sz w:val="24"/>
                <w:szCs w:val="24"/>
                <w:highlight w:val="none"/>
                <w:vertAlign w:val="subscript"/>
                <w:lang w:val="en-US" w:eastAsia="zh-CN" w:bidi="ar-SA"/>
              </w:rPr>
              <w:t>2</w:t>
            </w:r>
            <w:r>
              <w:rPr>
                <w:rFonts w:hint="default" w:ascii="Times New Roman" w:hAnsi="Times New Roman" w:eastAsia="宋体" w:cs="Times New Roman"/>
                <w:b w:val="0"/>
                <w:color w:val="auto"/>
                <w:kern w:val="2"/>
                <w:sz w:val="24"/>
                <w:szCs w:val="24"/>
                <w:highlight w:val="none"/>
                <w:lang w:val="en-US" w:eastAsia="zh-CN" w:bidi="ar-SA"/>
              </w:rPr>
              <w:t>和H</w:t>
            </w:r>
            <w:r>
              <w:rPr>
                <w:rFonts w:hint="default" w:ascii="Times New Roman" w:hAnsi="Times New Roman" w:eastAsia="宋体" w:cs="Times New Roman"/>
                <w:b w:val="0"/>
                <w:color w:val="auto"/>
                <w:kern w:val="2"/>
                <w:sz w:val="24"/>
                <w:szCs w:val="24"/>
                <w:highlight w:val="none"/>
                <w:vertAlign w:val="subscript"/>
                <w:lang w:val="en-US" w:eastAsia="zh-CN" w:bidi="ar-SA"/>
              </w:rPr>
              <w:t>2</w:t>
            </w:r>
            <w:r>
              <w:rPr>
                <w:rFonts w:hint="default" w:ascii="Times New Roman" w:hAnsi="Times New Roman" w:eastAsia="宋体" w:cs="Times New Roman"/>
                <w:b w:val="0"/>
                <w:color w:val="auto"/>
                <w:kern w:val="2"/>
                <w:sz w:val="24"/>
                <w:szCs w:val="24"/>
                <w:highlight w:val="none"/>
                <w:lang w:val="en-US" w:eastAsia="zh-CN" w:bidi="ar-SA"/>
              </w:rPr>
              <w:t>O，同时释放出大量的热量，可维持催化燃烧所需的起燃温度，使废气燃烧过程基本不需外加的能耗（电能），并将部分热量回用于吸附床内活性炭的解吸再生，从而大大降低了能耗。净化系统催化燃烧床内，有远红外电加热器多组，预热时远红外电加热器全部开启，可实现在较短时间内将废气从室温加热到既定温度；而在稳定燃烧阶段，由于燃烧过程发出大量能量，电加热器只需开启一小部分或无需开启，从而达到节能降耗的控制目标。当燃烧废气浓度较高、反应温度较高时，混流风机自动开启，补充新鲜的冷空气以降低温度、确保催化燃烧床安全、高效运行。</w:t>
            </w:r>
          </w:p>
          <w:p w14:paraId="3F2FA0BA">
            <w:pPr>
              <w:pStyle w:val="21"/>
              <w:keepNext w:val="0"/>
              <w:keepLines w:val="0"/>
              <w:pageBreakBefore w:val="0"/>
              <w:widowControl w:val="0"/>
              <w:shd w:val="clear" w:color="auto" w:fill="auto"/>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eastAsia="宋体" w:cs="Times New Roman"/>
                <w:b w:val="0"/>
                <w:color w:val="auto"/>
                <w:kern w:val="2"/>
                <w:sz w:val="24"/>
                <w:szCs w:val="24"/>
                <w:highlight w:val="none"/>
                <w:lang w:val="en-US" w:eastAsia="zh-CN" w:bidi="ar-SA"/>
              </w:rPr>
              <w:t>本项目废气主要为非甲烷总烃，根据《排污许可证申请与核发技术规范 总则》（HJ942-2018）等相关规范可知，挥发性有机物处理的可行技术为吸附法、燃烧法、催化燃烧等工艺。本项目产生的废气治理技术采用“</w:t>
            </w:r>
            <w:r>
              <w:rPr>
                <w:rFonts w:hint="eastAsia" w:ascii="Times New Roman" w:hAnsi="Times New Roman" w:cs="Times New Roman"/>
                <w:b w:val="0"/>
                <w:color w:val="auto"/>
                <w:kern w:val="2"/>
                <w:sz w:val="24"/>
                <w:szCs w:val="24"/>
                <w:highlight w:val="none"/>
                <w:lang w:val="en-US" w:eastAsia="zh-CN" w:bidi="ar-SA"/>
              </w:rPr>
              <w:t>活性炭吸附+脱附+催化燃烧</w:t>
            </w:r>
            <w:r>
              <w:rPr>
                <w:rFonts w:hint="default" w:ascii="Times New Roman" w:hAnsi="Times New Roman" w:eastAsia="宋体" w:cs="Times New Roman"/>
                <w:b w:val="0"/>
                <w:color w:val="auto"/>
                <w:kern w:val="2"/>
                <w:sz w:val="24"/>
                <w:szCs w:val="24"/>
                <w:highlight w:val="none"/>
                <w:lang w:val="en-US" w:eastAsia="zh-CN" w:bidi="ar-SA"/>
              </w:rPr>
              <w:t>”技术，故项目采取的污染防治技术为可行性技术。</w:t>
            </w:r>
          </w:p>
          <w:p w14:paraId="5D92629C">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spacing w:val="0"/>
                <w:position w:val="0"/>
                <w:sz w:val="24"/>
                <w:szCs w:val="24"/>
                <w:highlight w:val="none"/>
              </w:rPr>
            </w:pPr>
            <w:r>
              <w:rPr>
                <w:rFonts w:hint="default" w:ascii="Times New Roman" w:hAnsi="Times New Roman" w:eastAsia="宋体" w:cs="Times New Roman"/>
                <w:color w:val="auto"/>
                <w:spacing w:val="0"/>
                <w:position w:val="0"/>
                <w:sz w:val="24"/>
                <w:szCs w:val="24"/>
                <w:highlight w:val="none"/>
              </w:rPr>
              <w:t>综上所述，本项目废气处理措施可行。</w:t>
            </w:r>
          </w:p>
          <w:p w14:paraId="653389E1">
            <w:pPr>
              <w:pStyle w:val="64"/>
              <w:ind w:firstLine="0" w:firstLineChars="0"/>
              <w:rPr>
                <w:rFonts w:hint="default" w:ascii="Times New Roman" w:hAnsi="Times New Roman" w:cs="Times New Roman"/>
                <w:b/>
                <w:bCs/>
                <w:color w:val="auto"/>
                <w:highlight w:val="none"/>
              </w:rPr>
            </w:pPr>
            <w:r>
              <w:rPr>
                <w:rFonts w:hint="default" w:ascii="Times New Roman" w:hAnsi="Times New Roman" w:cs="Times New Roman"/>
                <w:b/>
                <w:bCs/>
                <w:color w:val="auto"/>
                <w:szCs w:val="32"/>
                <w:highlight w:val="none"/>
              </w:rPr>
              <w:t>1.</w:t>
            </w:r>
            <w:r>
              <w:rPr>
                <w:rFonts w:hint="default" w:ascii="Times New Roman" w:hAnsi="Times New Roman" w:cs="Times New Roman"/>
                <w:b/>
                <w:bCs/>
                <w:color w:val="auto"/>
                <w:szCs w:val="32"/>
                <w:highlight w:val="none"/>
                <w:lang w:val="en-US" w:eastAsia="zh-CN"/>
              </w:rPr>
              <w:t>4</w:t>
            </w:r>
            <w:r>
              <w:rPr>
                <w:rFonts w:hint="default" w:ascii="Times New Roman" w:hAnsi="Times New Roman" w:cs="Times New Roman"/>
                <w:b/>
                <w:bCs/>
                <w:color w:val="auto"/>
                <w:highlight w:val="none"/>
              </w:rPr>
              <w:t>排放口设置情况</w:t>
            </w:r>
          </w:p>
          <w:p w14:paraId="4DCD51F9">
            <w:pPr>
              <w:pStyle w:val="64"/>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本项目废气排放口基本情况见表4-</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p>
          <w:p w14:paraId="12E2D5D3">
            <w:pPr>
              <w:pStyle w:val="11"/>
              <w:keepNext w:val="0"/>
              <w:keepLines w:val="0"/>
              <w:pageBreakBefore w:val="0"/>
              <w:widowControl w:val="0"/>
              <w:kinsoku/>
              <w:wordWrap/>
              <w:overflowPunct/>
              <w:topLinePunct w:val="0"/>
              <w:autoSpaceDE/>
              <w:autoSpaceDN/>
              <w:bidi w:val="0"/>
              <w:adjustRightInd/>
              <w:snapToGrid/>
              <w:spacing w:before="0" w:after="0" w:line="240" w:lineRule="auto"/>
              <w:textAlignment w:val="auto"/>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表4-</w:t>
            </w:r>
            <w:r>
              <w:rPr>
                <w:rFonts w:hint="default" w:ascii="Times New Roman" w:hAnsi="Times New Roman" w:cs="Times New Roman"/>
                <w:b/>
                <w:color w:val="auto"/>
                <w:sz w:val="21"/>
                <w:szCs w:val="21"/>
                <w:highlight w:val="none"/>
                <w:lang w:val="en-US" w:eastAsia="zh-CN"/>
              </w:rPr>
              <w:t>2</w:t>
            </w:r>
            <w:r>
              <w:rPr>
                <w:rFonts w:hint="default" w:ascii="Times New Roman" w:hAnsi="Times New Roman" w:cs="Times New Roman"/>
                <w:b/>
                <w:color w:val="auto"/>
                <w:sz w:val="21"/>
                <w:szCs w:val="21"/>
                <w:highlight w:val="none"/>
              </w:rPr>
              <w:t xml:space="preserve">    有组织废气排放口基本情况表</w:t>
            </w:r>
          </w:p>
          <w:tbl>
            <w:tblPr>
              <w:tblStyle w:val="24"/>
              <w:tblW w:w="494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95"/>
              <w:gridCol w:w="585"/>
              <w:gridCol w:w="518"/>
              <w:gridCol w:w="517"/>
              <w:gridCol w:w="616"/>
              <w:gridCol w:w="622"/>
              <w:gridCol w:w="629"/>
              <w:gridCol w:w="600"/>
              <w:gridCol w:w="577"/>
              <w:gridCol w:w="592"/>
              <w:gridCol w:w="435"/>
              <w:gridCol w:w="468"/>
              <w:gridCol w:w="727"/>
            </w:tblGrid>
            <w:tr w14:paraId="6BE16F0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95" w:type="dxa"/>
                  <w:vMerge w:val="restart"/>
                  <w:noWrap w:val="0"/>
                  <w:vAlign w:val="center"/>
                </w:tcPr>
                <w:p w14:paraId="31516D42">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排放口编号</w:t>
                  </w:r>
                </w:p>
              </w:tc>
              <w:tc>
                <w:tcPr>
                  <w:tcW w:w="585" w:type="dxa"/>
                  <w:vMerge w:val="restart"/>
                  <w:noWrap w:val="0"/>
                  <w:vAlign w:val="center"/>
                </w:tcPr>
                <w:p w14:paraId="4947E113">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排放口名称</w:t>
                  </w:r>
                </w:p>
              </w:tc>
              <w:tc>
                <w:tcPr>
                  <w:tcW w:w="1035" w:type="dxa"/>
                  <w:gridSpan w:val="2"/>
                  <w:noWrap w:val="0"/>
                  <w:vAlign w:val="center"/>
                </w:tcPr>
                <w:p w14:paraId="06A1BDF0">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排气筒底部中心坐标</w:t>
                  </w:r>
                </w:p>
              </w:tc>
              <w:tc>
                <w:tcPr>
                  <w:tcW w:w="616" w:type="dxa"/>
                  <w:vMerge w:val="restart"/>
                  <w:noWrap w:val="0"/>
                  <w:vAlign w:val="center"/>
                </w:tcPr>
                <w:p w14:paraId="6DF7C4BA">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排气筒底部</w:t>
                  </w:r>
                  <w:r>
                    <w:rPr>
                      <w:rFonts w:hint="default" w:ascii="Times New Roman" w:hAnsi="Times New Roman" w:cs="Times New Roman"/>
                      <w:b/>
                      <w:bCs/>
                      <w:color w:val="auto"/>
                      <w:sz w:val="21"/>
                      <w:szCs w:val="21"/>
                      <w:highlight w:val="none"/>
                      <w:lang w:eastAsia="zh-CN"/>
                    </w:rPr>
                    <w:t>海拔</w:t>
                  </w:r>
                  <w:r>
                    <w:rPr>
                      <w:rFonts w:hint="default" w:ascii="Times New Roman" w:hAnsi="Times New Roman" w:cs="Times New Roman"/>
                      <w:b/>
                      <w:bCs/>
                      <w:color w:val="auto"/>
                      <w:sz w:val="21"/>
                      <w:szCs w:val="21"/>
                      <w:highlight w:val="none"/>
                    </w:rPr>
                    <w:t>(m)</w:t>
                  </w:r>
                </w:p>
              </w:tc>
              <w:tc>
                <w:tcPr>
                  <w:tcW w:w="2428" w:type="dxa"/>
                  <w:gridSpan w:val="4"/>
                  <w:noWrap w:val="0"/>
                  <w:vAlign w:val="center"/>
                </w:tcPr>
                <w:p w14:paraId="5C7E591C">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排气筒参数</w:t>
                  </w:r>
                </w:p>
              </w:tc>
              <w:tc>
                <w:tcPr>
                  <w:tcW w:w="1027" w:type="dxa"/>
                  <w:gridSpan w:val="2"/>
                  <w:noWrap w:val="0"/>
                  <w:vAlign w:val="center"/>
                </w:tcPr>
                <w:p w14:paraId="029FF49E">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运行参数</w:t>
                  </w:r>
                </w:p>
              </w:tc>
              <w:tc>
                <w:tcPr>
                  <w:tcW w:w="1195" w:type="dxa"/>
                  <w:gridSpan w:val="2"/>
                  <w:noWrap w:val="0"/>
                  <w:vAlign w:val="center"/>
                </w:tcPr>
                <w:p w14:paraId="42328223">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污染物参数</w:t>
                  </w:r>
                </w:p>
              </w:tc>
            </w:tr>
            <w:tr w14:paraId="78080A9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95" w:type="dxa"/>
                  <w:vMerge w:val="continue"/>
                  <w:tcBorders>
                    <w:bottom w:val="single" w:color="auto" w:sz="12" w:space="0"/>
                  </w:tcBorders>
                  <w:noWrap w:val="0"/>
                  <w:vAlign w:val="center"/>
                </w:tcPr>
                <w:p w14:paraId="46FE2998">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p>
              </w:tc>
              <w:tc>
                <w:tcPr>
                  <w:tcW w:w="585" w:type="dxa"/>
                  <w:vMerge w:val="continue"/>
                  <w:tcBorders>
                    <w:bottom w:val="single" w:color="auto" w:sz="12" w:space="0"/>
                  </w:tcBorders>
                  <w:noWrap w:val="0"/>
                  <w:vAlign w:val="center"/>
                </w:tcPr>
                <w:p w14:paraId="7F42C2B7">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p>
              </w:tc>
              <w:tc>
                <w:tcPr>
                  <w:tcW w:w="518" w:type="dxa"/>
                  <w:tcBorders>
                    <w:bottom w:val="single" w:color="auto" w:sz="12" w:space="0"/>
                  </w:tcBorders>
                  <w:noWrap w:val="0"/>
                  <w:vAlign w:val="center"/>
                </w:tcPr>
                <w:p w14:paraId="126965DC">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经度</w:t>
                  </w:r>
                </w:p>
              </w:tc>
              <w:tc>
                <w:tcPr>
                  <w:tcW w:w="517" w:type="dxa"/>
                  <w:tcBorders>
                    <w:bottom w:val="single" w:color="auto" w:sz="12" w:space="0"/>
                  </w:tcBorders>
                  <w:noWrap w:val="0"/>
                  <w:vAlign w:val="center"/>
                </w:tcPr>
                <w:p w14:paraId="5A9BDD36">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纬度</w:t>
                  </w:r>
                </w:p>
              </w:tc>
              <w:tc>
                <w:tcPr>
                  <w:tcW w:w="616" w:type="dxa"/>
                  <w:vMerge w:val="continue"/>
                  <w:tcBorders>
                    <w:bottom w:val="single" w:color="auto" w:sz="12" w:space="0"/>
                  </w:tcBorders>
                  <w:noWrap w:val="0"/>
                  <w:vAlign w:val="center"/>
                </w:tcPr>
                <w:p w14:paraId="35FFB59D">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p>
              </w:tc>
              <w:tc>
                <w:tcPr>
                  <w:tcW w:w="622" w:type="dxa"/>
                  <w:tcBorders>
                    <w:bottom w:val="single" w:color="auto" w:sz="12" w:space="0"/>
                  </w:tcBorders>
                  <w:noWrap w:val="0"/>
                  <w:vAlign w:val="center"/>
                </w:tcPr>
                <w:p w14:paraId="7262A7B3">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排气筒高度(m)</w:t>
                  </w:r>
                </w:p>
              </w:tc>
              <w:tc>
                <w:tcPr>
                  <w:tcW w:w="629" w:type="dxa"/>
                  <w:tcBorders>
                    <w:bottom w:val="single" w:color="auto" w:sz="12" w:space="0"/>
                  </w:tcBorders>
                  <w:noWrap w:val="0"/>
                  <w:vAlign w:val="center"/>
                </w:tcPr>
                <w:p w14:paraId="7A53A235">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排气筒出口内径(m)</w:t>
                  </w:r>
                </w:p>
              </w:tc>
              <w:tc>
                <w:tcPr>
                  <w:tcW w:w="600" w:type="dxa"/>
                  <w:tcBorders>
                    <w:bottom w:val="single" w:color="auto" w:sz="12" w:space="0"/>
                  </w:tcBorders>
                  <w:noWrap w:val="0"/>
                  <w:vAlign w:val="center"/>
                </w:tcPr>
                <w:p w14:paraId="36BD34D5">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烟气流速(m/s)</w:t>
                  </w:r>
                </w:p>
              </w:tc>
              <w:tc>
                <w:tcPr>
                  <w:tcW w:w="577" w:type="dxa"/>
                  <w:tcBorders>
                    <w:bottom w:val="single" w:color="auto" w:sz="12" w:space="0"/>
                  </w:tcBorders>
                  <w:noWrap w:val="0"/>
                  <w:vAlign w:val="center"/>
                </w:tcPr>
                <w:p w14:paraId="71E0366F">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烟气温度(℃)</w:t>
                  </w:r>
                </w:p>
              </w:tc>
              <w:tc>
                <w:tcPr>
                  <w:tcW w:w="592" w:type="dxa"/>
                  <w:tcBorders>
                    <w:bottom w:val="single" w:color="auto" w:sz="12" w:space="0"/>
                  </w:tcBorders>
                  <w:noWrap w:val="0"/>
                  <w:vAlign w:val="center"/>
                </w:tcPr>
                <w:p w14:paraId="79A33141">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年排放小时数(h)</w:t>
                  </w:r>
                </w:p>
              </w:tc>
              <w:tc>
                <w:tcPr>
                  <w:tcW w:w="435" w:type="dxa"/>
                  <w:tcBorders>
                    <w:bottom w:val="single" w:color="auto" w:sz="12" w:space="0"/>
                  </w:tcBorders>
                  <w:noWrap w:val="0"/>
                  <w:vAlign w:val="center"/>
                </w:tcPr>
                <w:p w14:paraId="1D1FE47A">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排放工况</w:t>
                  </w:r>
                </w:p>
              </w:tc>
              <w:tc>
                <w:tcPr>
                  <w:tcW w:w="468" w:type="dxa"/>
                  <w:tcBorders>
                    <w:bottom w:val="single" w:color="auto" w:sz="12" w:space="0"/>
                  </w:tcBorders>
                  <w:noWrap w:val="0"/>
                  <w:vAlign w:val="center"/>
                </w:tcPr>
                <w:p w14:paraId="0466FE8B">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污染源名称</w:t>
                  </w:r>
                </w:p>
              </w:tc>
              <w:tc>
                <w:tcPr>
                  <w:tcW w:w="727" w:type="dxa"/>
                  <w:tcBorders>
                    <w:bottom w:val="single" w:color="auto" w:sz="12" w:space="0"/>
                  </w:tcBorders>
                  <w:noWrap w:val="0"/>
                  <w:vAlign w:val="center"/>
                </w:tcPr>
                <w:p w14:paraId="31D9E7F0">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污染物排放速率(kg/h)</w:t>
                  </w:r>
                </w:p>
              </w:tc>
            </w:tr>
            <w:tr w14:paraId="36554FA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 w:hRule="atLeast"/>
                <w:jc w:val="center"/>
              </w:trPr>
              <w:tc>
                <w:tcPr>
                  <w:tcW w:w="495" w:type="dxa"/>
                  <w:tcBorders>
                    <w:top w:val="single" w:color="auto" w:sz="4" w:space="0"/>
                    <w:bottom w:val="single" w:color="auto" w:sz="4" w:space="0"/>
                    <w:right w:val="single" w:color="auto" w:sz="4" w:space="0"/>
                  </w:tcBorders>
                  <w:noWrap w:val="0"/>
                  <w:vAlign w:val="center"/>
                </w:tcPr>
                <w:p w14:paraId="56453B7A">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DA003</w:t>
                  </w:r>
                </w:p>
              </w:tc>
              <w:tc>
                <w:tcPr>
                  <w:tcW w:w="585" w:type="dxa"/>
                  <w:tcBorders>
                    <w:top w:val="single" w:color="auto" w:sz="4" w:space="0"/>
                    <w:left w:val="single" w:color="auto" w:sz="4" w:space="0"/>
                    <w:right w:val="single" w:color="auto" w:sz="4" w:space="0"/>
                  </w:tcBorders>
                  <w:noWrap w:val="0"/>
                  <w:vAlign w:val="center"/>
                </w:tcPr>
                <w:p w14:paraId="734A363D">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eastAsia="zh-CN"/>
                    </w:rPr>
                    <w:t>催化燃烧装置</w:t>
                  </w:r>
                  <w:r>
                    <w:rPr>
                      <w:rFonts w:hint="default" w:ascii="Times New Roman" w:hAnsi="Times New Roman" w:cs="Times New Roman"/>
                      <w:color w:val="auto"/>
                      <w:sz w:val="21"/>
                      <w:szCs w:val="21"/>
                      <w:highlight w:val="none"/>
                    </w:rPr>
                    <w:t>排气口</w:t>
                  </w:r>
                </w:p>
              </w:tc>
              <w:tc>
                <w:tcPr>
                  <w:tcW w:w="518" w:type="dxa"/>
                  <w:tcBorders>
                    <w:top w:val="single" w:color="auto" w:sz="4" w:space="0"/>
                    <w:left w:val="single" w:color="auto" w:sz="4" w:space="0"/>
                    <w:bottom w:val="single" w:color="auto" w:sz="4" w:space="0"/>
                    <w:right w:val="single" w:color="auto" w:sz="4" w:space="0"/>
                  </w:tcBorders>
                  <w:noWrap w:val="0"/>
                  <w:vAlign w:val="center"/>
                </w:tcPr>
                <w:p w14:paraId="33A082CE">
                  <w:pPr>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color w:val="auto"/>
                      <w:sz w:val="21"/>
                      <w:szCs w:val="21"/>
                      <w:highlight w:val="none"/>
                    </w:rPr>
                  </w:pPr>
                  <w:r>
                    <w:rPr>
                      <w:rFonts w:hint="eastAsia" w:ascii="Times New Roman" w:hAnsi="Times New Roman" w:cs="Times New Roman"/>
                      <w:color w:val="auto"/>
                      <w:sz w:val="24"/>
                      <w:szCs w:val="24"/>
                      <w:highlight w:val="none"/>
                      <w:lang w:val="en-US" w:eastAsia="zh-CN"/>
                    </w:rPr>
                    <w:t>****</w:t>
                  </w:r>
                </w:p>
              </w:tc>
              <w:tc>
                <w:tcPr>
                  <w:tcW w:w="517" w:type="dxa"/>
                  <w:tcBorders>
                    <w:top w:val="single" w:color="auto" w:sz="4" w:space="0"/>
                    <w:left w:val="single" w:color="auto" w:sz="4" w:space="0"/>
                    <w:bottom w:val="single" w:color="auto" w:sz="4" w:space="0"/>
                    <w:right w:val="single" w:color="auto" w:sz="4" w:space="0"/>
                  </w:tcBorders>
                  <w:noWrap w:val="0"/>
                  <w:vAlign w:val="center"/>
                </w:tcPr>
                <w:p w14:paraId="727C399F">
                  <w:pPr>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color w:val="auto"/>
                      <w:sz w:val="21"/>
                      <w:szCs w:val="21"/>
                      <w:highlight w:val="none"/>
                    </w:rPr>
                  </w:pPr>
                  <w:r>
                    <w:rPr>
                      <w:rFonts w:hint="eastAsia" w:ascii="Times New Roman" w:hAnsi="Times New Roman" w:cs="Times New Roman"/>
                      <w:color w:val="auto"/>
                      <w:sz w:val="24"/>
                      <w:szCs w:val="24"/>
                      <w:highlight w:val="none"/>
                      <w:lang w:val="en-US" w:eastAsia="zh-CN"/>
                    </w:rPr>
                    <w:t>****</w:t>
                  </w:r>
                </w:p>
              </w:tc>
              <w:tc>
                <w:tcPr>
                  <w:tcW w:w="616" w:type="dxa"/>
                  <w:tcBorders>
                    <w:top w:val="single" w:color="auto" w:sz="4" w:space="0"/>
                    <w:left w:val="single" w:color="auto" w:sz="4" w:space="0"/>
                    <w:bottom w:val="single" w:color="auto" w:sz="4" w:space="0"/>
                    <w:right w:val="single" w:color="auto" w:sz="4" w:space="0"/>
                  </w:tcBorders>
                  <w:noWrap w:val="0"/>
                  <w:vAlign w:val="center"/>
                </w:tcPr>
                <w:p w14:paraId="7BF89BF7">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625</w:t>
                  </w:r>
                </w:p>
              </w:tc>
              <w:tc>
                <w:tcPr>
                  <w:tcW w:w="622" w:type="dxa"/>
                  <w:tcBorders>
                    <w:top w:val="single" w:color="auto" w:sz="4" w:space="0"/>
                    <w:left w:val="single" w:color="auto" w:sz="4" w:space="0"/>
                    <w:bottom w:val="single" w:color="auto" w:sz="4" w:space="0"/>
                    <w:right w:val="single" w:color="auto" w:sz="4" w:space="0"/>
                  </w:tcBorders>
                  <w:noWrap w:val="0"/>
                  <w:vAlign w:val="center"/>
                </w:tcPr>
                <w:p w14:paraId="7721C0D1">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629" w:type="dxa"/>
                  <w:tcBorders>
                    <w:top w:val="single" w:color="auto" w:sz="4" w:space="0"/>
                    <w:left w:val="single" w:color="auto" w:sz="4" w:space="0"/>
                    <w:bottom w:val="single" w:color="auto" w:sz="4" w:space="0"/>
                    <w:right w:val="single" w:color="auto" w:sz="4" w:space="0"/>
                  </w:tcBorders>
                  <w:noWrap w:val="0"/>
                  <w:vAlign w:val="center"/>
                </w:tcPr>
                <w:p w14:paraId="04A4F0D3">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0.6</w:t>
                  </w:r>
                </w:p>
              </w:tc>
              <w:tc>
                <w:tcPr>
                  <w:tcW w:w="600" w:type="dxa"/>
                  <w:tcBorders>
                    <w:top w:val="single" w:color="auto" w:sz="4" w:space="0"/>
                    <w:left w:val="single" w:color="auto" w:sz="4" w:space="0"/>
                    <w:bottom w:val="single" w:color="auto" w:sz="4" w:space="0"/>
                    <w:right w:val="single" w:color="auto" w:sz="4" w:space="0"/>
                  </w:tcBorders>
                  <w:noWrap w:val="0"/>
                  <w:vAlign w:val="center"/>
                </w:tcPr>
                <w:p w14:paraId="49406CB4">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color w:val="auto"/>
                      <w:kern w:val="2"/>
                      <w:sz w:val="21"/>
                      <w:szCs w:val="21"/>
                      <w:highlight w:val="none"/>
                    </w:rPr>
                  </w:pPr>
                  <w:r>
                    <w:rPr>
                      <w:rFonts w:hint="default" w:ascii="Times New Roman" w:hAnsi="Times New Roman" w:cs="Times New Roman"/>
                      <w:color w:val="auto"/>
                      <w:kern w:val="2"/>
                      <w:sz w:val="21"/>
                      <w:szCs w:val="21"/>
                      <w:highlight w:val="none"/>
                    </w:rPr>
                    <w:t>12.29</w:t>
                  </w:r>
                </w:p>
              </w:tc>
              <w:tc>
                <w:tcPr>
                  <w:tcW w:w="577" w:type="dxa"/>
                  <w:tcBorders>
                    <w:top w:val="single" w:color="auto" w:sz="4" w:space="0"/>
                    <w:left w:val="single" w:color="auto" w:sz="4" w:space="0"/>
                    <w:bottom w:val="single" w:color="auto" w:sz="4" w:space="0"/>
                    <w:right w:val="single" w:color="auto" w:sz="4" w:space="0"/>
                  </w:tcBorders>
                  <w:noWrap w:val="0"/>
                  <w:vAlign w:val="center"/>
                </w:tcPr>
                <w:p w14:paraId="1E7131B7">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26</w:t>
                  </w:r>
                </w:p>
              </w:tc>
              <w:tc>
                <w:tcPr>
                  <w:tcW w:w="592" w:type="dxa"/>
                  <w:tcBorders>
                    <w:top w:val="single" w:color="auto" w:sz="4" w:space="0"/>
                    <w:left w:val="single" w:color="auto" w:sz="4" w:space="0"/>
                    <w:bottom w:val="single" w:color="auto" w:sz="4" w:space="0"/>
                    <w:right w:val="single" w:color="auto" w:sz="4" w:space="0"/>
                  </w:tcBorders>
                  <w:noWrap w:val="0"/>
                  <w:vAlign w:val="center"/>
                </w:tcPr>
                <w:p w14:paraId="1868A9FB">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2400</w:t>
                  </w:r>
                </w:p>
              </w:tc>
              <w:tc>
                <w:tcPr>
                  <w:tcW w:w="435" w:type="dxa"/>
                  <w:tcBorders>
                    <w:top w:val="single" w:color="auto" w:sz="4" w:space="0"/>
                    <w:left w:val="single" w:color="auto" w:sz="4" w:space="0"/>
                    <w:bottom w:val="single" w:color="auto" w:sz="4" w:space="0"/>
                    <w:right w:val="single" w:color="auto" w:sz="4" w:space="0"/>
                  </w:tcBorders>
                  <w:noWrap w:val="0"/>
                  <w:vAlign w:val="center"/>
                </w:tcPr>
                <w:p w14:paraId="021C419E">
                  <w:pPr>
                    <w:pStyle w:val="37"/>
                    <w:keepNext w:val="0"/>
                    <w:keepLines w:val="0"/>
                    <w:pageBreakBefore w:val="0"/>
                    <w:kinsoku/>
                    <w:wordWrap/>
                    <w:overflowPunct/>
                    <w:topLinePunct w:val="0"/>
                    <w:bidi w:val="0"/>
                    <w:spacing w:beforeLines="0" w:afterLines="0" w:line="240" w:lineRule="auto"/>
                    <w:ind w:left="0"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正常</w:t>
                  </w:r>
                </w:p>
              </w:tc>
              <w:tc>
                <w:tcPr>
                  <w:tcW w:w="468" w:type="dxa"/>
                  <w:tcBorders>
                    <w:top w:val="single" w:color="auto" w:sz="4" w:space="0"/>
                    <w:left w:val="single" w:color="auto" w:sz="4" w:space="0"/>
                    <w:bottom w:val="single" w:color="auto" w:sz="4" w:space="0"/>
                    <w:right w:val="single" w:color="auto" w:sz="4" w:space="0"/>
                  </w:tcBorders>
                  <w:noWrap w:val="0"/>
                  <w:vAlign w:val="center"/>
                </w:tcPr>
                <w:p w14:paraId="1A8D91C4">
                  <w:pPr>
                    <w:keepNext w:val="0"/>
                    <w:keepLines w:val="0"/>
                    <w:pageBreakBefore w:val="0"/>
                    <w:kinsoku/>
                    <w:wordWrap/>
                    <w:overflowPunct/>
                    <w:topLinePunct w:val="0"/>
                    <w:bidi w:val="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非甲烷总烃</w:t>
                  </w:r>
                </w:p>
              </w:tc>
              <w:tc>
                <w:tcPr>
                  <w:tcW w:w="727" w:type="dxa"/>
                  <w:tcBorders>
                    <w:top w:val="single" w:color="auto" w:sz="4" w:space="0"/>
                    <w:left w:val="single" w:color="auto" w:sz="4" w:space="0"/>
                    <w:bottom w:val="single" w:color="auto" w:sz="4" w:space="0"/>
                  </w:tcBorders>
                  <w:noWrap w:val="0"/>
                  <w:vAlign w:val="center"/>
                </w:tcPr>
                <w:p w14:paraId="345BDEFF">
                  <w:pPr>
                    <w:pStyle w:val="64"/>
                    <w:keepNext w:val="0"/>
                    <w:keepLines w:val="0"/>
                    <w:pageBreakBefore w:val="0"/>
                    <w:kinsoku/>
                    <w:wordWrap/>
                    <w:overflowPunct/>
                    <w:topLinePunct w:val="0"/>
                    <w:bidi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0.919</w:t>
                  </w:r>
                </w:p>
              </w:tc>
            </w:tr>
          </w:tbl>
          <w:p w14:paraId="10D83FD4">
            <w:pPr>
              <w:pStyle w:val="31"/>
              <w:keepNext w:val="0"/>
              <w:keepLines w:val="0"/>
              <w:pageBreakBefore w:val="0"/>
              <w:widowControl w:val="0"/>
              <w:tabs>
                <w:tab w:val="left" w:pos="2760"/>
              </w:tabs>
              <w:kinsoku/>
              <w:wordWrap/>
              <w:overflowPunct/>
              <w:topLinePunct w:val="0"/>
              <w:autoSpaceDE w:val="0"/>
              <w:autoSpaceDN w:val="0"/>
              <w:bidi w:val="0"/>
              <w:adjustRightInd w:val="0"/>
              <w:snapToGrid/>
              <w:spacing w:line="360" w:lineRule="auto"/>
              <w:jc w:val="left"/>
              <w:textAlignment w:val="auto"/>
              <w:rPr>
                <w:rFonts w:hint="default" w:ascii="Times New Roman" w:hAnsi="Times New Roman" w:cs="Times New Roman"/>
                <w:b/>
                <w:bCs/>
                <w:color w:val="auto"/>
                <w:sz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highlight w:val="none"/>
              </w:rPr>
              <w:t>非正常工况污染物排放情况</w:t>
            </w:r>
          </w:p>
          <w:p w14:paraId="1C4D406D">
            <w:pPr>
              <w:pStyle w:val="31"/>
              <w:keepNext w:val="0"/>
              <w:keepLines w:val="0"/>
              <w:pageBreakBefore w:val="0"/>
              <w:widowControl w:val="0"/>
              <w:tabs>
                <w:tab w:val="left" w:pos="2760"/>
              </w:tabs>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cs="Times New Roman"/>
                <w:b w:val="0"/>
                <w:bCs/>
                <w:color w:val="auto"/>
                <w:sz w:val="24"/>
                <w:highlight w:val="none"/>
              </w:rPr>
            </w:pPr>
            <w:r>
              <w:rPr>
                <w:rFonts w:hint="default" w:ascii="Times New Roman" w:hAnsi="Times New Roman" w:cs="Times New Roman"/>
                <w:b w:val="0"/>
                <w:bCs/>
                <w:color w:val="auto"/>
                <w:sz w:val="24"/>
                <w:highlight w:val="none"/>
              </w:rPr>
              <w:t>根据《环境影响评价技术导则大气环境》（HJ2.2-2018），非正常排放包括设备检修、污染物排放控制措施达不到应有效率、工艺设备运转异常等本项目非正常工况主要为</w:t>
            </w:r>
            <w:r>
              <w:rPr>
                <w:rFonts w:hint="default" w:ascii="Times New Roman" w:hAnsi="Times New Roman" w:cs="Times New Roman"/>
                <w:b w:val="0"/>
                <w:bCs/>
                <w:color w:val="auto"/>
                <w:sz w:val="24"/>
                <w:highlight w:val="none"/>
                <w:lang w:val="en-US" w:eastAsia="zh-CN"/>
              </w:rPr>
              <w:t>活性炭吸附脱附+催化燃烧装置中活性炭</w:t>
            </w:r>
            <w:r>
              <w:rPr>
                <w:rFonts w:hint="default" w:ascii="Times New Roman" w:hAnsi="Times New Roman" w:cs="Times New Roman"/>
                <w:b w:val="0"/>
                <w:bCs/>
                <w:color w:val="auto"/>
                <w:sz w:val="24"/>
                <w:highlight w:val="none"/>
              </w:rPr>
              <w:t>失效。在此情景下，本项目废气污染物产生情况及排放情况，具体见下表。</w:t>
            </w:r>
          </w:p>
          <w:p w14:paraId="5F739467">
            <w:pPr>
              <w:jc w:val="center"/>
              <w:rPr>
                <w:rFonts w:hint="default" w:ascii="Times New Roman" w:hAnsi="Times New Roman" w:cs="Times New Roman"/>
                <w:b/>
                <w:bCs/>
                <w:color w:val="auto"/>
                <w:sz w:val="24"/>
                <w:highlight w:val="none"/>
              </w:rPr>
            </w:pPr>
            <w:r>
              <w:rPr>
                <w:rFonts w:hint="default" w:ascii="Times New Roman" w:hAnsi="Times New Roman" w:eastAsia="黑体" w:cs="Times New Roman"/>
                <w:b w:val="0"/>
                <w:bCs w:val="0"/>
                <w:color w:val="auto"/>
                <w:sz w:val="21"/>
                <w:szCs w:val="21"/>
                <w:highlight w:val="none"/>
              </w:rPr>
              <w:t>表</w:t>
            </w:r>
            <w:r>
              <w:rPr>
                <w:rFonts w:hint="default" w:ascii="Times New Roman" w:hAnsi="Times New Roman" w:eastAsia="黑体" w:cs="Times New Roman"/>
                <w:b w:val="0"/>
                <w:bCs w:val="0"/>
                <w:color w:val="auto"/>
                <w:sz w:val="21"/>
                <w:szCs w:val="21"/>
                <w:highlight w:val="none"/>
                <w:lang w:val="en-US" w:eastAsia="zh-CN"/>
              </w:rPr>
              <w:t>4-3</w:t>
            </w:r>
            <w:r>
              <w:rPr>
                <w:rFonts w:hint="default" w:ascii="Times New Roman" w:hAnsi="Times New Roman" w:eastAsia="黑体" w:cs="Times New Roman"/>
                <w:b w:val="0"/>
                <w:bCs w:val="0"/>
                <w:color w:val="auto"/>
                <w:sz w:val="21"/>
                <w:szCs w:val="21"/>
                <w:highlight w:val="none"/>
              </w:rPr>
              <w:t>本项目有组织废气产生、排放情况表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1"/>
              <w:gridCol w:w="738"/>
              <w:gridCol w:w="575"/>
              <w:gridCol w:w="837"/>
              <w:gridCol w:w="1313"/>
              <w:gridCol w:w="1162"/>
              <w:gridCol w:w="688"/>
              <w:gridCol w:w="762"/>
              <w:gridCol w:w="739"/>
            </w:tblGrid>
            <w:tr w14:paraId="0554AA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29" w:type="pct"/>
                  <w:vMerge w:val="restart"/>
                  <w:noWrap w:val="0"/>
                  <w:vAlign w:val="center"/>
                </w:tcPr>
                <w:p w14:paraId="48D26EB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污染源</w:t>
                  </w:r>
                </w:p>
              </w:tc>
              <w:tc>
                <w:tcPr>
                  <w:tcW w:w="494" w:type="pct"/>
                  <w:vMerge w:val="restart"/>
                  <w:noWrap w:val="0"/>
                  <w:vAlign w:val="center"/>
                </w:tcPr>
                <w:p w14:paraId="4D4E1D5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385" w:type="pct"/>
                  <w:vMerge w:val="restart"/>
                  <w:noWrap w:val="0"/>
                  <w:vAlign w:val="center"/>
                </w:tcPr>
                <w:p w14:paraId="62A6CE69">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排放方式</w:t>
                  </w:r>
                </w:p>
              </w:tc>
              <w:tc>
                <w:tcPr>
                  <w:tcW w:w="1441" w:type="pct"/>
                  <w:gridSpan w:val="2"/>
                  <w:noWrap w:val="0"/>
                  <w:vAlign w:val="center"/>
                </w:tcPr>
                <w:p w14:paraId="4F91D96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污染物产生</w:t>
                  </w:r>
                </w:p>
              </w:tc>
              <w:tc>
                <w:tcPr>
                  <w:tcW w:w="779" w:type="pct"/>
                  <w:noWrap w:val="0"/>
                  <w:vAlign w:val="center"/>
                </w:tcPr>
                <w:p w14:paraId="78833834">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排放标准</w:t>
                  </w:r>
                </w:p>
              </w:tc>
              <w:tc>
                <w:tcPr>
                  <w:tcW w:w="461" w:type="pct"/>
                  <w:vMerge w:val="restart"/>
                  <w:noWrap w:val="0"/>
                  <w:vAlign w:val="center"/>
                </w:tcPr>
                <w:p w14:paraId="27121AD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达标</w:t>
                  </w:r>
                </w:p>
                <w:p w14:paraId="6B8A5B68">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情况</w:t>
                  </w:r>
                </w:p>
              </w:tc>
              <w:tc>
                <w:tcPr>
                  <w:tcW w:w="511" w:type="pct"/>
                  <w:vMerge w:val="restart"/>
                  <w:noWrap w:val="0"/>
                  <w:vAlign w:val="center"/>
                </w:tcPr>
                <w:p w14:paraId="1415AEC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持续</w:t>
                  </w:r>
                </w:p>
                <w:p w14:paraId="0C2BBD09">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时间</w:t>
                  </w:r>
                </w:p>
              </w:tc>
              <w:tc>
                <w:tcPr>
                  <w:tcW w:w="495" w:type="pct"/>
                  <w:vMerge w:val="restart"/>
                  <w:noWrap w:val="0"/>
                  <w:vAlign w:val="center"/>
                </w:tcPr>
                <w:p w14:paraId="5009B12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发生频</w:t>
                  </w:r>
                </w:p>
                <w:p w14:paraId="15D7BFE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次</w:t>
                  </w:r>
                </w:p>
              </w:tc>
            </w:tr>
            <w:tr w14:paraId="6EE1F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429" w:type="pct"/>
                  <w:vMerge w:val="continue"/>
                  <w:noWrap w:val="0"/>
                  <w:vAlign w:val="center"/>
                </w:tcPr>
                <w:p w14:paraId="6D576139">
                  <w:pPr>
                    <w:jc w:val="center"/>
                    <w:rPr>
                      <w:rFonts w:hint="default" w:ascii="Times New Roman" w:hAnsi="Times New Roman" w:cs="Times New Roman"/>
                      <w:color w:val="auto"/>
                      <w:szCs w:val="21"/>
                      <w:highlight w:val="none"/>
                    </w:rPr>
                  </w:pPr>
                </w:p>
              </w:tc>
              <w:tc>
                <w:tcPr>
                  <w:tcW w:w="494" w:type="pct"/>
                  <w:vMerge w:val="continue"/>
                  <w:noWrap w:val="0"/>
                  <w:vAlign w:val="center"/>
                </w:tcPr>
                <w:p w14:paraId="7E804E24">
                  <w:pPr>
                    <w:jc w:val="center"/>
                    <w:rPr>
                      <w:rFonts w:hint="default" w:ascii="Times New Roman" w:hAnsi="Times New Roman" w:cs="Times New Roman"/>
                      <w:color w:val="auto"/>
                      <w:sz w:val="21"/>
                      <w:szCs w:val="21"/>
                      <w:highlight w:val="none"/>
                    </w:rPr>
                  </w:pPr>
                </w:p>
              </w:tc>
              <w:tc>
                <w:tcPr>
                  <w:tcW w:w="385" w:type="pct"/>
                  <w:vMerge w:val="continue"/>
                  <w:noWrap w:val="0"/>
                  <w:vAlign w:val="center"/>
                </w:tcPr>
                <w:p w14:paraId="51300615">
                  <w:pPr>
                    <w:jc w:val="center"/>
                    <w:rPr>
                      <w:rFonts w:hint="default" w:ascii="Times New Roman" w:hAnsi="Times New Roman" w:cs="Times New Roman"/>
                      <w:color w:val="auto"/>
                      <w:sz w:val="21"/>
                      <w:szCs w:val="21"/>
                      <w:highlight w:val="none"/>
                    </w:rPr>
                  </w:pPr>
                </w:p>
              </w:tc>
              <w:tc>
                <w:tcPr>
                  <w:tcW w:w="561" w:type="pct"/>
                  <w:noWrap w:val="0"/>
                  <w:vAlign w:val="center"/>
                </w:tcPr>
                <w:p w14:paraId="019D2906">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产生速率kg/h</w:t>
                  </w:r>
                </w:p>
              </w:tc>
              <w:tc>
                <w:tcPr>
                  <w:tcW w:w="880" w:type="pct"/>
                  <w:noWrap w:val="0"/>
                  <w:vAlign w:val="center"/>
                </w:tcPr>
                <w:p w14:paraId="3163540C">
                  <w:pPr>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eastAsia="zh-CN"/>
                    </w:rPr>
                    <w:t>非正常工况的排放浓度</w:t>
                  </w:r>
                </w:p>
              </w:tc>
              <w:tc>
                <w:tcPr>
                  <w:tcW w:w="779" w:type="pct"/>
                  <w:noWrap w:val="0"/>
                  <w:vAlign w:val="center"/>
                </w:tcPr>
                <w:p w14:paraId="035C17E2">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排放浓度</w:t>
                  </w:r>
                </w:p>
              </w:tc>
              <w:tc>
                <w:tcPr>
                  <w:tcW w:w="461" w:type="pct"/>
                  <w:vMerge w:val="continue"/>
                  <w:noWrap w:val="0"/>
                  <w:vAlign w:val="center"/>
                </w:tcPr>
                <w:p w14:paraId="5BA20B65">
                  <w:pPr>
                    <w:jc w:val="center"/>
                    <w:rPr>
                      <w:rFonts w:hint="default" w:ascii="Times New Roman" w:hAnsi="Times New Roman" w:cs="Times New Roman"/>
                      <w:color w:val="auto"/>
                      <w:szCs w:val="21"/>
                      <w:highlight w:val="none"/>
                    </w:rPr>
                  </w:pPr>
                </w:p>
              </w:tc>
              <w:tc>
                <w:tcPr>
                  <w:tcW w:w="511" w:type="pct"/>
                  <w:vMerge w:val="continue"/>
                  <w:noWrap w:val="0"/>
                  <w:vAlign w:val="center"/>
                </w:tcPr>
                <w:p w14:paraId="6D25B586">
                  <w:pPr>
                    <w:jc w:val="center"/>
                    <w:rPr>
                      <w:rFonts w:hint="default" w:ascii="Times New Roman" w:hAnsi="Times New Roman" w:cs="Times New Roman"/>
                      <w:color w:val="auto"/>
                      <w:szCs w:val="21"/>
                      <w:highlight w:val="none"/>
                    </w:rPr>
                  </w:pPr>
                </w:p>
              </w:tc>
              <w:tc>
                <w:tcPr>
                  <w:tcW w:w="495" w:type="pct"/>
                  <w:vMerge w:val="continue"/>
                  <w:noWrap w:val="0"/>
                  <w:vAlign w:val="center"/>
                </w:tcPr>
                <w:p w14:paraId="34914E8D">
                  <w:pPr>
                    <w:jc w:val="center"/>
                    <w:rPr>
                      <w:rFonts w:hint="default" w:ascii="Times New Roman" w:hAnsi="Times New Roman" w:cs="Times New Roman"/>
                      <w:color w:val="auto"/>
                      <w:szCs w:val="21"/>
                      <w:highlight w:val="none"/>
                    </w:rPr>
                  </w:pPr>
                </w:p>
              </w:tc>
            </w:tr>
            <w:tr w14:paraId="671D2D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29" w:type="pct"/>
                  <w:noWrap w:val="0"/>
                  <w:vAlign w:val="center"/>
                </w:tcPr>
                <w:p w14:paraId="5C60298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挤</w:t>
                  </w:r>
                  <w:r>
                    <w:rPr>
                      <w:rFonts w:hint="default" w:ascii="Times New Roman" w:hAnsi="Times New Roman" w:eastAsia="宋体" w:cs="Times New Roman"/>
                      <w:color w:val="auto"/>
                      <w:sz w:val="21"/>
                      <w:szCs w:val="21"/>
                      <w:highlight w:val="none"/>
                      <w:lang w:val="en-US" w:eastAsia="zh-CN"/>
                    </w:rPr>
                    <w:t>塑热熔工序</w:t>
                  </w:r>
                </w:p>
              </w:tc>
              <w:tc>
                <w:tcPr>
                  <w:tcW w:w="494" w:type="pct"/>
                  <w:noWrap w:val="0"/>
                  <w:vAlign w:val="center"/>
                </w:tcPr>
                <w:p w14:paraId="2A2EBE35">
                  <w:pPr>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非甲烷总烃</w:t>
                  </w:r>
                </w:p>
              </w:tc>
              <w:tc>
                <w:tcPr>
                  <w:tcW w:w="385" w:type="pct"/>
                  <w:noWrap w:val="0"/>
                  <w:vAlign w:val="center"/>
                </w:tcPr>
                <w:p w14:paraId="12C90FF9">
                  <w:pPr>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rPr>
                    <w:t>组织</w:t>
                  </w:r>
                </w:p>
              </w:tc>
              <w:tc>
                <w:tcPr>
                  <w:tcW w:w="561" w:type="pct"/>
                  <w:noWrap w:val="0"/>
                  <w:vAlign w:val="center"/>
                </w:tcPr>
                <w:p w14:paraId="79C309A5">
                  <w:pPr>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6.25</w:t>
                  </w:r>
                </w:p>
              </w:tc>
              <w:tc>
                <w:tcPr>
                  <w:tcW w:w="880" w:type="pct"/>
                  <w:noWrap w:val="0"/>
                  <w:vAlign w:val="center"/>
                </w:tcPr>
                <w:p w14:paraId="4D5E2C6B">
                  <w:pPr>
                    <w:keepNext w:val="0"/>
                    <w:keepLines w:val="0"/>
                    <w:pageBreakBefore w:val="0"/>
                    <w:widowControl w:val="0"/>
                    <w:kinsoku/>
                    <w:wordWrap/>
                    <w:overflowPunct w:val="0"/>
                    <w:topLinePunct w:val="0"/>
                    <w:autoSpaceDE/>
                    <w:autoSpaceDN/>
                    <w:bidi w:val="0"/>
                    <w:adjustRightInd/>
                    <w:snapToGrid/>
                    <w:spacing w:line="240" w:lineRule="auto"/>
                    <w:contextualSpacing/>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3050.5</w:t>
                  </w:r>
                </w:p>
              </w:tc>
              <w:tc>
                <w:tcPr>
                  <w:tcW w:w="779" w:type="pct"/>
                  <w:noWrap w:val="0"/>
                  <w:vAlign w:val="center"/>
                </w:tcPr>
                <w:p w14:paraId="5254CADD">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60</w:t>
                  </w:r>
                </w:p>
              </w:tc>
              <w:tc>
                <w:tcPr>
                  <w:tcW w:w="461" w:type="pct"/>
                  <w:noWrap w:val="0"/>
                  <w:vAlign w:val="center"/>
                </w:tcPr>
                <w:p w14:paraId="62E28365">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超标</w:t>
                  </w:r>
                </w:p>
              </w:tc>
              <w:tc>
                <w:tcPr>
                  <w:tcW w:w="511" w:type="pct"/>
                  <w:noWrap w:val="0"/>
                  <w:vAlign w:val="center"/>
                </w:tcPr>
                <w:p w14:paraId="3FADF3BE">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&lt;1h</w:t>
                  </w:r>
                </w:p>
              </w:tc>
              <w:tc>
                <w:tcPr>
                  <w:tcW w:w="495" w:type="pct"/>
                  <w:noWrap w:val="0"/>
                  <w:vAlign w:val="center"/>
                </w:tcPr>
                <w:p w14:paraId="106046A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1次/a</w:t>
                  </w:r>
                </w:p>
              </w:tc>
            </w:tr>
          </w:tbl>
          <w:p w14:paraId="48C7E6CE">
            <w:pPr>
              <w:adjustRightInd w:val="0"/>
              <w:snapToGrid w:val="0"/>
              <w:spacing w:line="360" w:lineRule="auto"/>
              <w:rPr>
                <w:rFonts w:hint="default" w:ascii="Times New Roman" w:hAnsi="Times New Roman" w:cs="Times New Roman"/>
                <w:b/>
                <w:bCs w:val="0"/>
                <w:color w:val="auto"/>
                <w:sz w:val="24"/>
                <w:szCs w:val="24"/>
                <w:highlight w:val="none"/>
              </w:rPr>
            </w:pPr>
            <w:r>
              <w:rPr>
                <w:rFonts w:hint="default" w:ascii="Times New Roman" w:hAnsi="Times New Roman" w:cs="Times New Roman"/>
                <w:b/>
                <w:bCs w:val="0"/>
                <w:color w:val="auto"/>
                <w:sz w:val="24"/>
                <w:szCs w:val="24"/>
                <w:highlight w:val="none"/>
                <w:lang w:val="en-US" w:eastAsia="zh-CN"/>
              </w:rPr>
              <w:t>1.6</w:t>
            </w:r>
            <w:r>
              <w:rPr>
                <w:rFonts w:hint="default" w:ascii="Times New Roman" w:hAnsi="Times New Roman" w:cs="Times New Roman"/>
                <w:b/>
                <w:bCs w:val="0"/>
                <w:color w:val="auto"/>
                <w:sz w:val="24"/>
                <w:szCs w:val="24"/>
                <w:highlight w:val="none"/>
              </w:rPr>
              <w:t>监测计划</w:t>
            </w:r>
          </w:p>
          <w:p w14:paraId="0DD8964C">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建设项目环境影响评价技术导则总纲》（HJ2.1-2016）及《排污单位自行监测技术指南总则》（HJ819-2017）、《排污许可证申请与核发技术规范橡胶和塑料制品工业》（HJ1122-2020）等要求，本次评价针对项目运营期提出监测计划要求，具体监测计划见下</w:t>
            </w:r>
            <w:r>
              <w:rPr>
                <w:rFonts w:hint="default" w:ascii="Times New Roman" w:hAnsi="Times New Roman" w:eastAsia="宋体" w:cs="Times New Roman"/>
                <w:color w:val="auto"/>
                <w:sz w:val="24"/>
                <w:szCs w:val="24"/>
                <w:highlight w:val="none"/>
                <w:lang w:eastAsia="zh-CN"/>
              </w:rPr>
              <w:t>。</w:t>
            </w:r>
          </w:p>
          <w:p w14:paraId="2A920F09">
            <w:pPr>
              <w:adjustRightInd w:val="0"/>
              <w:snapToGrid w:val="0"/>
              <w:jc w:val="center"/>
              <w:rPr>
                <w:rFonts w:hint="default" w:ascii="Times New Roman" w:hAnsi="Times New Roman" w:eastAsia="黑体" w:cs="Times New Roman"/>
                <w:bCs/>
                <w:color w:val="auto"/>
                <w:sz w:val="21"/>
                <w:szCs w:val="21"/>
                <w:highlight w:val="none"/>
              </w:rPr>
            </w:pPr>
            <w:r>
              <w:rPr>
                <w:rFonts w:hint="default" w:ascii="Times New Roman" w:hAnsi="Times New Roman" w:eastAsia="黑体" w:cs="Times New Roman"/>
                <w:bCs/>
                <w:color w:val="auto"/>
                <w:sz w:val="21"/>
                <w:szCs w:val="21"/>
                <w:highlight w:val="none"/>
              </w:rPr>
              <w:t>表</w:t>
            </w:r>
            <w:r>
              <w:rPr>
                <w:rFonts w:hint="default" w:ascii="Times New Roman" w:hAnsi="Times New Roman" w:eastAsia="黑体" w:cs="Times New Roman"/>
                <w:bCs/>
                <w:color w:val="auto"/>
                <w:sz w:val="21"/>
                <w:szCs w:val="21"/>
                <w:highlight w:val="none"/>
                <w:lang w:val="en-US" w:eastAsia="zh-CN"/>
              </w:rPr>
              <w:t>4-4</w:t>
            </w:r>
            <w:r>
              <w:rPr>
                <w:rFonts w:hint="default" w:ascii="Times New Roman" w:hAnsi="Times New Roman" w:eastAsia="黑体" w:cs="Times New Roman"/>
                <w:bCs/>
                <w:color w:val="auto"/>
                <w:sz w:val="21"/>
                <w:szCs w:val="21"/>
                <w:highlight w:val="none"/>
              </w:rPr>
              <w:t>项目运营期废气污染物监测计划一览表</w:t>
            </w:r>
          </w:p>
          <w:tbl>
            <w:tblPr>
              <w:tblStyle w:val="24"/>
              <w:tblW w:w="4951"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9"/>
              <w:gridCol w:w="822"/>
              <w:gridCol w:w="1479"/>
              <w:gridCol w:w="934"/>
              <w:gridCol w:w="1188"/>
              <w:gridCol w:w="1372"/>
              <w:gridCol w:w="682"/>
            </w:tblGrid>
            <w:tr w14:paraId="44C14E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71" w:type="pct"/>
                  <w:gridSpan w:val="2"/>
                  <w:tcBorders>
                    <w:bottom w:val="single" w:color="auto" w:sz="12" w:space="0"/>
                  </w:tcBorders>
                  <w:noWrap w:val="0"/>
                  <w:vAlign w:val="center"/>
                </w:tcPr>
                <w:p w14:paraId="42583E98">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1001" w:type="pct"/>
                  <w:tcBorders>
                    <w:bottom w:val="single" w:color="auto" w:sz="12" w:space="0"/>
                  </w:tcBorders>
                  <w:noWrap w:val="0"/>
                  <w:vAlign w:val="center"/>
                </w:tcPr>
                <w:p w14:paraId="63DB8608">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监测位置</w:t>
                  </w:r>
                </w:p>
              </w:tc>
              <w:tc>
                <w:tcPr>
                  <w:tcW w:w="632" w:type="pct"/>
                  <w:tcBorders>
                    <w:bottom w:val="single" w:color="auto" w:sz="12" w:space="0"/>
                  </w:tcBorders>
                  <w:noWrap w:val="0"/>
                  <w:vAlign w:val="center"/>
                </w:tcPr>
                <w:p w14:paraId="05C36F75">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编号</w:t>
                  </w:r>
                </w:p>
              </w:tc>
              <w:tc>
                <w:tcPr>
                  <w:tcW w:w="804" w:type="pct"/>
                  <w:tcBorders>
                    <w:bottom w:val="single" w:color="auto" w:sz="12" w:space="0"/>
                  </w:tcBorders>
                  <w:noWrap w:val="0"/>
                  <w:vAlign w:val="center"/>
                </w:tcPr>
                <w:p w14:paraId="434A51FF">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监测项目</w:t>
                  </w:r>
                </w:p>
              </w:tc>
              <w:tc>
                <w:tcPr>
                  <w:tcW w:w="928" w:type="pct"/>
                  <w:tcBorders>
                    <w:bottom w:val="single" w:color="auto" w:sz="12" w:space="0"/>
                  </w:tcBorders>
                  <w:noWrap w:val="0"/>
                  <w:vAlign w:val="center"/>
                </w:tcPr>
                <w:p w14:paraId="4EA85668">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监测频率</w:t>
                  </w:r>
                </w:p>
              </w:tc>
              <w:tc>
                <w:tcPr>
                  <w:tcW w:w="461" w:type="pct"/>
                  <w:tcBorders>
                    <w:bottom w:val="single" w:color="auto" w:sz="12" w:space="0"/>
                  </w:tcBorders>
                  <w:noWrap w:val="0"/>
                  <w:vAlign w:val="center"/>
                </w:tcPr>
                <w:p w14:paraId="1745006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实施单位</w:t>
                  </w:r>
                </w:p>
              </w:tc>
            </w:tr>
            <w:tr w14:paraId="73FF3E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15" w:type="pct"/>
                  <w:vMerge w:val="restart"/>
                  <w:tcBorders>
                    <w:top w:val="single" w:color="auto" w:sz="12" w:space="0"/>
                    <w:tl2br w:val="nil"/>
                    <w:tr2bl w:val="nil"/>
                  </w:tcBorders>
                  <w:noWrap w:val="0"/>
                  <w:vAlign w:val="center"/>
                </w:tcPr>
                <w:p w14:paraId="15968DA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污染源监测</w:t>
                  </w:r>
                </w:p>
              </w:tc>
              <w:tc>
                <w:tcPr>
                  <w:tcW w:w="556" w:type="pct"/>
                  <w:tcBorders>
                    <w:top w:val="single" w:color="auto" w:sz="12" w:space="0"/>
                    <w:tl2br w:val="nil"/>
                    <w:tr2bl w:val="nil"/>
                  </w:tcBorders>
                  <w:noWrap w:val="0"/>
                  <w:vAlign w:val="center"/>
                </w:tcPr>
                <w:p w14:paraId="4E16228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w:t>
                  </w:r>
                </w:p>
              </w:tc>
              <w:tc>
                <w:tcPr>
                  <w:tcW w:w="1001" w:type="pct"/>
                  <w:tcBorders>
                    <w:top w:val="single" w:color="auto" w:sz="12" w:space="0"/>
                    <w:tl2br w:val="nil"/>
                    <w:tr2bl w:val="nil"/>
                  </w:tcBorders>
                  <w:noWrap w:val="0"/>
                  <w:vAlign w:val="center"/>
                </w:tcPr>
                <w:p w14:paraId="1F005B1C">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VOCs（以非甲烷总烃计）</w:t>
                  </w:r>
                  <w:r>
                    <w:rPr>
                      <w:rFonts w:hint="default" w:ascii="Times New Roman" w:hAnsi="Times New Roman" w:eastAsia="宋体" w:cs="Times New Roman"/>
                      <w:color w:val="auto"/>
                      <w:sz w:val="21"/>
                      <w:szCs w:val="21"/>
                      <w:highlight w:val="none"/>
                      <w:lang w:val="en-US" w:eastAsia="zh-CN"/>
                    </w:rPr>
                    <w:t>处理措施排气筒</w:t>
                  </w:r>
                </w:p>
              </w:tc>
              <w:tc>
                <w:tcPr>
                  <w:tcW w:w="632" w:type="pct"/>
                  <w:tcBorders>
                    <w:top w:val="single" w:color="auto" w:sz="12" w:space="0"/>
                    <w:tl2br w:val="nil"/>
                    <w:tr2bl w:val="nil"/>
                  </w:tcBorders>
                  <w:noWrap w:val="0"/>
                  <w:vAlign w:val="center"/>
                </w:tcPr>
                <w:p w14:paraId="334AB8DB">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DA003</w:t>
                  </w:r>
                </w:p>
              </w:tc>
              <w:tc>
                <w:tcPr>
                  <w:tcW w:w="804" w:type="pct"/>
                  <w:tcBorders>
                    <w:top w:val="single" w:color="auto" w:sz="12" w:space="0"/>
                    <w:tl2br w:val="nil"/>
                    <w:tr2bl w:val="nil"/>
                  </w:tcBorders>
                  <w:noWrap w:val="0"/>
                  <w:vAlign w:val="center"/>
                </w:tcPr>
                <w:p w14:paraId="328B9C6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928" w:type="pct"/>
                  <w:tcBorders>
                    <w:top w:val="single" w:color="auto" w:sz="12" w:space="0"/>
                    <w:tl2br w:val="nil"/>
                    <w:tr2bl w:val="nil"/>
                  </w:tcBorders>
                  <w:noWrap w:val="0"/>
                  <w:vAlign w:val="center"/>
                </w:tcPr>
                <w:p w14:paraId="0F12D654">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val="en-US" w:eastAsia="zh-CN"/>
                    </w:rPr>
                    <w:t>半年</w:t>
                  </w:r>
                </w:p>
              </w:tc>
              <w:tc>
                <w:tcPr>
                  <w:tcW w:w="461" w:type="pct"/>
                  <w:vMerge w:val="restart"/>
                  <w:tcBorders>
                    <w:top w:val="single" w:color="auto" w:sz="12" w:space="0"/>
                    <w:tl2br w:val="nil"/>
                    <w:tr2bl w:val="nil"/>
                  </w:tcBorders>
                  <w:noWrap w:val="0"/>
                  <w:vAlign w:val="center"/>
                </w:tcPr>
                <w:p w14:paraId="17509CDD">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企业自行委托</w:t>
                  </w:r>
                </w:p>
              </w:tc>
            </w:tr>
            <w:tr w14:paraId="182563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615" w:type="pct"/>
                  <w:vMerge w:val="continue"/>
                  <w:tcBorders>
                    <w:tl2br w:val="nil"/>
                    <w:tr2bl w:val="nil"/>
                  </w:tcBorders>
                  <w:noWrap w:val="0"/>
                  <w:vAlign w:val="center"/>
                </w:tcPr>
                <w:p w14:paraId="28FEC30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p>
              </w:tc>
              <w:tc>
                <w:tcPr>
                  <w:tcW w:w="556" w:type="pct"/>
                  <w:tcBorders>
                    <w:tl2br w:val="nil"/>
                    <w:tr2bl w:val="nil"/>
                  </w:tcBorders>
                  <w:noWrap w:val="0"/>
                  <w:vAlign w:val="center"/>
                </w:tcPr>
                <w:p w14:paraId="329BB96C">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生产车间</w:t>
                  </w:r>
                </w:p>
              </w:tc>
              <w:tc>
                <w:tcPr>
                  <w:tcW w:w="1001" w:type="pct"/>
                  <w:tcBorders>
                    <w:tl2br w:val="nil"/>
                    <w:tr2bl w:val="nil"/>
                  </w:tcBorders>
                  <w:noWrap w:val="0"/>
                  <w:vAlign w:val="center"/>
                </w:tcPr>
                <w:p w14:paraId="6A3E304A">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厂界、车间外</w:t>
                  </w:r>
                </w:p>
              </w:tc>
              <w:tc>
                <w:tcPr>
                  <w:tcW w:w="632" w:type="pct"/>
                  <w:tcBorders>
                    <w:tl2br w:val="nil"/>
                    <w:tr2bl w:val="nil"/>
                  </w:tcBorders>
                  <w:noWrap w:val="0"/>
                  <w:vAlign w:val="center"/>
                </w:tcPr>
                <w:p w14:paraId="37B667A8">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804" w:type="pct"/>
                  <w:tcBorders>
                    <w:tl2br w:val="nil"/>
                    <w:tr2bl w:val="nil"/>
                  </w:tcBorders>
                  <w:noWrap w:val="0"/>
                  <w:vAlign w:val="center"/>
                </w:tcPr>
                <w:p w14:paraId="2C47A759">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非甲烷总烃、颗粒物</w:t>
                  </w:r>
                </w:p>
              </w:tc>
              <w:tc>
                <w:tcPr>
                  <w:tcW w:w="928" w:type="pct"/>
                  <w:tcBorders>
                    <w:tl2br w:val="nil"/>
                    <w:tr2bl w:val="nil"/>
                  </w:tcBorders>
                  <w:noWrap w:val="0"/>
                  <w:vAlign w:val="center"/>
                </w:tcPr>
                <w:p w14:paraId="796A3397">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次/</w:t>
                  </w:r>
                  <w:r>
                    <w:rPr>
                      <w:rFonts w:hint="default" w:ascii="Times New Roman" w:hAnsi="Times New Roman" w:eastAsia="宋体" w:cs="Times New Roman"/>
                      <w:color w:val="auto"/>
                      <w:sz w:val="21"/>
                      <w:szCs w:val="21"/>
                      <w:highlight w:val="none"/>
                      <w:lang w:val="en-US" w:eastAsia="zh-CN"/>
                    </w:rPr>
                    <w:t>年</w:t>
                  </w:r>
                </w:p>
              </w:tc>
              <w:tc>
                <w:tcPr>
                  <w:tcW w:w="461" w:type="pct"/>
                  <w:vMerge w:val="continue"/>
                  <w:tcBorders>
                    <w:tl2br w:val="nil"/>
                    <w:tr2bl w:val="nil"/>
                  </w:tcBorders>
                  <w:noWrap w:val="0"/>
                  <w:vAlign w:val="center"/>
                </w:tcPr>
                <w:p w14:paraId="6EC28661">
                  <w:pPr>
                    <w:keepNext w:val="0"/>
                    <w:keepLines w:val="0"/>
                    <w:pageBreakBefore w:val="0"/>
                    <w:widowControl w:val="0"/>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p>
              </w:tc>
            </w:tr>
          </w:tbl>
          <w:p w14:paraId="214FC238">
            <w:pPr>
              <w:adjustRightInd w:val="0"/>
              <w:snapToGrid w:val="0"/>
              <w:spacing w:line="360" w:lineRule="auto"/>
              <w:ind w:firstLine="482" w:firstLineChars="200"/>
              <w:rPr>
                <w:rFonts w:hint="default" w:ascii="Times New Roman" w:hAnsi="Times New Roman" w:cs="Times New Roman"/>
                <w:b/>
                <w:bCs/>
                <w:color w:val="auto"/>
                <w:sz w:val="24"/>
                <w:szCs w:val="24"/>
                <w:highlight w:val="none"/>
                <w:lang w:val="en-US" w:eastAsia="zh-CN"/>
              </w:rPr>
            </w:pPr>
          </w:p>
          <w:p w14:paraId="2C22D38E">
            <w:pPr>
              <w:keepNext w:val="0"/>
              <w:keepLines w:val="0"/>
              <w:pageBreakBefore w:val="0"/>
              <w:widowControl w:val="0"/>
              <w:kinsoku/>
              <w:wordWrap/>
              <w:overflowPunct/>
              <w:topLinePunct w:val="0"/>
              <w:autoSpaceDE/>
              <w:autoSpaceDN/>
              <w:bidi w:val="0"/>
              <w:adjustRightInd/>
              <w:snapToGrid/>
              <w:spacing w:line="360" w:lineRule="auto"/>
              <w:ind w:left="0" w:right="0" w:firstLine="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2</w:t>
            </w:r>
            <w:r>
              <w:rPr>
                <w:rFonts w:hint="default" w:ascii="Times New Roman" w:hAnsi="Times New Roman" w:eastAsia="宋体" w:cs="Times New Roman"/>
                <w:b/>
                <w:bCs/>
                <w:color w:val="auto"/>
                <w:spacing w:val="-2"/>
                <w:sz w:val="24"/>
                <w:szCs w:val="24"/>
                <w:highlight w:val="none"/>
              </w:rPr>
              <w:t>水环境影响分析及防治措施</w:t>
            </w:r>
          </w:p>
          <w:p w14:paraId="76BA7EDB">
            <w:pPr>
              <w:keepNext w:val="0"/>
              <w:keepLines w:val="0"/>
              <w:pageBreakBefore w:val="0"/>
              <w:widowControl w:val="0"/>
              <w:kinsoku/>
              <w:wordWrap/>
              <w:overflowPunct/>
              <w:topLinePunct w:val="0"/>
              <w:autoSpaceDE/>
              <w:autoSpaceDN/>
              <w:bidi w:val="0"/>
              <w:adjustRightInd/>
              <w:snapToGrid/>
              <w:spacing w:line="360" w:lineRule="auto"/>
              <w:ind w:left="0" w:right="0" w:firstLine="0"/>
              <w:textAlignment w:val="auto"/>
              <w:outlineLvl w:val="1"/>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2.1</w:t>
            </w:r>
            <w:r>
              <w:rPr>
                <w:rFonts w:hint="default" w:ascii="Times New Roman" w:hAnsi="Times New Roman" w:eastAsia="宋体" w:cs="Times New Roman"/>
                <w:b/>
                <w:bCs/>
                <w:color w:val="auto"/>
                <w:spacing w:val="-2"/>
                <w:sz w:val="24"/>
                <w:szCs w:val="24"/>
                <w:highlight w:val="none"/>
              </w:rPr>
              <w:t>废水产生、处置及排放情况</w:t>
            </w:r>
          </w:p>
          <w:p w14:paraId="25B6B597">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1</w:t>
            </w:r>
            <w:r>
              <w:rPr>
                <w:rFonts w:hint="default" w:ascii="Times New Roman" w:hAnsi="Times New Roman" w:eastAsia="宋体" w:cs="Times New Roman"/>
                <w:color w:val="auto"/>
                <w:spacing w:val="-3"/>
                <w:sz w:val="24"/>
                <w:szCs w:val="24"/>
                <w:highlight w:val="none"/>
              </w:rPr>
              <w:t>）生产废水</w:t>
            </w:r>
          </w:p>
          <w:p w14:paraId="4777C128">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hint="default" w:ascii="Times New Roman" w:hAnsi="Times New Roman" w:eastAsia="宋体" w:cs="Times New Roman"/>
                <w:color w:val="auto"/>
                <w:spacing w:val="1"/>
                <w:sz w:val="24"/>
                <w:szCs w:val="24"/>
                <w:highlight w:val="none"/>
                <w:lang w:val="en-US" w:eastAsia="zh-CN"/>
              </w:rPr>
            </w:pPr>
            <w:r>
              <w:rPr>
                <w:rFonts w:hint="eastAsia" w:ascii="Times New Roman" w:hAnsi="Times New Roman" w:cs="Times New Roman"/>
                <w:color w:val="auto"/>
                <w:spacing w:val="1"/>
                <w:sz w:val="24"/>
                <w:szCs w:val="24"/>
                <w:highlight w:val="none"/>
                <w:lang w:val="en-US" w:eastAsia="zh-CN"/>
              </w:rPr>
              <w:t>根据工艺流程描述，本项目</w:t>
            </w:r>
            <w:r>
              <w:rPr>
                <w:rFonts w:hint="default" w:ascii="Times New Roman" w:hAnsi="Times New Roman" w:eastAsia="宋体" w:cs="Times New Roman"/>
                <w:color w:val="auto"/>
                <w:spacing w:val="1"/>
                <w:sz w:val="24"/>
                <w:szCs w:val="24"/>
                <w:highlight w:val="none"/>
              </w:rPr>
              <w:t>生产废水主要为设备</w:t>
            </w:r>
            <w:r>
              <w:rPr>
                <w:rFonts w:hint="eastAsia" w:ascii="Times New Roman" w:hAnsi="Times New Roman" w:cs="Times New Roman"/>
                <w:color w:val="auto"/>
                <w:spacing w:val="1"/>
                <w:sz w:val="24"/>
                <w:szCs w:val="24"/>
                <w:highlight w:val="none"/>
                <w:lang w:val="en-US" w:eastAsia="zh-CN"/>
              </w:rPr>
              <w:t>循环冷却水，循环冷却水循环使用不外排，定期对循环水进行补充，因此本项目的建设无生产废水排放。</w:t>
            </w:r>
          </w:p>
          <w:p w14:paraId="55311BE8">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hint="default" w:ascii="Times New Roman" w:hAnsi="Times New Roman" w:eastAsia="宋体" w:cs="Times New Roman"/>
                <w:color w:val="auto"/>
                <w:spacing w:val="1"/>
                <w:sz w:val="24"/>
                <w:szCs w:val="24"/>
                <w:highlight w:val="none"/>
              </w:rPr>
            </w:pPr>
            <w:r>
              <w:rPr>
                <w:rFonts w:hint="eastAsia" w:ascii="Times New Roman" w:hAnsi="Times New Roman" w:cs="Times New Roman"/>
                <w:color w:val="auto"/>
                <w:spacing w:val="1"/>
                <w:sz w:val="24"/>
                <w:szCs w:val="24"/>
                <w:highlight w:val="none"/>
                <w:lang w:val="en-US" w:eastAsia="zh-CN"/>
              </w:rPr>
              <w:t>现有项目</w:t>
            </w:r>
            <w:r>
              <w:rPr>
                <w:rFonts w:hint="default" w:ascii="Times New Roman" w:hAnsi="Times New Roman" w:eastAsia="宋体" w:cs="Times New Roman"/>
                <w:color w:val="auto"/>
                <w:spacing w:val="1"/>
                <w:sz w:val="24"/>
                <w:szCs w:val="24"/>
                <w:highlight w:val="none"/>
              </w:rPr>
              <w:t>车间地面冲洗废水，主要污染物为悬浮物，生产废水排入沉淀池后，悬浮物在重力的作用下，悬浮物会逐渐下沉到池底，而清水则会逐渐上升，当沉淀过程完成后，清水则循环使用，沉淀物会定期清理。综上所述，生产废水经三级沉淀池沉淀后循环使用不外排，无生产废水产生。</w:t>
            </w:r>
          </w:p>
          <w:p w14:paraId="58E37D88">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1"/>
                <w:sz w:val="24"/>
                <w:szCs w:val="24"/>
                <w:highlight w:val="none"/>
                <w:lang w:eastAsia="zh-CN"/>
              </w:rPr>
              <w:t>三</w:t>
            </w:r>
            <w:r>
              <w:rPr>
                <w:rFonts w:hint="default" w:ascii="Times New Roman" w:hAnsi="Times New Roman" w:eastAsia="宋体" w:cs="Times New Roman"/>
                <w:color w:val="auto"/>
                <w:spacing w:val="1"/>
                <w:sz w:val="24"/>
                <w:szCs w:val="24"/>
                <w:highlight w:val="none"/>
              </w:rPr>
              <w:t>级沉淀池（</w:t>
            </w:r>
            <w:r>
              <w:rPr>
                <w:rFonts w:hint="default" w:ascii="Times New Roman" w:hAnsi="Times New Roman" w:eastAsia="宋体" w:cs="Times New Roman"/>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rPr>
              <w:t>00m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）沉淀处理后循环利用，无废水排放；工艺冷却循环水利用一个循环水池（40m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）循环使用，不外排，一个生产周期结束后，循环池内的水自然蒸发。本项目清洗废水经</w:t>
            </w:r>
            <w:r>
              <w:rPr>
                <w:rFonts w:hint="default" w:ascii="Times New Roman" w:hAnsi="Times New Roman" w:eastAsia="宋体" w:cs="Times New Roman"/>
                <w:color w:val="auto"/>
                <w:spacing w:val="1"/>
                <w:sz w:val="24"/>
                <w:szCs w:val="24"/>
                <w:highlight w:val="none"/>
                <w:lang w:eastAsia="zh-CN"/>
              </w:rPr>
              <w:t>三</w:t>
            </w:r>
            <w:r>
              <w:rPr>
                <w:rFonts w:hint="default" w:ascii="Times New Roman" w:hAnsi="Times New Roman" w:eastAsia="宋体" w:cs="Times New Roman"/>
                <w:color w:val="auto"/>
                <w:spacing w:val="1"/>
                <w:sz w:val="24"/>
                <w:szCs w:val="24"/>
                <w:highlight w:val="none"/>
              </w:rPr>
              <w:t>级沉淀池处理后全部回用于清洗工段，不外排。循环水池（40m</w:t>
            </w:r>
            <w:r>
              <w:rPr>
                <w:rFonts w:hint="default" w:ascii="Times New Roman" w:hAnsi="Times New Roman" w:eastAsia="宋体" w:cs="Times New Roman"/>
                <w:color w:val="auto"/>
                <w:spacing w:val="1"/>
                <w:sz w:val="24"/>
                <w:szCs w:val="24"/>
                <w:highlight w:val="none"/>
                <w:vertAlign w:val="superscript"/>
              </w:rPr>
              <w:t>3</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lang w:val="en-US" w:eastAsia="zh-CN"/>
              </w:rPr>
              <w:t>及</w:t>
            </w:r>
            <w:r>
              <w:rPr>
                <w:rFonts w:hint="default" w:ascii="Times New Roman" w:hAnsi="Times New Roman" w:eastAsia="宋体" w:cs="Times New Roman"/>
                <w:color w:val="auto"/>
                <w:spacing w:val="1"/>
                <w:sz w:val="24"/>
                <w:szCs w:val="24"/>
                <w:highlight w:val="none"/>
                <w:lang w:eastAsia="zh-CN"/>
              </w:rPr>
              <w:t>三</w:t>
            </w:r>
            <w:r>
              <w:rPr>
                <w:rFonts w:hint="default" w:ascii="Times New Roman" w:hAnsi="Times New Roman" w:eastAsia="宋体" w:cs="Times New Roman"/>
                <w:color w:val="auto"/>
                <w:spacing w:val="1"/>
                <w:sz w:val="24"/>
                <w:szCs w:val="24"/>
                <w:highlight w:val="none"/>
              </w:rPr>
              <w:t>级沉淀池</w:t>
            </w:r>
            <w:r>
              <w:rPr>
                <w:rFonts w:hint="default" w:ascii="Times New Roman" w:hAnsi="Times New Roman" w:eastAsia="宋体" w:cs="Times New Roman"/>
                <w:color w:val="auto"/>
                <w:spacing w:val="1"/>
                <w:sz w:val="24"/>
                <w:szCs w:val="24"/>
                <w:highlight w:val="none"/>
                <w:lang w:val="en-US" w:eastAsia="zh-CN"/>
              </w:rPr>
              <w:t>已通过竣工和环境保护验收，综上，现有项目</w:t>
            </w:r>
            <w:r>
              <w:rPr>
                <w:rFonts w:hint="default" w:ascii="Times New Roman" w:hAnsi="Times New Roman" w:eastAsia="宋体" w:cs="Times New Roman"/>
                <w:color w:val="auto"/>
                <w:spacing w:val="1"/>
                <w:sz w:val="24"/>
                <w:szCs w:val="24"/>
                <w:highlight w:val="none"/>
              </w:rPr>
              <w:t>生产废水经三级沉淀池沉淀后循环使用不外排</w:t>
            </w:r>
            <w:r>
              <w:rPr>
                <w:rFonts w:hint="default" w:ascii="Times New Roman" w:hAnsi="Times New Roman" w:eastAsia="宋体" w:cs="Times New Roman"/>
                <w:color w:val="auto"/>
                <w:spacing w:val="1"/>
                <w:sz w:val="24"/>
                <w:szCs w:val="24"/>
                <w:highlight w:val="none"/>
                <w:lang w:val="en-US" w:eastAsia="zh-CN"/>
              </w:rPr>
              <w:t>方式可行。</w:t>
            </w:r>
          </w:p>
          <w:p w14:paraId="55DF76E2">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2</w:t>
            </w:r>
            <w:r>
              <w:rPr>
                <w:rFonts w:hint="default" w:ascii="Times New Roman" w:hAnsi="Times New Roman" w:eastAsia="宋体" w:cs="Times New Roman"/>
                <w:color w:val="auto"/>
                <w:spacing w:val="-3"/>
                <w:sz w:val="24"/>
                <w:szCs w:val="24"/>
                <w:highlight w:val="none"/>
              </w:rPr>
              <w:t>）生活污水</w:t>
            </w:r>
          </w:p>
          <w:p w14:paraId="5BE7D642">
            <w:pPr>
              <w:keepNext w:val="0"/>
              <w:keepLines w:val="0"/>
              <w:pageBreakBefore w:val="0"/>
              <w:widowControl w:val="0"/>
              <w:kinsoku/>
              <w:wordWrap/>
              <w:overflowPunct/>
              <w:topLinePunct w:val="0"/>
              <w:autoSpaceDE/>
              <w:autoSpaceDN/>
              <w:bidi w:val="0"/>
              <w:adjustRightInd/>
              <w:snapToGrid/>
              <w:spacing w:line="360" w:lineRule="auto"/>
              <w:ind w:left="0" w:right="0" w:firstLine="468" w:firstLineChars="200"/>
              <w:textAlignment w:val="auto"/>
              <w:rPr>
                <w:rFonts w:hint="default" w:ascii="Times New Roman" w:hAnsi="Times New Roman" w:eastAsia="宋体" w:cs="Times New Roman"/>
                <w:color w:val="auto"/>
                <w:spacing w:val="1"/>
                <w:sz w:val="24"/>
                <w:szCs w:val="24"/>
                <w:highlight w:val="none"/>
              </w:rPr>
            </w:pPr>
            <w:r>
              <w:rPr>
                <w:rFonts w:hint="default" w:ascii="Times New Roman" w:hAnsi="Times New Roman" w:cs="Times New Roman"/>
                <w:color w:val="auto"/>
                <w:spacing w:val="-3"/>
                <w:sz w:val="24"/>
                <w:szCs w:val="24"/>
                <w:highlight w:val="none"/>
                <w:lang w:val="en-US" w:eastAsia="zh-CN"/>
              </w:rPr>
              <w:t>本项目不新增劳动定员，因此不新增生活污水，现有项目生活污水排放量：</w:t>
            </w:r>
            <w:r>
              <w:rPr>
                <w:rFonts w:hint="default" w:ascii="Times New Roman" w:hAnsi="Times New Roman" w:eastAsia="宋体" w:cs="Times New Roman"/>
                <w:color w:val="auto"/>
                <w:kern w:val="2"/>
                <w:sz w:val="24"/>
                <w:szCs w:val="24"/>
                <w:highlight w:val="none"/>
                <w:lang w:val="en-US" w:eastAsia="zh-CN" w:bidi="ar-SA"/>
              </w:rPr>
              <w:t>342</w:t>
            </w:r>
            <w:r>
              <w:rPr>
                <w:rFonts w:hint="default" w:ascii="Times New Roman" w:hAnsi="Times New Roman" w:cs="Times New Roman"/>
                <w:color w:val="auto"/>
                <w:spacing w:val="-3"/>
                <w:sz w:val="24"/>
                <w:szCs w:val="24"/>
                <w:highlight w:val="none"/>
                <w:lang w:val="en-US" w:eastAsia="zh-CN"/>
              </w:rPr>
              <w:t>m</w:t>
            </w:r>
            <w:r>
              <w:rPr>
                <w:rFonts w:hint="default" w:ascii="Times New Roman" w:hAnsi="Times New Roman" w:cs="Times New Roman"/>
                <w:color w:val="auto"/>
                <w:spacing w:val="-3"/>
                <w:sz w:val="24"/>
                <w:szCs w:val="24"/>
                <w:highlight w:val="none"/>
                <w:vertAlign w:val="superscript"/>
                <w:lang w:val="en-US" w:eastAsia="zh-CN"/>
              </w:rPr>
              <w:t>3</w:t>
            </w:r>
            <w:r>
              <w:rPr>
                <w:rFonts w:hint="default" w:ascii="Times New Roman" w:hAnsi="Times New Roman" w:cs="Times New Roman"/>
                <w:color w:val="auto"/>
                <w:spacing w:val="-3"/>
                <w:sz w:val="24"/>
                <w:szCs w:val="24"/>
                <w:highlight w:val="none"/>
                <w:lang w:val="en-US" w:eastAsia="zh-CN"/>
              </w:rPr>
              <w:t>/a，现有项目运营期产生的生活污水</w:t>
            </w:r>
            <w:r>
              <w:rPr>
                <w:rFonts w:hint="default" w:ascii="Times New Roman" w:hAnsi="Times New Roman" w:eastAsia="宋体" w:cs="Times New Roman"/>
                <w:color w:val="auto"/>
                <w:spacing w:val="1"/>
                <w:sz w:val="24"/>
                <w:szCs w:val="24"/>
                <w:highlight w:val="none"/>
              </w:rPr>
              <w:t>排</w:t>
            </w:r>
            <w:r>
              <w:rPr>
                <w:rFonts w:hint="default" w:ascii="Times New Roman" w:hAnsi="Times New Roman" w:cs="Times New Roman"/>
                <w:color w:val="auto"/>
                <w:spacing w:val="1"/>
                <w:sz w:val="24"/>
                <w:szCs w:val="24"/>
                <w:highlight w:val="none"/>
                <w:lang w:val="en-US" w:eastAsia="zh-CN"/>
              </w:rPr>
              <w:t>入</w:t>
            </w:r>
            <w:r>
              <w:rPr>
                <w:rFonts w:hint="default" w:ascii="Times New Roman" w:hAnsi="Times New Roman" w:eastAsia="宋体" w:cs="Times New Roman"/>
                <w:color w:val="auto"/>
                <w:spacing w:val="1"/>
                <w:sz w:val="24"/>
                <w:szCs w:val="24"/>
                <w:highlight w:val="none"/>
              </w:rPr>
              <w:t>污水管网，最终排入</w:t>
            </w:r>
            <w:r>
              <w:rPr>
                <w:rFonts w:hint="default" w:ascii="Times New Roman" w:hAnsi="Times New Roman" w:eastAsia="宋体" w:cs="Times New Roman"/>
                <w:color w:val="auto"/>
                <w:spacing w:val="1"/>
                <w:sz w:val="24"/>
                <w:szCs w:val="24"/>
                <w:highlight w:val="none"/>
                <w:lang w:eastAsia="zh-CN"/>
              </w:rPr>
              <w:t>昌吉市第二污水处理厂</w:t>
            </w:r>
            <w:r>
              <w:rPr>
                <w:rFonts w:hint="default" w:ascii="Times New Roman" w:hAnsi="Times New Roman" w:eastAsia="宋体" w:cs="Times New Roman"/>
                <w:color w:val="auto"/>
                <w:spacing w:val="1"/>
                <w:sz w:val="24"/>
                <w:szCs w:val="24"/>
                <w:highlight w:val="none"/>
              </w:rPr>
              <w:t>处理。</w:t>
            </w:r>
          </w:p>
          <w:p w14:paraId="14F7BDAF">
            <w:pPr>
              <w:keepNext w:val="0"/>
              <w:keepLines w:val="0"/>
              <w:pageBreakBefore w:val="0"/>
              <w:widowControl w:val="0"/>
              <w:kinsoku/>
              <w:wordWrap/>
              <w:overflowPunct/>
              <w:topLinePunct w:val="0"/>
              <w:autoSpaceDE/>
              <w:autoSpaceDN/>
              <w:bidi w:val="0"/>
              <w:adjustRightInd/>
              <w:snapToGrid/>
              <w:spacing w:line="360" w:lineRule="auto"/>
              <w:ind w:left="0" w:right="0" w:firstLine="484"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生活</w:t>
            </w:r>
            <w:r>
              <w:rPr>
                <w:rFonts w:hint="default" w:ascii="Times New Roman" w:hAnsi="Times New Roman" w:eastAsia="宋体" w:cs="Times New Roman"/>
                <w:color w:val="auto"/>
                <w:sz w:val="24"/>
                <w:szCs w:val="24"/>
                <w:highlight w:val="none"/>
              </w:rPr>
              <w:t>污水的</w:t>
            </w:r>
            <w:r>
              <w:rPr>
                <w:rFonts w:hint="default" w:ascii="Times New Roman" w:hAnsi="Times New Roman" w:eastAsia="宋体" w:cs="Times New Roman"/>
                <w:color w:val="auto"/>
                <w:spacing w:val="1"/>
                <w:sz w:val="24"/>
                <w:szCs w:val="24"/>
                <w:highlight w:val="none"/>
              </w:rPr>
              <w:t>排放标准执行《污水排入城市下水道水质标准》（</w:t>
            </w:r>
            <w:r>
              <w:rPr>
                <w:rFonts w:hint="default" w:ascii="Times New Roman" w:hAnsi="Times New Roman" w:eastAsia="Times New Roman" w:cs="Times New Roman"/>
                <w:color w:val="auto"/>
                <w:sz w:val="24"/>
                <w:szCs w:val="24"/>
                <w:highlight w:val="none"/>
              </w:rPr>
              <w:t>GB</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eastAsia="Times New Roman" w:cs="Times New Roman"/>
                <w:color w:val="auto"/>
                <w:sz w:val="24"/>
                <w:szCs w:val="24"/>
                <w:highlight w:val="none"/>
              </w:rPr>
              <w:t>T31962-2015</w:t>
            </w:r>
            <w:r>
              <w:rPr>
                <w:rFonts w:hint="default" w:ascii="Times New Roman" w:hAnsi="Times New Roman" w:eastAsia="宋体" w:cs="Times New Roman"/>
                <w:color w:val="auto"/>
                <w:sz w:val="24"/>
                <w:szCs w:val="24"/>
                <w:highlight w:val="none"/>
              </w:rPr>
              <w:t>）</w:t>
            </w:r>
            <w:r>
              <w:rPr>
                <w:rFonts w:hint="default" w:ascii="Times New Roman" w:hAnsi="Times New Roman" w:eastAsia="Times New Roman" w:cs="Times New Roman"/>
                <w:color w:val="auto"/>
                <w:sz w:val="24"/>
                <w:szCs w:val="24"/>
                <w:highlight w:val="none"/>
              </w:rPr>
              <w:t>B</w:t>
            </w:r>
            <w:r>
              <w:rPr>
                <w:rFonts w:hint="default" w:ascii="Times New Roman" w:hAnsi="Times New Roman" w:eastAsia="宋体" w:cs="Times New Roman"/>
                <w:color w:val="auto"/>
                <w:sz w:val="24"/>
                <w:szCs w:val="24"/>
                <w:highlight w:val="none"/>
              </w:rPr>
              <w:t>级标</w:t>
            </w:r>
            <w:r>
              <w:rPr>
                <w:rFonts w:hint="default" w:ascii="Times New Roman" w:hAnsi="Times New Roman" w:eastAsia="宋体" w:cs="Times New Roman"/>
                <w:color w:val="auto"/>
                <w:spacing w:val="-3"/>
                <w:sz w:val="24"/>
                <w:szCs w:val="24"/>
                <w:highlight w:val="none"/>
              </w:rPr>
              <w:t>准限值。</w:t>
            </w:r>
            <w:r>
              <w:rPr>
                <w:rFonts w:hint="default" w:ascii="Times New Roman" w:hAnsi="Times New Roman" w:eastAsia="宋体" w:cs="Times New Roman"/>
                <w:color w:val="auto"/>
                <w:spacing w:val="-1"/>
                <w:sz w:val="24"/>
                <w:szCs w:val="24"/>
                <w:highlight w:val="none"/>
              </w:rPr>
              <w:t>本项目产生的生活污水产排情况详见表</w:t>
            </w:r>
            <w:r>
              <w:rPr>
                <w:rFonts w:hint="default" w:ascii="Times New Roman" w:hAnsi="Times New Roman" w:eastAsia="Times New Roman" w:cs="Times New Roman"/>
                <w:color w:val="auto"/>
                <w:spacing w:val="-1"/>
                <w:sz w:val="24"/>
                <w:szCs w:val="24"/>
                <w:highlight w:val="none"/>
              </w:rPr>
              <w:t>4-</w:t>
            </w:r>
            <w:r>
              <w:rPr>
                <w:rFonts w:hint="default" w:ascii="Times New Roman" w:hAnsi="Times New Roman" w:eastAsia="宋体" w:cs="Times New Roman"/>
                <w:color w:val="auto"/>
                <w:spacing w:val="-1"/>
                <w:sz w:val="24"/>
                <w:szCs w:val="24"/>
                <w:highlight w:val="none"/>
                <w:lang w:val="en-US" w:eastAsia="zh-CN"/>
              </w:rPr>
              <w:t>5</w:t>
            </w:r>
            <w:r>
              <w:rPr>
                <w:rFonts w:hint="default" w:ascii="Times New Roman" w:hAnsi="Times New Roman" w:eastAsia="宋体" w:cs="Times New Roman"/>
                <w:color w:val="auto"/>
                <w:spacing w:val="-1"/>
                <w:sz w:val="24"/>
                <w:szCs w:val="24"/>
                <w:highlight w:val="none"/>
              </w:rPr>
              <w:t>。</w:t>
            </w:r>
          </w:p>
          <w:p w14:paraId="037675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5"/>
                <w:sz w:val="21"/>
                <w:szCs w:val="21"/>
                <w:highlight w:val="none"/>
              </w:rPr>
              <w:t>表</w:t>
            </w:r>
            <w:r>
              <w:rPr>
                <w:rFonts w:hint="default" w:ascii="Times New Roman" w:hAnsi="Times New Roman" w:eastAsia="Times New Roman" w:cs="Times New Roman"/>
                <w:b/>
                <w:bCs/>
                <w:color w:val="auto"/>
                <w:spacing w:val="5"/>
                <w:sz w:val="21"/>
                <w:szCs w:val="21"/>
                <w:highlight w:val="none"/>
              </w:rPr>
              <w:t>4-</w:t>
            </w:r>
            <w:r>
              <w:rPr>
                <w:rFonts w:hint="default" w:ascii="Times New Roman" w:hAnsi="Times New Roman" w:eastAsia="宋体" w:cs="Times New Roman"/>
                <w:b/>
                <w:bCs/>
                <w:color w:val="auto"/>
                <w:spacing w:val="5"/>
                <w:sz w:val="21"/>
                <w:szCs w:val="21"/>
                <w:highlight w:val="none"/>
                <w:lang w:val="en-US" w:eastAsia="zh-CN"/>
              </w:rPr>
              <w:t>5</w:t>
            </w:r>
            <w:r>
              <w:rPr>
                <w:rFonts w:hint="default" w:ascii="Times New Roman" w:hAnsi="Times New Roman" w:eastAsia="宋体" w:cs="Times New Roman"/>
                <w:b/>
                <w:bCs/>
                <w:color w:val="auto"/>
                <w:spacing w:val="5"/>
                <w:sz w:val="21"/>
                <w:szCs w:val="21"/>
                <w:highlight w:val="none"/>
              </w:rPr>
              <w:t>生活污水产排情况一览表</w:t>
            </w:r>
          </w:p>
          <w:tbl>
            <w:tblPr>
              <w:tblStyle w:val="54"/>
              <w:tblW w:w="49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978"/>
              <w:gridCol w:w="1042"/>
              <w:gridCol w:w="1052"/>
              <w:gridCol w:w="1052"/>
              <w:gridCol w:w="1047"/>
              <w:gridCol w:w="1212"/>
            </w:tblGrid>
            <w:tr w14:paraId="717579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78" w:type="dxa"/>
                  <w:tcBorders>
                    <w:bottom w:val="single" w:color="000000" w:sz="12" w:space="0"/>
                  </w:tcBorders>
                  <w:vAlign w:val="center"/>
                </w:tcPr>
                <w:p w14:paraId="5364BF0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项目</w:t>
                  </w:r>
                </w:p>
              </w:tc>
              <w:tc>
                <w:tcPr>
                  <w:tcW w:w="1042" w:type="dxa"/>
                  <w:tcBorders>
                    <w:bottom w:val="single" w:color="000000" w:sz="12" w:space="0"/>
                  </w:tcBorders>
                  <w:vAlign w:val="center"/>
                </w:tcPr>
                <w:p w14:paraId="77D2EFB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污水量</w:t>
                  </w:r>
                </w:p>
              </w:tc>
              <w:tc>
                <w:tcPr>
                  <w:tcW w:w="1052" w:type="dxa"/>
                  <w:tcBorders>
                    <w:bottom w:val="single" w:color="000000" w:sz="12" w:space="0"/>
                  </w:tcBorders>
                  <w:vAlign w:val="center"/>
                </w:tcPr>
                <w:p w14:paraId="6D9A0B6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b/>
                      <w:bCs/>
                      <w:color w:val="auto"/>
                      <w:spacing w:val="4"/>
                      <w:sz w:val="21"/>
                      <w:szCs w:val="21"/>
                      <w:highlight w:val="none"/>
                    </w:rPr>
                    <w:t>CODcr</w:t>
                  </w:r>
                </w:p>
              </w:tc>
              <w:tc>
                <w:tcPr>
                  <w:tcW w:w="1052" w:type="dxa"/>
                  <w:tcBorders>
                    <w:bottom w:val="single" w:color="000000" w:sz="12" w:space="0"/>
                  </w:tcBorders>
                  <w:vAlign w:val="center"/>
                </w:tcPr>
                <w:p w14:paraId="38DFA87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b/>
                      <w:bCs/>
                      <w:color w:val="auto"/>
                      <w:spacing w:val="5"/>
                      <w:sz w:val="21"/>
                      <w:szCs w:val="21"/>
                      <w:highlight w:val="none"/>
                    </w:rPr>
                    <w:t>BOD</w:t>
                  </w:r>
                  <w:r>
                    <w:rPr>
                      <w:rFonts w:hint="default" w:ascii="Times New Roman" w:hAnsi="Times New Roman" w:eastAsia="Times New Roman" w:cs="Times New Roman"/>
                      <w:b/>
                      <w:bCs/>
                      <w:color w:val="auto"/>
                      <w:spacing w:val="5"/>
                      <w:position w:val="-1"/>
                      <w:sz w:val="21"/>
                      <w:szCs w:val="21"/>
                      <w:highlight w:val="none"/>
                      <w:vertAlign w:val="subscript"/>
                    </w:rPr>
                    <w:t>5</w:t>
                  </w:r>
                </w:p>
              </w:tc>
              <w:tc>
                <w:tcPr>
                  <w:tcW w:w="1047" w:type="dxa"/>
                  <w:tcBorders>
                    <w:bottom w:val="single" w:color="000000" w:sz="12" w:space="0"/>
                  </w:tcBorders>
                  <w:vAlign w:val="center"/>
                </w:tcPr>
                <w:p w14:paraId="2D591A4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b/>
                      <w:bCs/>
                      <w:color w:val="auto"/>
                      <w:sz w:val="21"/>
                      <w:szCs w:val="21"/>
                      <w:highlight w:val="none"/>
                    </w:rPr>
                    <w:t>NH</w:t>
                  </w:r>
                  <w:r>
                    <w:rPr>
                      <w:rFonts w:hint="default" w:ascii="Times New Roman" w:hAnsi="Times New Roman" w:eastAsia="Times New Roman" w:cs="Times New Roman"/>
                      <w:b/>
                      <w:bCs/>
                      <w:color w:val="auto"/>
                      <w:spacing w:val="7"/>
                      <w:sz w:val="21"/>
                      <w:szCs w:val="21"/>
                      <w:highlight w:val="none"/>
                      <w:vertAlign w:val="subscript"/>
                    </w:rPr>
                    <w:t>3</w:t>
                  </w:r>
                  <w:r>
                    <w:rPr>
                      <w:rFonts w:hint="default" w:ascii="Times New Roman" w:hAnsi="Times New Roman" w:eastAsia="Times New Roman" w:cs="Times New Roman"/>
                      <w:b/>
                      <w:bCs/>
                      <w:color w:val="auto"/>
                      <w:spacing w:val="7"/>
                      <w:sz w:val="21"/>
                      <w:szCs w:val="21"/>
                      <w:highlight w:val="none"/>
                    </w:rPr>
                    <w:t>-N</w:t>
                  </w:r>
                </w:p>
              </w:tc>
              <w:tc>
                <w:tcPr>
                  <w:tcW w:w="1212" w:type="dxa"/>
                  <w:tcBorders>
                    <w:bottom w:val="single" w:color="000000" w:sz="12" w:space="0"/>
                  </w:tcBorders>
                  <w:vAlign w:val="center"/>
                </w:tcPr>
                <w:p w14:paraId="1C15198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b/>
                      <w:bCs/>
                      <w:color w:val="auto"/>
                      <w:spacing w:val="-1"/>
                      <w:sz w:val="21"/>
                      <w:szCs w:val="21"/>
                      <w:highlight w:val="none"/>
                    </w:rPr>
                    <w:t>SS</w:t>
                  </w:r>
                </w:p>
              </w:tc>
            </w:tr>
            <w:tr w14:paraId="2712C8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78" w:type="dxa"/>
                  <w:tcBorders>
                    <w:top w:val="single" w:color="000000" w:sz="12" w:space="0"/>
                    <w:tl2br w:val="nil"/>
                    <w:tr2bl w:val="nil"/>
                  </w:tcBorders>
                  <w:vAlign w:val="center"/>
                </w:tcPr>
                <w:p w14:paraId="0B14B3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产生浓度（</w:t>
                  </w:r>
                  <w:r>
                    <w:rPr>
                      <w:rFonts w:hint="default" w:ascii="Times New Roman" w:hAnsi="Times New Roman" w:eastAsia="Times New Roman" w:cs="Times New Roman"/>
                      <w:color w:val="auto"/>
                      <w:sz w:val="21"/>
                      <w:szCs w:val="21"/>
                      <w:highlight w:val="none"/>
                    </w:rPr>
                    <w:t>mg</w:t>
                  </w:r>
                  <w:r>
                    <w:rPr>
                      <w:rFonts w:hint="default" w:ascii="Times New Roman" w:hAnsi="Times New Roman" w:eastAsia="Times New Roman" w:cs="Times New Roman"/>
                      <w:color w:val="auto"/>
                      <w:spacing w:val="7"/>
                      <w:sz w:val="21"/>
                      <w:szCs w:val="21"/>
                      <w:highlight w:val="none"/>
                    </w:rPr>
                    <w:t>/L</w:t>
                  </w:r>
                  <w:r>
                    <w:rPr>
                      <w:rFonts w:hint="default" w:ascii="Times New Roman" w:hAnsi="Times New Roman" w:eastAsia="宋体" w:cs="Times New Roman"/>
                      <w:color w:val="auto"/>
                      <w:spacing w:val="7"/>
                      <w:sz w:val="21"/>
                      <w:szCs w:val="21"/>
                      <w:highlight w:val="none"/>
                    </w:rPr>
                    <w:t>）</w:t>
                  </w:r>
                </w:p>
              </w:tc>
              <w:tc>
                <w:tcPr>
                  <w:tcW w:w="1042" w:type="dxa"/>
                  <w:tcBorders>
                    <w:top w:val="single" w:color="000000" w:sz="12" w:space="0"/>
                    <w:tl2br w:val="nil"/>
                    <w:tr2bl w:val="nil"/>
                  </w:tcBorders>
                  <w:vAlign w:val="center"/>
                </w:tcPr>
                <w:p w14:paraId="6D2CB4F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w:t>
                  </w:r>
                </w:p>
              </w:tc>
              <w:tc>
                <w:tcPr>
                  <w:tcW w:w="1052" w:type="dxa"/>
                  <w:tcBorders>
                    <w:top w:val="single" w:color="000000" w:sz="12" w:space="0"/>
                    <w:tl2br w:val="nil"/>
                    <w:tr2bl w:val="nil"/>
                  </w:tcBorders>
                  <w:vAlign w:val="center"/>
                </w:tcPr>
                <w:p w14:paraId="207AE07D">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400</w:t>
                  </w:r>
                </w:p>
              </w:tc>
              <w:tc>
                <w:tcPr>
                  <w:tcW w:w="1052" w:type="dxa"/>
                  <w:tcBorders>
                    <w:top w:val="single" w:color="000000" w:sz="12" w:space="0"/>
                    <w:tl2br w:val="nil"/>
                    <w:tr2bl w:val="nil"/>
                  </w:tcBorders>
                  <w:vAlign w:val="center"/>
                </w:tcPr>
                <w:p w14:paraId="6DFB66C0">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200</w:t>
                  </w:r>
                </w:p>
              </w:tc>
              <w:tc>
                <w:tcPr>
                  <w:tcW w:w="1047" w:type="dxa"/>
                  <w:tcBorders>
                    <w:top w:val="single" w:color="000000" w:sz="12" w:space="0"/>
                    <w:tl2br w:val="nil"/>
                    <w:tr2bl w:val="nil"/>
                  </w:tcBorders>
                  <w:vAlign w:val="center"/>
                </w:tcPr>
                <w:p w14:paraId="7676452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35</w:t>
                  </w:r>
                </w:p>
              </w:tc>
              <w:tc>
                <w:tcPr>
                  <w:tcW w:w="1212" w:type="dxa"/>
                  <w:tcBorders>
                    <w:top w:val="single" w:color="000000" w:sz="12" w:space="0"/>
                    <w:tl2br w:val="nil"/>
                    <w:tr2bl w:val="nil"/>
                  </w:tcBorders>
                  <w:vAlign w:val="center"/>
                </w:tcPr>
                <w:p w14:paraId="430CCA6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200</w:t>
                  </w:r>
                </w:p>
              </w:tc>
            </w:tr>
            <w:tr w14:paraId="1D27AC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78" w:type="dxa"/>
                  <w:tcBorders>
                    <w:tl2br w:val="nil"/>
                    <w:tr2bl w:val="nil"/>
                  </w:tcBorders>
                  <w:vAlign w:val="center"/>
                </w:tcPr>
                <w:p w14:paraId="3D2C59D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产生量（</w:t>
                  </w:r>
                  <w:r>
                    <w:rPr>
                      <w:rFonts w:hint="default" w:ascii="Times New Roman" w:hAnsi="Times New Roman" w:eastAsia="Times New Roman" w:cs="Times New Roman"/>
                      <w:color w:val="auto"/>
                      <w:spacing w:val="4"/>
                      <w:sz w:val="21"/>
                      <w:szCs w:val="21"/>
                      <w:highlight w:val="none"/>
                    </w:rPr>
                    <w:t>t/a</w:t>
                  </w:r>
                  <w:r>
                    <w:rPr>
                      <w:rFonts w:hint="default" w:ascii="Times New Roman" w:hAnsi="Times New Roman" w:eastAsia="宋体" w:cs="Times New Roman"/>
                      <w:color w:val="auto"/>
                      <w:spacing w:val="4"/>
                      <w:sz w:val="21"/>
                      <w:szCs w:val="21"/>
                      <w:highlight w:val="none"/>
                    </w:rPr>
                    <w:t>）</w:t>
                  </w:r>
                </w:p>
              </w:tc>
              <w:tc>
                <w:tcPr>
                  <w:tcW w:w="1042" w:type="dxa"/>
                  <w:tcBorders>
                    <w:tl2br w:val="nil"/>
                    <w:tr2bl w:val="nil"/>
                  </w:tcBorders>
                  <w:vAlign w:val="center"/>
                </w:tcPr>
                <w:p w14:paraId="6D45043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342</w:t>
                  </w:r>
                </w:p>
              </w:tc>
              <w:tc>
                <w:tcPr>
                  <w:tcW w:w="1052" w:type="dxa"/>
                  <w:tcBorders>
                    <w:tl2br w:val="nil"/>
                    <w:tr2bl w:val="nil"/>
                  </w:tcBorders>
                  <w:vAlign w:val="center"/>
                </w:tcPr>
                <w:p w14:paraId="7E6AA3D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0.15</w:t>
                  </w:r>
                </w:p>
              </w:tc>
              <w:tc>
                <w:tcPr>
                  <w:tcW w:w="1052" w:type="dxa"/>
                  <w:tcBorders>
                    <w:tl2br w:val="nil"/>
                    <w:tr2bl w:val="nil"/>
                  </w:tcBorders>
                  <w:vAlign w:val="center"/>
                </w:tcPr>
                <w:p w14:paraId="0BF83F2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0.07</w:t>
                  </w:r>
                </w:p>
              </w:tc>
              <w:tc>
                <w:tcPr>
                  <w:tcW w:w="1047" w:type="dxa"/>
                  <w:tcBorders>
                    <w:tl2br w:val="nil"/>
                    <w:tr2bl w:val="nil"/>
                  </w:tcBorders>
                  <w:vAlign w:val="center"/>
                </w:tcPr>
                <w:p w14:paraId="76F6957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0.02</w:t>
                  </w:r>
                </w:p>
              </w:tc>
              <w:tc>
                <w:tcPr>
                  <w:tcW w:w="1212" w:type="dxa"/>
                  <w:tcBorders>
                    <w:tl2br w:val="nil"/>
                    <w:tr2bl w:val="nil"/>
                  </w:tcBorders>
                  <w:vAlign w:val="center"/>
                </w:tcPr>
                <w:p w14:paraId="50D3320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0.07</w:t>
                  </w:r>
                </w:p>
              </w:tc>
            </w:tr>
            <w:tr w14:paraId="36C763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78" w:type="dxa"/>
                  <w:tcBorders>
                    <w:tl2br w:val="nil"/>
                    <w:tr2bl w:val="nil"/>
                  </w:tcBorders>
                  <w:vAlign w:val="center"/>
                </w:tcPr>
                <w:p w14:paraId="015417A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排放浓度（</w:t>
                  </w:r>
                  <w:r>
                    <w:rPr>
                      <w:rFonts w:hint="default" w:ascii="Times New Roman" w:hAnsi="Times New Roman" w:eastAsia="Times New Roman" w:cs="Times New Roman"/>
                      <w:color w:val="auto"/>
                      <w:sz w:val="21"/>
                      <w:szCs w:val="21"/>
                      <w:highlight w:val="none"/>
                    </w:rPr>
                    <w:t>mg</w:t>
                  </w:r>
                  <w:r>
                    <w:rPr>
                      <w:rFonts w:hint="default" w:ascii="Times New Roman" w:hAnsi="Times New Roman" w:eastAsia="Times New Roman" w:cs="Times New Roman"/>
                      <w:color w:val="auto"/>
                      <w:spacing w:val="7"/>
                      <w:sz w:val="21"/>
                      <w:szCs w:val="21"/>
                      <w:highlight w:val="none"/>
                    </w:rPr>
                    <w:t>/L</w:t>
                  </w:r>
                  <w:r>
                    <w:rPr>
                      <w:rFonts w:hint="default" w:ascii="Times New Roman" w:hAnsi="Times New Roman" w:eastAsia="宋体" w:cs="Times New Roman"/>
                      <w:color w:val="auto"/>
                      <w:spacing w:val="7"/>
                      <w:sz w:val="21"/>
                      <w:szCs w:val="21"/>
                      <w:highlight w:val="none"/>
                    </w:rPr>
                    <w:t>）</w:t>
                  </w:r>
                </w:p>
              </w:tc>
              <w:tc>
                <w:tcPr>
                  <w:tcW w:w="1042" w:type="dxa"/>
                  <w:tcBorders>
                    <w:tl2br w:val="nil"/>
                    <w:tr2bl w:val="nil"/>
                  </w:tcBorders>
                  <w:vAlign w:val="center"/>
                </w:tcPr>
                <w:p w14:paraId="7DB4DD4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w:t>
                  </w:r>
                </w:p>
              </w:tc>
              <w:tc>
                <w:tcPr>
                  <w:tcW w:w="1052" w:type="dxa"/>
                  <w:tcBorders>
                    <w:tl2br w:val="nil"/>
                    <w:tr2bl w:val="nil"/>
                  </w:tcBorders>
                  <w:vAlign w:val="center"/>
                </w:tcPr>
                <w:p w14:paraId="4D81CA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400</w:t>
                  </w:r>
                </w:p>
              </w:tc>
              <w:tc>
                <w:tcPr>
                  <w:tcW w:w="1052" w:type="dxa"/>
                  <w:tcBorders>
                    <w:tl2br w:val="nil"/>
                    <w:tr2bl w:val="nil"/>
                  </w:tcBorders>
                  <w:vAlign w:val="center"/>
                </w:tcPr>
                <w:p w14:paraId="472F554F">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200</w:t>
                  </w:r>
                </w:p>
              </w:tc>
              <w:tc>
                <w:tcPr>
                  <w:tcW w:w="1047" w:type="dxa"/>
                  <w:tcBorders>
                    <w:tl2br w:val="nil"/>
                    <w:tr2bl w:val="nil"/>
                  </w:tcBorders>
                  <w:vAlign w:val="center"/>
                </w:tcPr>
                <w:p w14:paraId="6E47E53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35</w:t>
                  </w:r>
                </w:p>
              </w:tc>
              <w:tc>
                <w:tcPr>
                  <w:tcW w:w="1212" w:type="dxa"/>
                  <w:tcBorders>
                    <w:tl2br w:val="nil"/>
                    <w:tr2bl w:val="nil"/>
                  </w:tcBorders>
                  <w:vAlign w:val="center"/>
                </w:tcPr>
                <w:p w14:paraId="4B350C1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200</w:t>
                  </w:r>
                </w:p>
              </w:tc>
            </w:tr>
            <w:tr w14:paraId="2D67CD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78" w:type="dxa"/>
                  <w:tcBorders>
                    <w:tl2br w:val="nil"/>
                    <w:tr2bl w:val="nil"/>
                  </w:tcBorders>
                  <w:vAlign w:val="center"/>
                </w:tcPr>
                <w:p w14:paraId="171CEDCA">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排放量（</w:t>
                  </w:r>
                  <w:r>
                    <w:rPr>
                      <w:rFonts w:hint="default" w:ascii="Times New Roman" w:hAnsi="Times New Roman" w:eastAsia="Times New Roman" w:cs="Times New Roman"/>
                      <w:color w:val="auto"/>
                      <w:spacing w:val="4"/>
                      <w:sz w:val="21"/>
                      <w:szCs w:val="21"/>
                      <w:highlight w:val="none"/>
                    </w:rPr>
                    <w:t>t/a</w:t>
                  </w:r>
                  <w:r>
                    <w:rPr>
                      <w:rFonts w:hint="default" w:ascii="Times New Roman" w:hAnsi="Times New Roman" w:eastAsia="宋体" w:cs="Times New Roman"/>
                      <w:color w:val="auto"/>
                      <w:spacing w:val="4"/>
                      <w:sz w:val="21"/>
                      <w:szCs w:val="21"/>
                      <w:highlight w:val="none"/>
                    </w:rPr>
                    <w:t>）</w:t>
                  </w:r>
                </w:p>
              </w:tc>
              <w:tc>
                <w:tcPr>
                  <w:tcW w:w="1042" w:type="dxa"/>
                  <w:tcBorders>
                    <w:tl2br w:val="nil"/>
                    <w:tr2bl w:val="nil"/>
                  </w:tcBorders>
                  <w:vAlign w:val="center"/>
                </w:tcPr>
                <w:p w14:paraId="0AC18025">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342</w:t>
                  </w:r>
                </w:p>
              </w:tc>
              <w:tc>
                <w:tcPr>
                  <w:tcW w:w="1052" w:type="dxa"/>
                  <w:tcBorders>
                    <w:tl2br w:val="nil"/>
                    <w:tr2bl w:val="nil"/>
                  </w:tcBorders>
                  <w:vAlign w:val="center"/>
                </w:tcPr>
                <w:p w14:paraId="06CFBF14">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0.15</w:t>
                  </w:r>
                </w:p>
              </w:tc>
              <w:tc>
                <w:tcPr>
                  <w:tcW w:w="1052" w:type="dxa"/>
                  <w:tcBorders>
                    <w:tl2br w:val="nil"/>
                    <w:tr2bl w:val="nil"/>
                  </w:tcBorders>
                  <w:vAlign w:val="center"/>
                </w:tcPr>
                <w:p w14:paraId="566F3F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0.07</w:t>
                  </w:r>
                </w:p>
              </w:tc>
              <w:tc>
                <w:tcPr>
                  <w:tcW w:w="1047" w:type="dxa"/>
                  <w:tcBorders>
                    <w:tl2br w:val="nil"/>
                    <w:tr2bl w:val="nil"/>
                  </w:tcBorders>
                  <w:vAlign w:val="center"/>
                </w:tcPr>
                <w:p w14:paraId="54F8288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0.02</w:t>
                  </w:r>
                </w:p>
              </w:tc>
              <w:tc>
                <w:tcPr>
                  <w:tcW w:w="1212" w:type="dxa"/>
                  <w:tcBorders>
                    <w:tl2br w:val="nil"/>
                    <w:tr2bl w:val="nil"/>
                  </w:tcBorders>
                  <w:vAlign w:val="center"/>
                </w:tcPr>
                <w:p w14:paraId="3375720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0.07</w:t>
                  </w:r>
                </w:p>
              </w:tc>
            </w:tr>
          </w:tbl>
          <w:p w14:paraId="181F788A">
            <w:pPr>
              <w:rPr>
                <w:rFonts w:hint="default" w:ascii="Times New Roman" w:hAnsi="Times New Roman" w:eastAsia="宋体" w:cs="Times New Roman"/>
                <w:b/>
                <w:bCs/>
                <w:color w:val="auto"/>
                <w:spacing w:val="5"/>
                <w:sz w:val="20"/>
                <w:szCs w:val="20"/>
                <w:highlight w:val="none"/>
              </w:rPr>
            </w:pPr>
          </w:p>
          <w:p w14:paraId="175FE578">
            <w:pPr>
              <w:spacing w:before="115" w:line="219" w:lineRule="auto"/>
              <w:ind w:left="105"/>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2.2</w:t>
            </w:r>
            <w:r>
              <w:rPr>
                <w:rFonts w:hint="default" w:ascii="Times New Roman" w:hAnsi="Times New Roman" w:eastAsia="宋体" w:cs="Times New Roman"/>
                <w:b/>
                <w:bCs/>
                <w:color w:val="auto"/>
                <w:spacing w:val="-2"/>
                <w:sz w:val="24"/>
                <w:szCs w:val="24"/>
                <w:highlight w:val="none"/>
              </w:rPr>
              <w:t>废水治理措施的可行性分析</w:t>
            </w:r>
          </w:p>
          <w:p w14:paraId="44C5E263">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本项目生活</w:t>
            </w:r>
            <w:r>
              <w:rPr>
                <w:rFonts w:hint="default" w:ascii="Times New Roman" w:hAnsi="Times New Roman" w:eastAsia="宋体" w:cs="Times New Roman"/>
                <w:color w:val="auto"/>
                <w:spacing w:val="-1"/>
                <w:sz w:val="24"/>
                <w:szCs w:val="24"/>
                <w:highlight w:val="none"/>
              </w:rPr>
              <w:t>污水达到《污水排入城市下</w:t>
            </w:r>
            <w:r>
              <w:rPr>
                <w:rFonts w:hint="default" w:ascii="Times New Roman" w:hAnsi="Times New Roman" w:eastAsia="宋体" w:cs="Times New Roman"/>
                <w:color w:val="auto"/>
                <w:sz w:val="24"/>
                <w:szCs w:val="24"/>
                <w:highlight w:val="none"/>
              </w:rPr>
              <w:t>水道水质标准》（</w:t>
            </w:r>
            <w:r>
              <w:rPr>
                <w:rFonts w:hint="default" w:ascii="Times New Roman" w:hAnsi="Times New Roman" w:eastAsia="Times New Roman" w:cs="Times New Roman"/>
                <w:color w:val="auto"/>
                <w:sz w:val="24"/>
                <w:szCs w:val="24"/>
                <w:highlight w:val="none"/>
              </w:rPr>
              <w:t>GB/T31962-2015</w:t>
            </w:r>
            <w:r>
              <w:rPr>
                <w:rFonts w:hint="default" w:ascii="Times New Roman" w:hAnsi="Times New Roman" w:eastAsia="宋体" w:cs="Times New Roman"/>
                <w:color w:val="auto"/>
                <w:sz w:val="24"/>
                <w:szCs w:val="24"/>
                <w:highlight w:val="none"/>
              </w:rPr>
              <w:t>）B级标准限值标准后，排入污水管网，最终进入</w:t>
            </w:r>
            <w:r>
              <w:rPr>
                <w:rFonts w:hint="default" w:ascii="Times New Roman" w:hAnsi="Times New Roman" w:eastAsia="宋体" w:cs="Times New Roman"/>
                <w:color w:val="auto"/>
                <w:sz w:val="24"/>
                <w:szCs w:val="24"/>
                <w:highlight w:val="none"/>
                <w:lang w:eastAsia="zh-CN"/>
              </w:rPr>
              <w:t>昌吉市第二污水处理厂</w:t>
            </w:r>
            <w:r>
              <w:rPr>
                <w:rFonts w:hint="default" w:ascii="Times New Roman" w:hAnsi="Times New Roman" w:eastAsia="宋体" w:cs="Times New Roman"/>
                <w:color w:val="auto"/>
                <w:sz w:val="24"/>
                <w:szCs w:val="24"/>
                <w:highlight w:val="none"/>
              </w:rPr>
              <w:t>处理。</w:t>
            </w:r>
          </w:p>
          <w:p w14:paraId="5515C99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昌吉市第二污水处理厂处理规模为10万立方米/日，实际处理量为8.6万立方米/日，尚有余量，可满足本项目2.728m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/d的污水量。</w:t>
            </w:r>
            <w:r>
              <w:rPr>
                <w:rFonts w:hint="default" w:ascii="Times New Roman" w:hAnsi="Times New Roman" w:eastAsia="宋体" w:cs="Times New Roman"/>
                <w:color w:val="auto"/>
                <w:sz w:val="24"/>
                <w:szCs w:val="24"/>
                <w:highlight w:val="none"/>
              </w:rPr>
              <w:t>2017年6月30日。于2018年8月通过项目竣工环境保护验收，预处理工艺为“粗细格栅+曝气沉砂池+初沉池+膜格栅”，污水处理工艺为“水解酸化+A</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color w:val="auto"/>
                <w:sz w:val="24"/>
                <w:szCs w:val="24"/>
                <w:highlight w:val="none"/>
              </w:rPr>
              <w:t>/O+MBR”，经处理后，出水水质达到《城镇污水处理厂污染物排放标准》（GB18918-2002）一级A后排放回用，一级A后排放回用。回用于城市绿化、冲厕、道路清扫、消防的污水必须满足《城市污水再生利用城市杂用水水质》（GB/T18920-2002），回用于工业生产的污水必须满足《城市污水再生利用工业用水水质》（CB/T19923-2005）。无法利用的污水达到城镇污水处理厂污染物排放标准》（GB18918-2002）一级A标准后排放至荒漠戈壁。本项目生活污水排放量为1.84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/d，生活污水水质简单。因此本项目进入</w:t>
            </w:r>
            <w:r>
              <w:rPr>
                <w:rFonts w:hint="default" w:ascii="Times New Roman" w:hAnsi="Times New Roman" w:eastAsia="宋体" w:cs="Times New Roman"/>
                <w:color w:val="auto"/>
                <w:sz w:val="24"/>
                <w:szCs w:val="24"/>
                <w:highlight w:val="none"/>
                <w:lang w:eastAsia="zh-CN"/>
              </w:rPr>
              <w:t>昌吉市第二污水处理厂</w:t>
            </w:r>
            <w:r>
              <w:rPr>
                <w:rFonts w:hint="default" w:ascii="Times New Roman" w:hAnsi="Times New Roman" w:eastAsia="宋体" w:cs="Times New Roman"/>
                <w:color w:val="auto"/>
                <w:sz w:val="24"/>
                <w:szCs w:val="24"/>
                <w:highlight w:val="none"/>
              </w:rPr>
              <w:t>是可行的。</w:t>
            </w:r>
          </w:p>
          <w:p w14:paraId="36C913E9">
            <w:pPr>
              <w:adjustRightInd w:val="0"/>
              <w:snapToGrid w:val="0"/>
              <w:spacing w:line="360" w:lineRule="auto"/>
              <w:rPr>
                <w:rFonts w:hint="default" w:ascii="Times New Roman" w:hAnsi="Times New Roman" w:eastAsia="宋体" w:cs="Times New Roman"/>
                <w:b/>
                <w:bCs/>
                <w:color w:val="auto"/>
                <w:sz w:val="24"/>
                <w:szCs w:val="24"/>
                <w:highlight w:val="none"/>
              </w:rPr>
            </w:pPr>
            <w:r>
              <w:rPr>
                <w:rFonts w:hint="default" w:ascii="Times New Roman" w:hAnsi="Times New Roman"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声环境影响分析与评价</w:t>
            </w:r>
          </w:p>
          <w:p w14:paraId="05D8B6AC">
            <w:pPr>
              <w:keepNext w:val="0"/>
              <w:keepLines w:val="0"/>
              <w:pageBreakBefore w:val="0"/>
              <w:widowControl w:val="0"/>
              <w:kinsoku/>
              <w:wordWrap/>
              <w:overflowPunct/>
              <w:topLinePunct w:val="0"/>
              <w:autoSpaceDE/>
              <w:autoSpaceDN/>
              <w:bidi w:val="0"/>
              <w:adjustRightInd/>
              <w:snapToGrid/>
              <w:spacing w:beforeAutospacing="0" w:after="0" w:line="240" w:lineRule="auto"/>
              <w:ind w:left="0" w:leftChars="0" w:right="0" w:rightChars="0"/>
              <w:jc w:val="center"/>
              <w:textAlignment w:val="auto"/>
              <w:rPr>
                <w:rFonts w:hint="default" w:ascii="Times New Roman" w:hAnsi="Times New Roman" w:eastAsia="黑体" w:cs="Times New Roman"/>
                <w:b w:val="0"/>
                <w:bCs/>
                <w:snapToGrid w:val="0"/>
                <w:color w:val="auto"/>
                <w:sz w:val="21"/>
                <w:szCs w:val="21"/>
                <w:highlight w:val="none"/>
              </w:rPr>
            </w:pPr>
            <w:r>
              <w:rPr>
                <w:rFonts w:hint="default" w:ascii="Times New Roman" w:hAnsi="Times New Roman" w:eastAsia="黑体" w:cs="Times New Roman"/>
                <w:b w:val="0"/>
                <w:bCs/>
                <w:snapToGrid w:val="0"/>
                <w:color w:val="auto"/>
                <w:sz w:val="21"/>
                <w:szCs w:val="21"/>
                <w:highlight w:val="none"/>
              </w:rPr>
              <w:t>表</w:t>
            </w:r>
            <w:r>
              <w:rPr>
                <w:rFonts w:hint="default" w:ascii="Times New Roman" w:hAnsi="Times New Roman" w:eastAsia="黑体" w:cs="Times New Roman"/>
                <w:b w:val="0"/>
                <w:bCs/>
                <w:snapToGrid w:val="0"/>
                <w:color w:val="auto"/>
                <w:sz w:val="21"/>
                <w:szCs w:val="21"/>
                <w:highlight w:val="none"/>
                <w:lang w:val="en-US" w:eastAsia="zh-CN"/>
              </w:rPr>
              <w:t>4-6</w:t>
            </w:r>
            <w:r>
              <w:rPr>
                <w:rFonts w:hint="default" w:ascii="Times New Roman" w:hAnsi="Times New Roman" w:eastAsia="黑体" w:cs="Times New Roman"/>
                <w:b w:val="0"/>
                <w:bCs/>
                <w:snapToGrid w:val="0"/>
                <w:color w:val="auto"/>
                <w:sz w:val="21"/>
                <w:szCs w:val="21"/>
                <w:highlight w:val="none"/>
              </w:rPr>
              <w:t>主要设备噪声一览表</w:t>
            </w:r>
          </w:p>
          <w:tbl>
            <w:tblPr>
              <w:tblStyle w:val="24"/>
              <w:tblW w:w="495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036"/>
              <w:gridCol w:w="959"/>
              <w:gridCol w:w="865"/>
              <w:gridCol w:w="797"/>
              <w:gridCol w:w="2189"/>
              <w:gridCol w:w="901"/>
            </w:tblGrid>
            <w:tr w14:paraId="0CB88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31" w:type="pct"/>
                  <w:tcBorders>
                    <w:tl2br w:val="nil"/>
                    <w:tr2bl w:val="nil"/>
                  </w:tcBorders>
                  <w:noWrap w:val="0"/>
                  <w:vAlign w:val="center"/>
                </w:tcPr>
                <w:p w14:paraId="47EA6F63">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序号</w:t>
                  </w:r>
                </w:p>
              </w:tc>
              <w:tc>
                <w:tcPr>
                  <w:tcW w:w="701" w:type="pct"/>
                  <w:tcBorders>
                    <w:tl2br w:val="nil"/>
                    <w:tr2bl w:val="nil"/>
                  </w:tcBorders>
                  <w:noWrap w:val="0"/>
                  <w:vAlign w:val="center"/>
                </w:tcPr>
                <w:p w14:paraId="0BC202AC">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名称</w:t>
                  </w:r>
                </w:p>
              </w:tc>
              <w:tc>
                <w:tcPr>
                  <w:tcW w:w="649" w:type="pct"/>
                  <w:tcBorders>
                    <w:tl2br w:val="nil"/>
                    <w:tr2bl w:val="nil"/>
                  </w:tcBorders>
                  <w:noWrap w:val="0"/>
                  <w:vAlign w:val="center"/>
                </w:tcPr>
                <w:p w14:paraId="5B92B983">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数量</w:t>
                  </w:r>
                </w:p>
              </w:tc>
              <w:tc>
                <w:tcPr>
                  <w:tcW w:w="585" w:type="pct"/>
                  <w:tcBorders>
                    <w:tl2br w:val="nil"/>
                    <w:tr2bl w:val="nil"/>
                  </w:tcBorders>
                  <w:noWrap w:val="0"/>
                  <w:vAlign w:val="center"/>
                </w:tcPr>
                <w:p w14:paraId="5AD11BC5">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d</w:t>
                  </w:r>
                  <w:r>
                    <w:rPr>
                      <w:rFonts w:hint="default" w:ascii="Times New Roman" w:hAnsi="Times New Roman" w:cs="Times New Roman"/>
                      <w:color w:val="auto"/>
                      <w:sz w:val="21"/>
                      <w:szCs w:val="21"/>
                      <w:highlight w:val="none"/>
                    </w:rPr>
                    <w:t>B（A）</w:t>
                  </w:r>
                </w:p>
              </w:tc>
              <w:tc>
                <w:tcPr>
                  <w:tcW w:w="539" w:type="pct"/>
                  <w:tcBorders>
                    <w:tl2br w:val="nil"/>
                    <w:tr2bl w:val="nil"/>
                  </w:tcBorders>
                  <w:noWrap w:val="0"/>
                  <w:vAlign w:val="center"/>
                </w:tcPr>
                <w:p w14:paraId="413F8E98">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降噪效果</w:t>
                  </w:r>
                </w:p>
              </w:tc>
              <w:tc>
                <w:tcPr>
                  <w:tcW w:w="1481" w:type="pct"/>
                  <w:tcBorders>
                    <w:tl2br w:val="nil"/>
                    <w:tr2bl w:val="nil"/>
                  </w:tcBorders>
                  <w:noWrap w:val="0"/>
                  <w:vAlign w:val="center"/>
                </w:tcPr>
                <w:p w14:paraId="1B87613E">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治理措施</w:t>
                  </w:r>
                </w:p>
              </w:tc>
              <w:tc>
                <w:tcPr>
                  <w:tcW w:w="610" w:type="pct"/>
                  <w:tcBorders>
                    <w:tl2br w:val="nil"/>
                    <w:tr2bl w:val="nil"/>
                  </w:tcBorders>
                  <w:noWrap w:val="0"/>
                  <w:vAlign w:val="center"/>
                </w:tcPr>
                <w:p w14:paraId="48F51934">
                  <w:pPr>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rPr>
                    <w:t>降噪后噪声值</w:t>
                  </w:r>
                </w:p>
              </w:tc>
            </w:tr>
            <w:tr w14:paraId="3FFC7F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31" w:type="pct"/>
                  <w:tcBorders>
                    <w:tl2br w:val="nil"/>
                    <w:tr2bl w:val="nil"/>
                  </w:tcBorders>
                  <w:noWrap w:val="0"/>
                  <w:vAlign w:val="center"/>
                </w:tcPr>
                <w:p w14:paraId="3EAD8E73">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701" w:type="pct"/>
                  <w:tcBorders>
                    <w:tl2br w:val="nil"/>
                    <w:tr2bl w:val="nil"/>
                  </w:tcBorders>
                  <w:noWrap w:val="0"/>
                  <w:vAlign w:val="center"/>
                </w:tcPr>
                <w:p w14:paraId="27A01924">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上料机</w:t>
                  </w:r>
                </w:p>
              </w:tc>
              <w:tc>
                <w:tcPr>
                  <w:tcW w:w="649" w:type="pct"/>
                  <w:tcBorders>
                    <w:tl2br w:val="nil"/>
                    <w:tr2bl w:val="nil"/>
                  </w:tcBorders>
                  <w:noWrap w:val="0"/>
                  <w:vAlign w:val="center"/>
                </w:tcPr>
                <w:p w14:paraId="2D21586B">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台</w:t>
                  </w:r>
                </w:p>
              </w:tc>
              <w:tc>
                <w:tcPr>
                  <w:tcW w:w="585" w:type="pct"/>
                  <w:tcBorders>
                    <w:tl2br w:val="nil"/>
                    <w:tr2bl w:val="nil"/>
                  </w:tcBorders>
                  <w:noWrap w:val="0"/>
                  <w:vAlign w:val="center"/>
                </w:tcPr>
                <w:p w14:paraId="060D8C07">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539" w:type="pct"/>
                  <w:tcBorders>
                    <w:tl2br w:val="nil"/>
                    <w:tr2bl w:val="nil"/>
                  </w:tcBorders>
                  <w:noWrap w:val="0"/>
                  <w:vAlign w:val="center"/>
                </w:tcPr>
                <w:p w14:paraId="40FBFA0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25</w:t>
                  </w:r>
                </w:p>
              </w:tc>
              <w:tc>
                <w:tcPr>
                  <w:tcW w:w="1481" w:type="pct"/>
                  <w:tcBorders>
                    <w:tl2br w:val="nil"/>
                    <w:tr2bl w:val="nil"/>
                  </w:tcBorders>
                  <w:noWrap w:val="0"/>
                  <w:vAlign w:val="center"/>
                </w:tcPr>
                <w:p w14:paraId="664039E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基础减震，厂房隔声</w:t>
                  </w:r>
                </w:p>
              </w:tc>
              <w:tc>
                <w:tcPr>
                  <w:tcW w:w="610" w:type="pct"/>
                  <w:tcBorders>
                    <w:tl2br w:val="nil"/>
                    <w:tr2bl w:val="nil"/>
                  </w:tcBorders>
                  <w:noWrap w:val="0"/>
                  <w:vAlign w:val="center"/>
                </w:tcPr>
                <w:p w14:paraId="306BC984">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r>
            <w:tr w14:paraId="56948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31" w:type="pct"/>
                  <w:tcBorders>
                    <w:tl2br w:val="nil"/>
                    <w:tr2bl w:val="nil"/>
                  </w:tcBorders>
                  <w:noWrap w:val="0"/>
                  <w:vAlign w:val="center"/>
                </w:tcPr>
                <w:p w14:paraId="31844C85">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701" w:type="pct"/>
                  <w:tcBorders>
                    <w:tl2br w:val="nil"/>
                    <w:tr2bl w:val="nil"/>
                  </w:tcBorders>
                  <w:noWrap w:val="0"/>
                  <w:vAlign w:val="center"/>
                </w:tcPr>
                <w:p w14:paraId="45614C6D">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挤出机</w:t>
                  </w:r>
                </w:p>
              </w:tc>
              <w:tc>
                <w:tcPr>
                  <w:tcW w:w="649" w:type="pct"/>
                  <w:tcBorders>
                    <w:tl2br w:val="nil"/>
                    <w:tr2bl w:val="nil"/>
                  </w:tcBorders>
                  <w:noWrap w:val="0"/>
                  <w:vAlign w:val="center"/>
                </w:tcPr>
                <w:p w14:paraId="022BE253">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台</w:t>
                  </w:r>
                </w:p>
              </w:tc>
              <w:tc>
                <w:tcPr>
                  <w:tcW w:w="585" w:type="pct"/>
                  <w:tcBorders>
                    <w:tl2br w:val="nil"/>
                    <w:tr2bl w:val="nil"/>
                  </w:tcBorders>
                  <w:noWrap w:val="0"/>
                  <w:vAlign w:val="center"/>
                </w:tcPr>
                <w:p w14:paraId="18A772E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539" w:type="pct"/>
                  <w:tcBorders>
                    <w:tl2br w:val="nil"/>
                    <w:tr2bl w:val="nil"/>
                  </w:tcBorders>
                  <w:noWrap w:val="0"/>
                  <w:vAlign w:val="center"/>
                </w:tcPr>
                <w:p w14:paraId="0B450B2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25</w:t>
                  </w:r>
                </w:p>
              </w:tc>
              <w:tc>
                <w:tcPr>
                  <w:tcW w:w="1481" w:type="pct"/>
                  <w:tcBorders>
                    <w:tl2br w:val="nil"/>
                    <w:tr2bl w:val="nil"/>
                  </w:tcBorders>
                  <w:noWrap w:val="0"/>
                  <w:vAlign w:val="center"/>
                </w:tcPr>
                <w:p w14:paraId="09DB007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基础减震，厂房隔声</w:t>
                  </w:r>
                </w:p>
              </w:tc>
              <w:tc>
                <w:tcPr>
                  <w:tcW w:w="610" w:type="pct"/>
                  <w:tcBorders>
                    <w:tl2br w:val="nil"/>
                    <w:tr2bl w:val="nil"/>
                  </w:tcBorders>
                  <w:noWrap w:val="0"/>
                  <w:vAlign w:val="center"/>
                </w:tcPr>
                <w:p w14:paraId="49A205B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r>
            <w:tr w14:paraId="706AF5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31" w:type="pct"/>
                  <w:tcBorders>
                    <w:tl2br w:val="nil"/>
                    <w:tr2bl w:val="nil"/>
                  </w:tcBorders>
                  <w:noWrap w:val="0"/>
                  <w:vAlign w:val="center"/>
                </w:tcPr>
                <w:p w14:paraId="7C15ED7B">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3</w:t>
                  </w:r>
                </w:p>
              </w:tc>
              <w:tc>
                <w:tcPr>
                  <w:tcW w:w="701" w:type="pct"/>
                  <w:tcBorders>
                    <w:tl2br w:val="nil"/>
                    <w:tr2bl w:val="nil"/>
                  </w:tcBorders>
                  <w:noWrap w:val="0"/>
                  <w:vAlign w:val="center"/>
                </w:tcPr>
                <w:p w14:paraId="6F8BFE2B">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牵引机</w:t>
                  </w:r>
                </w:p>
              </w:tc>
              <w:tc>
                <w:tcPr>
                  <w:tcW w:w="649" w:type="pct"/>
                  <w:tcBorders>
                    <w:tl2br w:val="nil"/>
                    <w:tr2bl w:val="nil"/>
                  </w:tcBorders>
                  <w:noWrap w:val="0"/>
                  <w:vAlign w:val="center"/>
                </w:tcPr>
                <w:p w14:paraId="5480E1A6">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台</w:t>
                  </w:r>
                </w:p>
              </w:tc>
              <w:tc>
                <w:tcPr>
                  <w:tcW w:w="585" w:type="pct"/>
                  <w:tcBorders>
                    <w:tl2br w:val="nil"/>
                    <w:tr2bl w:val="nil"/>
                  </w:tcBorders>
                  <w:noWrap w:val="0"/>
                  <w:vAlign w:val="center"/>
                </w:tcPr>
                <w:p w14:paraId="60AAA86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539" w:type="pct"/>
                  <w:tcBorders>
                    <w:tl2br w:val="nil"/>
                    <w:tr2bl w:val="nil"/>
                  </w:tcBorders>
                  <w:noWrap w:val="0"/>
                  <w:vAlign w:val="center"/>
                </w:tcPr>
                <w:p w14:paraId="77D7CE4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25</w:t>
                  </w:r>
                </w:p>
              </w:tc>
              <w:tc>
                <w:tcPr>
                  <w:tcW w:w="1481" w:type="pct"/>
                  <w:tcBorders>
                    <w:tl2br w:val="nil"/>
                    <w:tr2bl w:val="nil"/>
                  </w:tcBorders>
                  <w:noWrap w:val="0"/>
                  <w:vAlign w:val="center"/>
                </w:tcPr>
                <w:p w14:paraId="5C4F7B1C">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基础减震，厂房隔声</w:t>
                  </w:r>
                </w:p>
              </w:tc>
              <w:tc>
                <w:tcPr>
                  <w:tcW w:w="610" w:type="pct"/>
                  <w:tcBorders>
                    <w:tl2br w:val="nil"/>
                    <w:tr2bl w:val="nil"/>
                  </w:tcBorders>
                  <w:noWrap w:val="0"/>
                  <w:vAlign w:val="center"/>
                </w:tcPr>
                <w:p w14:paraId="5B284285">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r>
            <w:tr w14:paraId="43A3E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31" w:type="pct"/>
                  <w:tcBorders>
                    <w:tl2br w:val="nil"/>
                    <w:tr2bl w:val="nil"/>
                  </w:tcBorders>
                  <w:noWrap w:val="0"/>
                  <w:vAlign w:val="center"/>
                </w:tcPr>
                <w:p w14:paraId="29C95B3F">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701" w:type="pct"/>
                  <w:tcBorders>
                    <w:tl2br w:val="nil"/>
                    <w:tr2bl w:val="nil"/>
                  </w:tcBorders>
                  <w:noWrap w:val="0"/>
                  <w:vAlign w:val="center"/>
                </w:tcPr>
                <w:p w14:paraId="3F31CBE2">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切割机</w:t>
                  </w:r>
                </w:p>
              </w:tc>
              <w:tc>
                <w:tcPr>
                  <w:tcW w:w="649" w:type="pct"/>
                  <w:tcBorders>
                    <w:tl2br w:val="nil"/>
                    <w:tr2bl w:val="nil"/>
                  </w:tcBorders>
                  <w:noWrap w:val="0"/>
                  <w:vAlign w:val="center"/>
                </w:tcPr>
                <w:p w14:paraId="616AB749">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套</w:t>
                  </w:r>
                </w:p>
              </w:tc>
              <w:tc>
                <w:tcPr>
                  <w:tcW w:w="585" w:type="pct"/>
                  <w:tcBorders>
                    <w:tl2br w:val="nil"/>
                    <w:tr2bl w:val="nil"/>
                  </w:tcBorders>
                  <w:noWrap w:val="0"/>
                  <w:vAlign w:val="center"/>
                </w:tcPr>
                <w:p w14:paraId="211314D3">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90</w:t>
                  </w:r>
                </w:p>
              </w:tc>
              <w:tc>
                <w:tcPr>
                  <w:tcW w:w="539" w:type="pct"/>
                  <w:tcBorders>
                    <w:tl2br w:val="nil"/>
                    <w:tr2bl w:val="nil"/>
                  </w:tcBorders>
                  <w:noWrap w:val="0"/>
                  <w:vAlign w:val="center"/>
                </w:tcPr>
                <w:p w14:paraId="19DC323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25</w:t>
                  </w:r>
                </w:p>
              </w:tc>
              <w:tc>
                <w:tcPr>
                  <w:tcW w:w="1481" w:type="pct"/>
                  <w:tcBorders>
                    <w:tl2br w:val="nil"/>
                    <w:tr2bl w:val="nil"/>
                  </w:tcBorders>
                  <w:noWrap w:val="0"/>
                  <w:vAlign w:val="center"/>
                </w:tcPr>
                <w:p w14:paraId="6679B16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基础减震，厂房隔声</w:t>
                  </w:r>
                </w:p>
              </w:tc>
              <w:tc>
                <w:tcPr>
                  <w:tcW w:w="610" w:type="pct"/>
                  <w:tcBorders>
                    <w:tl2br w:val="nil"/>
                    <w:tr2bl w:val="nil"/>
                  </w:tcBorders>
                  <w:noWrap w:val="0"/>
                  <w:vAlign w:val="center"/>
                </w:tcPr>
                <w:p w14:paraId="3D76024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r>
            <w:tr w14:paraId="38C0C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 w:hRule="atLeast"/>
                <w:jc w:val="center"/>
              </w:trPr>
              <w:tc>
                <w:tcPr>
                  <w:tcW w:w="431" w:type="pct"/>
                  <w:tcBorders>
                    <w:tl2br w:val="nil"/>
                    <w:tr2bl w:val="nil"/>
                  </w:tcBorders>
                  <w:noWrap w:val="0"/>
                  <w:vAlign w:val="center"/>
                </w:tcPr>
                <w:p w14:paraId="45AF3106">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701" w:type="pct"/>
                  <w:tcBorders>
                    <w:tl2br w:val="nil"/>
                    <w:tr2bl w:val="nil"/>
                  </w:tcBorders>
                  <w:noWrap w:val="0"/>
                  <w:vAlign w:val="center"/>
                </w:tcPr>
                <w:p w14:paraId="44A742C4">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破碎机</w:t>
                  </w:r>
                </w:p>
              </w:tc>
              <w:tc>
                <w:tcPr>
                  <w:tcW w:w="649" w:type="pct"/>
                  <w:tcBorders>
                    <w:tl2br w:val="nil"/>
                    <w:tr2bl w:val="nil"/>
                  </w:tcBorders>
                  <w:noWrap w:val="0"/>
                  <w:vAlign w:val="center"/>
                </w:tcPr>
                <w:p w14:paraId="111C17E1">
                  <w:pPr>
                    <w:pStyle w:val="53"/>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1台</w:t>
                  </w:r>
                </w:p>
              </w:tc>
              <w:tc>
                <w:tcPr>
                  <w:tcW w:w="585" w:type="pct"/>
                  <w:tcBorders>
                    <w:tl2br w:val="nil"/>
                    <w:tr2bl w:val="nil"/>
                  </w:tcBorders>
                  <w:noWrap w:val="0"/>
                  <w:vAlign w:val="center"/>
                </w:tcPr>
                <w:p w14:paraId="7F7DC0A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95</w:t>
                  </w:r>
                </w:p>
              </w:tc>
              <w:tc>
                <w:tcPr>
                  <w:tcW w:w="539" w:type="pct"/>
                  <w:tcBorders>
                    <w:tl2br w:val="nil"/>
                    <w:tr2bl w:val="nil"/>
                  </w:tcBorders>
                  <w:noWrap w:val="0"/>
                  <w:vAlign w:val="center"/>
                </w:tcPr>
                <w:p w14:paraId="0D70ABB5">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25</w:t>
                  </w:r>
                </w:p>
              </w:tc>
              <w:tc>
                <w:tcPr>
                  <w:tcW w:w="1481" w:type="pct"/>
                  <w:tcBorders>
                    <w:tl2br w:val="nil"/>
                    <w:tr2bl w:val="nil"/>
                  </w:tcBorders>
                  <w:noWrap w:val="0"/>
                  <w:vAlign w:val="center"/>
                </w:tcPr>
                <w:p w14:paraId="27AF0579">
                  <w:pPr>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基础减震，厂房隔声</w:t>
                  </w:r>
                </w:p>
              </w:tc>
              <w:tc>
                <w:tcPr>
                  <w:tcW w:w="610" w:type="pct"/>
                  <w:tcBorders>
                    <w:tl2br w:val="nil"/>
                    <w:tr2bl w:val="nil"/>
                  </w:tcBorders>
                  <w:noWrap w:val="0"/>
                  <w:vAlign w:val="center"/>
                </w:tcPr>
                <w:p w14:paraId="4392897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70</w:t>
                  </w:r>
                </w:p>
              </w:tc>
            </w:tr>
          </w:tbl>
          <w:p w14:paraId="68D1B73E">
            <w:pPr>
              <w:keepNext w:val="0"/>
              <w:keepLines w:val="0"/>
              <w:pageBreakBefore w:val="0"/>
              <w:widowControl w:val="0"/>
              <w:kinsoku/>
              <w:wordWrap/>
              <w:overflowPunct/>
              <w:topLinePunct w:val="0"/>
              <w:autoSpaceDE/>
              <w:autoSpaceDN/>
              <w:bidi w:val="0"/>
              <w:adjustRightInd w:val="0"/>
              <w:snapToGrid/>
              <w:spacing w:after="0" w:line="360" w:lineRule="auto"/>
              <w:textAlignment w:val="auto"/>
              <w:rPr>
                <w:rFonts w:hint="default" w:ascii="Times New Roman" w:hAnsi="Times New Roman" w:cs="Times New Roman"/>
                <w:color w:val="auto"/>
                <w:sz w:val="24"/>
                <w:szCs w:val="24"/>
                <w:highlight w:val="none"/>
              </w:rPr>
            </w:pPr>
            <w:r>
              <w:rPr>
                <w:rFonts w:hint="default" w:ascii="Times New Roman" w:hAnsi="Times New Roman" w:cs="Times New Roman"/>
                <w:b/>
                <w:bCs/>
                <w:color w:val="auto"/>
                <w:sz w:val="24"/>
                <w:szCs w:val="24"/>
                <w:highlight w:val="none"/>
              </w:rPr>
              <w:t>3.</w:t>
            </w:r>
            <w:r>
              <w:rPr>
                <w:rFonts w:hint="default" w:ascii="Times New Roman" w:hAnsi="Times New Roman" w:cs="Times New Roman"/>
                <w:b/>
                <w:bCs/>
                <w:color w:val="auto"/>
                <w:sz w:val="24"/>
                <w:szCs w:val="24"/>
                <w:highlight w:val="none"/>
                <w:lang w:val="en-US" w:eastAsia="zh-CN"/>
              </w:rPr>
              <w:t>1</w:t>
            </w:r>
            <w:r>
              <w:rPr>
                <w:rFonts w:hint="default" w:ascii="Times New Roman" w:hAnsi="Times New Roman" w:cs="Times New Roman"/>
                <w:b/>
                <w:bCs/>
                <w:color w:val="auto"/>
                <w:sz w:val="24"/>
                <w:szCs w:val="24"/>
                <w:highlight w:val="none"/>
              </w:rPr>
              <w:t>预测模式</w:t>
            </w:r>
          </w:p>
          <w:p w14:paraId="469C6840">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（1）计算某个室内靠近围护结构处的倍频带声压级：</w:t>
            </w:r>
          </w:p>
          <w:p w14:paraId="013371BA">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bookmarkStart w:id="3" w:name="_Toc91387362"/>
            <w:r>
              <w:rPr>
                <w:rFonts w:hint="default" w:ascii="Times New Roman" w:hAnsi="Times New Roman" w:cs="Times New Roman"/>
                <w:color w:val="auto"/>
                <w:sz w:val="24"/>
                <w:szCs w:val="24"/>
                <w:highlight w:val="none"/>
              </w:rPr>
              <w:object>
                <v:shape id="_x0000_i1025" o:spt="75" type="#_x0000_t75" style="height:22.8pt;width:189.9pt;" o:ole="t" fillcolor="#6D6D6D" filled="f" o:preferrelative="t" stroked="f" coordsize="21600,21600">
                  <v:path/>
                  <v:fill on="f" focussize="0,0"/>
                  <v:stroke on="f"/>
                  <v:imagedata r:id="rId18" o:title=""/>
                  <o:lock v:ext="edit" grouping="f" rotation="f" text="f" aspectratio="t"/>
                  <w10:wrap type="none"/>
                  <w10:anchorlock/>
                </v:shape>
                <o:OLEObject Type="Embed" ProgID="Equation.3" ShapeID="_x0000_i1025" DrawAspect="Content" ObjectID="_1468075725" r:id="rId17">
                  <o:LockedField>false</o:LockedField>
                </o:OLEObject>
              </w:object>
            </w:r>
            <w:bookmarkEnd w:id="3"/>
          </w:p>
          <w:p w14:paraId="46BF05F7">
            <w:pPr>
              <w:keepNext w:val="0"/>
              <w:keepLines w:val="0"/>
              <w:pageBreakBefore w:val="0"/>
              <w:widowControl w:val="0"/>
              <w:kinsoku/>
              <w:wordWrap/>
              <w:overflowPunct/>
              <w:topLinePunct w:val="0"/>
              <w:autoSpaceDE/>
              <w:autoSpaceDN/>
              <w:bidi w:val="0"/>
              <w:adjustRightInd w:val="0"/>
              <w:snapToGrid/>
              <w:spacing w:after="0" w:line="360" w:lineRule="auto"/>
              <w:ind w:firstLine="840" w:firstLineChars="350"/>
              <w:textAlignment w:val="auto"/>
              <w:rPr>
                <w:rFonts w:hint="default" w:ascii="Times New Roman" w:hAnsi="Times New Roman" w:cs="Times New Roman"/>
                <w:color w:val="auto"/>
                <w:sz w:val="24"/>
                <w:szCs w:val="24"/>
                <w:highlight w:val="none"/>
              </w:rPr>
            </w:pPr>
            <w:bookmarkStart w:id="4" w:name="_Toc91387363"/>
            <w:r>
              <w:rPr>
                <w:rFonts w:hint="default" w:ascii="Times New Roman" w:hAnsi="Times New Roman" w:cs="Times New Roman"/>
                <w:color w:val="auto"/>
                <w:sz w:val="24"/>
                <w:szCs w:val="24"/>
                <w:highlight w:val="none"/>
              </w:rPr>
              <w:t>式中：</w:t>
            </w:r>
            <w:bookmarkEnd w:id="4"/>
            <w:r>
              <w:rPr>
                <w:rFonts w:hint="default" w:ascii="Times New Roman" w:hAnsi="Times New Roman" w:cs="Times New Roman"/>
                <w:color w:val="auto"/>
                <w:sz w:val="24"/>
                <w:szCs w:val="24"/>
                <w:highlight w:val="none"/>
              </w:rPr>
              <w:t>L</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——某个室内声源在靠近围护结构处产生的倍频带声压级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w:t>
            </w:r>
          </w:p>
          <w:p w14:paraId="681DDFE3">
            <w:pPr>
              <w:keepNext w:val="0"/>
              <w:keepLines w:val="0"/>
              <w:pageBreakBefore w:val="0"/>
              <w:widowControl w:val="0"/>
              <w:kinsoku/>
              <w:wordWrap/>
              <w:overflowPunct/>
              <w:topLinePunct w:val="0"/>
              <w:autoSpaceDE/>
              <w:autoSpaceDN/>
              <w:bidi w:val="0"/>
              <w:adjustRightInd w:val="0"/>
              <w:snapToGrid/>
              <w:spacing w:after="0" w:line="360" w:lineRule="auto"/>
              <w:ind w:firstLine="1560" w:firstLineChars="6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w:t>
            </w:r>
            <w:r>
              <w:rPr>
                <w:rFonts w:hint="default" w:ascii="Times New Roman" w:hAnsi="Times New Roman" w:cs="Times New Roman"/>
                <w:color w:val="auto"/>
                <w:sz w:val="24"/>
                <w:szCs w:val="24"/>
                <w:highlight w:val="none"/>
                <w:vertAlign w:val="subscript"/>
              </w:rPr>
              <w:t>w1</w:t>
            </w:r>
            <w:r>
              <w:rPr>
                <w:rFonts w:hint="default" w:ascii="Times New Roman" w:hAnsi="Times New Roman" w:cs="Times New Roman"/>
                <w:color w:val="auto"/>
                <w:sz w:val="24"/>
                <w:szCs w:val="24"/>
                <w:highlight w:val="none"/>
              </w:rPr>
              <w:t>——某个声源的倍频带声功率级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w:t>
            </w:r>
          </w:p>
          <w:p w14:paraId="1C654554">
            <w:pPr>
              <w:keepNext w:val="0"/>
              <w:keepLines w:val="0"/>
              <w:pageBreakBefore w:val="0"/>
              <w:widowControl w:val="0"/>
              <w:kinsoku/>
              <w:wordWrap/>
              <w:overflowPunct/>
              <w:topLinePunct w:val="0"/>
              <w:autoSpaceDE/>
              <w:autoSpaceDN/>
              <w:bidi w:val="0"/>
              <w:adjustRightInd w:val="0"/>
              <w:snapToGrid/>
              <w:spacing w:after="0" w:line="360" w:lineRule="auto"/>
              <w:ind w:firstLine="1560" w:firstLineChars="6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w:t>
            </w:r>
            <w:r>
              <w:rPr>
                <w:rFonts w:hint="default" w:ascii="Times New Roman" w:hAnsi="Times New Roman" w:cs="Times New Roman"/>
                <w:color w:val="auto"/>
                <w:sz w:val="24"/>
                <w:szCs w:val="24"/>
                <w:highlight w:val="none"/>
                <w:vertAlign w:val="subscript"/>
              </w:rPr>
              <w:t>1</w:t>
            </w:r>
            <w:r>
              <w:rPr>
                <w:rFonts w:hint="default" w:ascii="Times New Roman" w:hAnsi="Times New Roman" w:cs="Times New Roman"/>
                <w:color w:val="auto"/>
                <w:sz w:val="24"/>
                <w:szCs w:val="24"/>
                <w:highlight w:val="none"/>
              </w:rPr>
              <w:t>——室内某个声源与靠近围护结构处的距离</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m；</w:t>
            </w:r>
          </w:p>
          <w:p w14:paraId="4FE6BCEF">
            <w:pPr>
              <w:keepNext w:val="0"/>
              <w:keepLines w:val="0"/>
              <w:pageBreakBefore w:val="0"/>
              <w:widowControl w:val="0"/>
              <w:kinsoku/>
              <w:wordWrap/>
              <w:overflowPunct/>
              <w:topLinePunct w:val="0"/>
              <w:autoSpaceDE/>
              <w:autoSpaceDN/>
              <w:bidi w:val="0"/>
              <w:adjustRightInd w:val="0"/>
              <w:snapToGrid/>
              <w:spacing w:after="0" w:line="360" w:lineRule="auto"/>
              <w:ind w:firstLine="1560" w:firstLineChars="6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R——房间常数m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0E22BAEB">
            <w:pPr>
              <w:keepNext w:val="0"/>
              <w:keepLines w:val="0"/>
              <w:pageBreakBefore w:val="0"/>
              <w:widowControl w:val="0"/>
              <w:kinsoku/>
              <w:wordWrap/>
              <w:overflowPunct/>
              <w:topLinePunct w:val="0"/>
              <w:autoSpaceDE/>
              <w:autoSpaceDN/>
              <w:bidi w:val="0"/>
              <w:adjustRightInd w:val="0"/>
              <w:snapToGrid/>
              <w:spacing w:after="0" w:line="360" w:lineRule="auto"/>
              <w:ind w:firstLine="1560" w:firstLineChars="6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Q——方向因子</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无量纲值。</w:t>
            </w:r>
          </w:p>
          <w:p w14:paraId="5F4BD32E">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（2）计算出所有室内声源在靠近围护结构处产生的总倍频带声压级：</w:t>
            </w:r>
          </w:p>
          <w:p w14:paraId="0F817CD1">
            <w:pPr>
              <w:keepNext w:val="0"/>
              <w:keepLines w:val="0"/>
              <w:pageBreakBefore w:val="0"/>
              <w:widowControl w:val="0"/>
              <w:kinsoku/>
              <w:wordWrap/>
              <w:overflowPunct/>
              <w:topLinePunct w:val="0"/>
              <w:autoSpaceDE/>
              <w:autoSpaceDN/>
              <w:bidi w:val="0"/>
              <w:adjustRightInd w:val="0"/>
              <w:snapToGrid/>
              <w:spacing w:after="0" w:line="360" w:lineRule="auto"/>
              <w:ind w:firstLine="2280" w:firstLineChars="9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6" o:spt="75" type="#_x0000_t75" style="height:39.9pt;width:146.25pt;" o:ole="t" fillcolor="#6D6D6D" filled="f" o:preferrelative="t" stroked="f" coordsize="21600,21600">
                  <v:path/>
                  <v:fill on="f" focussize="0,0"/>
                  <v:stroke on="f"/>
                  <v:imagedata r:id="rId20" o:title=""/>
                  <o:lock v:ext="edit" grouping="f" rotation="f" text="f" aspectratio="t"/>
                  <w10:wrap type="none"/>
                  <w10:anchorlock/>
                </v:shape>
                <o:OLEObject Type="Embed" ProgID="Equation.3" ShapeID="_x0000_i1026" DrawAspect="Content" ObjectID="_1468075726" r:id="rId19">
                  <o:LockedField>false</o:LockedField>
                </o:OLEObject>
              </w:object>
            </w:r>
          </w:p>
          <w:p w14:paraId="01626839">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（3）计算出室外靠近围护结构处的声压级：</w:t>
            </w:r>
          </w:p>
          <w:p w14:paraId="21197303">
            <w:pPr>
              <w:keepNext w:val="0"/>
              <w:keepLines w:val="0"/>
              <w:pageBreakBefore w:val="0"/>
              <w:widowControl w:val="0"/>
              <w:kinsoku/>
              <w:wordWrap/>
              <w:overflowPunct/>
              <w:topLinePunct w:val="0"/>
              <w:autoSpaceDE/>
              <w:autoSpaceDN/>
              <w:bidi w:val="0"/>
              <w:adjustRightInd w:val="0"/>
              <w:snapToGrid/>
              <w:spacing w:after="0" w:line="360" w:lineRule="auto"/>
              <w:ind w:firstLine="2400" w:firstLineChars="10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7" o:spt="75" type="#_x0000_t75" style="height:17pt;width:121pt;" o:ole="t" fillcolor="#6D6D6D" filled="f" o:preferrelative="t" stroked="f" coordsize="21600,21600">
                  <v:path/>
                  <v:fill on="f" focussize="0,0"/>
                  <v:stroke on="f"/>
                  <v:imagedata r:id="rId22" o:title=""/>
                  <o:lock v:ext="edit" grouping="f" rotation="f" text="f" aspectratio="t"/>
                  <w10:wrap type="none"/>
                  <w10:anchorlock/>
                </v:shape>
                <o:OLEObject Type="Embed" ProgID="Equation.3" ShapeID="_x0000_i1027" DrawAspect="Content" ObjectID="_1468075727" r:id="rId21">
                  <o:LockedField>false</o:LockedField>
                </o:OLEObject>
              </w:object>
            </w:r>
          </w:p>
          <w:p w14:paraId="297C76BE">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（4）将室外声级L</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(T)和透声面积换算成等效的室外声源</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计算出等效声源第i个倍频带的声功率级L</w:t>
            </w:r>
            <w:r>
              <w:rPr>
                <w:rFonts w:hint="default" w:ascii="Times New Roman" w:hAnsi="Times New Roman" w:cs="Times New Roman"/>
                <w:color w:val="auto"/>
                <w:sz w:val="24"/>
                <w:szCs w:val="24"/>
                <w:highlight w:val="none"/>
                <w:vertAlign w:val="subscript"/>
              </w:rPr>
              <w:t>w</w:t>
            </w:r>
            <w:r>
              <w:rPr>
                <w:rFonts w:hint="default" w:ascii="Times New Roman" w:hAnsi="Times New Roman" w:cs="Times New Roman"/>
                <w:color w:val="auto"/>
                <w:sz w:val="24"/>
                <w:szCs w:val="24"/>
                <w:highlight w:val="none"/>
                <w:vertAlign w:val="subscript"/>
              </w:rPr>
              <w:softHyphen/>
            </w:r>
            <w:r>
              <w:rPr>
                <w:rFonts w:hint="default" w:ascii="Times New Roman" w:hAnsi="Times New Roman" w:cs="Times New Roman"/>
                <w:color w:val="auto"/>
                <w:sz w:val="24"/>
                <w:szCs w:val="24"/>
                <w:highlight w:val="none"/>
                <w:vertAlign w:val="subscript"/>
              </w:rPr>
              <w:softHyphen/>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w:t>
            </w:r>
          </w:p>
          <w:p w14:paraId="6FD250BE">
            <w:pPr>
              <w:keepNext w:val="0"/>
              <w:keepLines w:val="0"/>
              <w:pageBreakBefore w:val="0"/>
              <w:widowControl w:val="0"/>
              <w:kinsoku/>
              <w:wordWrap/>
              <w:overflowPunct/>
              <w:topLinePunct w:val="0"/>
              <w:autoSpaceDE/>
              <w:autoSpaceDN/>
              <w:bidi w:val="0"/>
              <w:adjustRightInd w:val="0"/>
              <w:snapToGrid/>
              <w:spacing w:after="0" w:line="360" w:lineRule="auto"/>
              <w:ind w:firstLine="2400" w:firstLineChars="10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8" o:spt="75" type="#_x0000_t75" style="height:21.45pt;width:123.9pt;" o:ole="t" fillcolor="#6D6D6D" filled="f" o:preferrelative="t" stroked="f" coordsize="21600,21600">
                  <v:path/>
                  <v:fill on="f" focussize="0,0"/>
                  <v:stroke on="f"/>
                  <v:imagedata r:id="rId24" o:title=""/>
                  <o:lock v:ext="edit" grouping="f" rotation="f" text="f" aspectratio="t"/>
                  <w10:wrap type="none"/>
                  <w10:anchorlock/>
                </v:shape>
                <o:OLEObject Type="Embed" ProgID="Equation.3" ShapeID="_x0000_i1028" DrawAspect="Content" ObjectID="_1468075728" r:id="rId23">
                  <o:LockedField>false</o:LockedField>
                </o:OLEObject>
              </w:object>
            </w:r>
          </w:p>
          <w:p w14:paraId="6670287C">
            <w:pPr>
              <w:keepNext w:val="0"/>
              <w:keepLines w:val="0"/>
              <w:pageBreakBefore w:val="0"/>
              <w:widowControl w:val="0"/>
              <w:kinsoku/>
              <w:wordWrap/>
              <w:overflowPunct/>
              <w:topLinePunct w:val="0"/>
              <w:autoSpaceDE/>
              <w:autoSpaceDN/>
              <w:bidi w:val="0"/>
              <w:adjustRightInd w:val="0"/>
              <w:snapToGrid/>
              <w:spacing w:after="0" w:line="360" w:lineRule="auto"/>
              <w:ind w:firstLine="1080" w:firstLineChars="4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式中：S为透声面积</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2</w:t>
            </w:r>
            <w:r>
              <w:rPr>
                <w:rFonts w:hint="default" w:ascii="Times New Roman" w:hAnsi="Times New Roman" w:cs="Times New Roman"/>
                <w:color w:val="auto"/>
                <w:sz w:val="24"/>
                <w:szCs w:val="24"/>
                <w:highlight w:val="none"/>
              </w:rPr>
              <w:t>。</w:t>
            </w:r>
          </w:p>
          <w:p w14:paraId="1941D79F">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（5）等效室外声源的位置为围护结构的位置</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其倍频带声功率级为Lw</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由此按室外声源方法计算等效室外声源在预测点产生的声级。</w:t>
            </w:r>
          </w:p>
          <w:p w14:paraId="392B19A9">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（6）计算某个声源在预测点的倍频带声压级：</w:t>
            </w:r>
          </w:p>
          <w:p w14:paraId="08E44047">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29" o:spt="75" type="#_x0000_t75" style="height:46.5pt;width:151.7pt;" o:ole="t" fillcolor="#6D6D6D" filled="f" o:preferrelative="t" stroked="f" coordsize="21600,21600">
                  <v:path/>
                  <v:fill on="f" focussize="0,0"/>
                  <v:stroke on="f"/>
                  <v:imagedata r:id="rId26" o:title=""/>
                  <o:lock v:ext="edit" grouping="f" rotation="f" text="f" aspectratio="t"/>
                  <w10:wrap type="none"/>
                  <w10:anchorlock/>
                </v:shape>
                <o:OLEObject Type="Embed" ProgID="Equation.3" ShapeID="_x0000_i1029" DrawAspect="Content" ObjectID="_1468075729" r:id="rId25">
                  <o:LockedField>false</o:LockedField>
                </o:OLEObject>
              </w:object>
            </w:r>
          </w:p>
          <w:p w14:paraId="317B6900">
            <w:pPr>
              <w:keepNext w:val="0"/>
              <w:keepLines w:val="0"/>
              <w:pageBreakBefore w:val="0"/>
              <w:widowControl w:val="0"/>
              <w:kinsoku/>
              <w:wordWrap/>
              <w:overflowPunct/>
              <w:topLinePunct w:val="0"/>
              <w:autoSpaceDE/>
              <w:autoSpaceDN/>
              <w:bidi w:val="0"/>
              <w:adjustRightInd w:val="0"/>
              <w:snapToGrid/>
              <w:spacing w:after="0" w:line="360" w:lineRule="auto"/>
              <w:ind w:firstLine="1320" w:firstLineChars="5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式中：L(r)——点声源在预测点产生的倍频带声压级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w:t>
            </w:r>
          </w:p>
          <w:p w14:paraId="6B2B521A">
            <w:pPr>
              <w:keepNext w:val="0"/>
              <w:keepLines w:val="0"/>
              <w:pageBreakBefore w:val="0"/>
              <w:widowControl w:val="0"/>
              <w:kinsoku/>
              <w:wordWrap/>
              <w:overflowPunct/>
              <w:topLinePunct w:val="0"/>
              <w:autoSpaceDE/>
              <w:autoSpaceDN/>
              <w:bidi w:val="0"/>
              <w:adjustRightInd w:val="0"/>
              <w:snapToGrid/>
              <w:spacing w:after="0" w:line="360" w:lineRule="auto"/>
              <w:ind w:firstLine="2040" w:firstLineChars="8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)——参考位置r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处的倍频带声压级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w:t>
            </w:r>
          </w:p>
          <w:p w14:paraId="64F5A6E4">
            <w:pPr>
              <w:keepNext w:val="0"/>
              <w:keepLines w:val="0"/>
              <w:pageBreakBefore w:val="0"/>
              <w:widowControl w:val="0"/>
              <w:kinsoku/>
              <w:wordWrap/>
              <w:overflowPunct/>
              <w:topLinePunct w:val="0"/>
              <w:autoSpaceDE/>
              <w:autoSpaceDN/>
              <w:bidi w:val="0"/>
              <w:adjustRightInd w:val="0"/>
              <w:snapToGrid/>
              <w:spacing w:after="0" w:line="360" w:lineRule="auto"/>
              <w:ind w:firstLine="2040" w:firstLineChars="8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r——预测点距声源的距离</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m；</w:t>
            </w:r>
          </w:p>
          <w:p w14:paraId="2D2FAA3F">
            <w:pPr>
              <w:keepNext w:val="0"/>
              <w:keepLines w:val="0"/>
              <w:pageBreakBefore w:val="0"/>
              <w:widowControl w:val="0"/>
              <w:kinsoku/>
              <w:wordWrap/>
              <w:overflowPunct/>
              <w:topLinePunct w:val="0"/>
              <w:autoSpaceDE/>
              <w:autoSpaceDN/>
              <w:bidi w:val="0"/>
              <w:adjustRightInd w:val="0"/>
              <w:snapToGrid/>
              <w:spacing w:after="0" w:line="360" w:lineRule="auto"/>
              <w:ind w:firstLine="2040" w:firstLineChars="8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r</w:t>
            </w:r>
            <w:r>
              <w:rPr>
                <w:rFonts w:hint="default" w:ascii="Times New Roman" w:hAnsi="Times New Roman" w:cs="Times New Roman"/>
                <w:color w:val="auto"/>
                <w:sz w:val="24"/>
                <w:szCs w:val="24"/>
                <w:highlight w:val="none"/>
                <w:vertAlign w:val="subscript"/>
              </w:rPr>
              <w:t>0</w:t>
            </w:r>
            <w:r>
              <w:rPr>
                <w:rFonts w:hint="default" w:ascii="Times New Roman" w:hAnsi="Times New Roman" w:cs="Times New Roman"/>
                <w:color w:val="auto"/>
                <w:sz w:val="24"/>
                <w:szCs w:val="24"/>
                <w:highlight w:val="none"/>
              </w:rPr>
              <w:t>——参考位置距声源的距离</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m；</w:t>
            </w:r>
          </w:p>
          <w:p w14:paraId="61A1B54C">
            <w:pPr>
              <w:keepNext w:val="0"/>
              <w:keepLines w:val="0"/>
              <w:pageBreakBefore w:val="0"/>
              <w:widowControl w:val="0"/>
              <w:kinsoku/>
              <w:wordWrap/>
              <w:overflowPunct/>
              <w:topLinePunct w:val="0"/>
              <w:autoSpaceDE/>
              <w:autoSpaceDN/>
              <w:bidi w:val="0"/>
              <w:adjustRightInd w:val="0"/>
              <w:snapToGrid/>
              <w:spacing w:after="0" w:line="360" w:lineRule="auto"/>
              <w:ind w:left="0" w:leftChars="0" w:firstLine="1920" w:firstLineChars="8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ΔL——各种因素引起的衰减量(包括声屏障、遮挡物、空气吸收、地面效应等引起的衰减量）。</w:t>
            </w:r>
          </w:p>
          <w:p w14:paraId="62671D7A">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如果已知声源的倍频带声功率级Lw</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且声源可看作是位于地面上的</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则</w:t>
            </w:r>
          </w:p>
          <w:p w14:paraId="476975D2">
            <w:pPr>
              <w:keepNext w:val="0"/>
              <w:keepLines w:val="0"/>
              <w:pageBreakBefore w:val="0"/>
              <w:widowControl w:val="0"/>
              <w:kinsoku/>
              <w:wordWrap/>
              <w:overflowPunct/>
              <w:topLinePunct w:val="0"/>
              <w:autoSpaceDE/>
              <w:autoSpaceDN/>
              <w:bidi w:val="0"/>
              <w:adjustRightInd w:val="0"/>
              <w:snapToGrid/>
              <w:spacing w:after="0" w:line="360" w:lineRule="auto"/>
              <w:ind w:firstLine="2280" w:firstLineChars="95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30" o:spt="75" type="#_x0000_t75" style="height:18pt;width:112pt;" o:ole="t" filled="f" o:preferrelative="t" stroked="f" coordsize="21600,21600">
                  <v:path/>
                  <v:fill on="f" focussize="0,0"/>
                  <v:stroke on="f"/>
                  <v:imagedata r:id="rId28" o:title=""/>
                  <o:lock v:ext="edit" aspectratio="t"/>
                  <w10:wrap type="none"/>
                  <w10:anchorlock/>
                </v:shape>
                <o:OLEObject Type="Embed" ProgID="Equation.3" ShapeID="_x0000_i1030" DrawAspect="Content" ObjectID="_1468075730" r:id="rId27">
                  <o:LockedField>false</o:LockedField>
                </o:OLEObject>
              </w:object>
            </w:r>
          </w:p>
          <w:p w14:paraId="70D21A29">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（7）由各倍频带声压级合成计算出该声源产生的A声级LA。</w:t>
            </w:r>
          </w:p>
          <w:p w14:paraId="038531EE">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（8）计算总声压级</w:t>
            </w:r>
          </w:p>
          <w:p w14:paraId="74DD15F6">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设第i个室外声源在预测点产生的A声级为LAin</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i</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在T时间内该声源工作时间为tin</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i；第j个等效室外声源在预测点产生的A声级为LAout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j</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在T时间内该声源工作时间为Tout</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j</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则预测点的总等效声级为：</w:t>
            </w:r>
          </w:p>
          <w:p w14:paraId="61B898E5">
            <w:pPr>
              <w:keepNext w:val="0"/>
              <w:keepLines w:val="0"/>
              <w:pageBreakBefore w:val="0"/>
              <w:widowControl w:val="0"/>
              <w:kinsoku/>
              <w:wordWrap/>
              <w:overflowPunct/>
              <w:topLinePunct w:val="0"/>
              <w:autoSpaceDE/>
              <w:autoSpaceDN/>
              <w:bidi w:val="0"/>
              <w:adjustRightInd w:val="0"/>
              <w:snapToGrid/>
              <w:spacing w:after="0" w:line="360" w:lineRule="auto"/>
              <w:ind w:firstLine="240" w:firstLineChars="10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31" o:spt="75" type="#_x0000_t75" style="height:38pt;width:269pt;" o:ole="t" fillcolor="#6D6D6D" filled="f" stroked="f" coordsize="21600,21600">
                  <v:path/>
                  <v:fill on="f" focussize="0,0"/>
                  <v:stroke on="f"/>
                  <v:imagedata r:id="rId30" o:title=""/>
                  <o:lock v:ext="edit" grouping="f" rotation="f" text="f" aspectratio="t"/>
                  <w10:wrap type="none"/>
                  <w10:anchorlock/>
                </v:shape>
                <o:OLEObject Type="Embed" ProgID="Equation.3" ShapeID="_x0000_i1031" DrawAspect="Content" ObjectID="_1468075731" r:id="rId29">
                  <o:LockedField>false</o:LockedField>
                </o:OLEObject>
              </w:object>
            </w:r>
          </w:p>
          <w:p w14:paraId="761DD127">
            <w:pPr>
              <w:keepNext w:val="0"/>
              <w:keepLines w:val="0"/>
              <w:pageBreakBefore w:val="0"/>
              <w:widowControl w:val="0"/>
              <w:kinsoku/>
              <w:wordWrap/>
              <w:overflowPunct/>
              <w:topLinePunct w:val="0"/>
              <w:autoSpaceDE/>
              <w:autoSpaceDN/>
              <w:bidi w:val="0"/>
              <w:adjustRightInd w:val="0"/>
              <w:snapToGrid/>
              <w:spacing w:after="0" w:line="360" w:lineRule="auto"/>
              <w:ind w:firstLine="1200" w:firstLineChars="5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式中：T——计算等效声级的时间；N——室外声源个数；</w:t>
            </w:r>
          </w:p>
          <w:p w14:paraId="0EDCAF3B">
            <w:pPr>
              <w:keepNext w:val="0"/>
              <w:keepLines w:val="0"/>
              <w:pageBreakBefore w:val="0"/>
              <w:widowControl w:val="0"/>
              <w:kinsoku/>
              <w:wordWrap/>
              <w:overflowPunct/>
              <w:topLinePunct w:val="0"/>
              <w:autoSpaceDE/>
              <w:autoSpaceDN/>
              <w:bidi w:val="0"/>
              <w:adjustRightInd w:val="0"/>
              <w:snapToGrid/>
              <w:spacing w:after="0" w:line="360" w:lineRule="auto"/>
              <w:ind w:firstLine="1920" w:firstLineChars="8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M——等效室外声源个数。</w:t>
            </w:r>
          </w:p>
          <w:p w14:paraId="2A0EB382">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（9）多声源对某个受声点的理论估算方法</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是将几个声源的A声级按能量叠加</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等效为合声源对某个受声点上的理论声级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其公式为：</w:t>
            </w:r>
          </w:p>
          <w:p w14:paraId="7E1820E9">
            <w:pPr>
              <w:keepNext w:val="0"/>
              <w:keepLines w:val="0"/>
              <w:pageBreakBefore w:val="0"/>
              <w:widowControl w:val="0"/>
              <w:kinsoku/>
              <w:wordWrap/>
              <w:overflowPunct/>
              <w:topLinePunct w:val="0"/>
              <w:autoSpaceDE/>
              <w:autoSpaceDN/>
              <w:bidi w:val="0"/>
              <w:adjustRightInd w:val="0"/>
              <w:snapToGrid/>
              <w:spacing w:after="0" w:line="360" w:lineRule="auto"/>
              <w:ind w:firstLine="480" w:firstLineChars="20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object>
                <v:shape id="_x0000_i1032" o:spt="75" type="#_x0000_t75" style="height:34pt;width:102pt;" o:ole="t" fillcolor="#6D6D6D" filled="f" stroked="f" coordsize="21600,21600">
                  <v:path/>
                  <v:fill on="f" focussize="0,0"/>
                  <v:stroke on="f"/>
                  <v:imagedata r:id="rId32" o:title=""/>
                  <o:lock v:ext="edit" grouping="f" rotation="f" text="f" aspectratio="t"/>
                  <w10:wrap type="none"/>
                  <w10:anchorlock/>
                </v:shape>
                <o:OLEObject Type="Embed" ProgID="Equation.3" ShapeID="_x0000_i1032" DrawAspect="Content" ObjectID="_1468075732" r:id="rId31">
                  <o:LockedField>false</o:LockedField>
                </o:OLEObject>
              </w:object>
            </w:r>
          </w:p>
          <w:p w14:paraId="185BBB8A">
            <w:pPr>
              <w:keepNext w:val="0"/>
              <w:keepLines w:val="0"/>
              <w:pageBreakBefore w:val="0"/>
              <w:widowControl w:val="0"/>
              <w:kinsoku/>
              <w:wordWrap/>
              <w:overflowPunct/>
              <w:topLinePunct w:val="0"/>
              <w:autoSpaceDE/>
              <w:autoSpaceDN/>
              <w:bidi w:val="0"/>
              <w:adjustRightInd w:val="0"/>
              <w:snapToGrid/>
              <w:spacing w:after="0" w:line="360" w:lineRule="auto"/>
              <w:ind w:firstLine="720" w:firstLineChars="3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式中：L</w:t>
            </w:r>
            <w:r>
              <w:rPr>
                <w:rFonts w:hint="default" w:ascii="Times New Roman" w:hAnsi="Times New Roman" w:cs="Times New Roman"/>
                <w:color w:val="auto"/>
                <w:sz w:val="24"/>
                <w:szCs w:val="24"/>
                <w:highlight w:val="none"/>
                <w:vertAlign w:val="subscript"/>
              </w:rPr>
              <w:t>合</w:t>
            </w:r>
            <w:r>
              <w:rPr>
                <w:rFonts w:hint="default" w:ascii="Times New Roman" w:hAnsi="Times New Roman" w:cs="Times New Roman"/>
                <w:color w:val="auto"/>
                <w:sz w:val="24"/>
                <w:szCs w:val="24"/>
                <w:highlight w:val="none"/>
              </w:rPr>
              <w:t>——受声点总等效声级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dB(A)；N——声源总数</w:t>
            </w:r>
          </w:p>
          <w:p w14:paraId="6366C78A">
            <w:pPr>
              <w:keepNext w:val="0"/>
              <w:keepLines w:val="0"/>
              <w:pageBreakBefore w:val="0"/>
              <w:widowControl w:val="0"/>
              <w:kinsoku/>
              <w:wordWrap/>
              <w:overflowPunct/>
              <w:topLinePunct w:val="0"/>
              <w:autoSpaceDE/>
              <w:autoSpaceDN/>
              <w:bidi w:val="0"/>
              <w:adjustRightInd w:val="0"/>
              <w:snapToGrid/>
              <w:spacing w:after="0" w:line="360" w:lineRule="auto"/>
              <w:ind w:firstLine="1680" w:firstLineChars="70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Li——第i声源对某预测点的等效声级</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dB(A)</w:t>
            </w:r>
          </w:p>
          <w:p w14:paraId="3142CE77">
            <w:pPr>
              <w:keepNext w:val="0"/>
              <w:keepLines w:val="0"/>
              <w:pageBreakBefore w:val="0"/>
              <w:widowControl w:val="0"/>
              <w:kinsoku/>
              <w:wordWrap/>
              <w:overflowPunct/>
              <w:topLinePunct w:val="0"/>
              <w:autoSpaceDE/>
              <w:autoSpaceDN/>
              <w:bidi w:val="0"/>
              <w:adjustRightInd w:val="0"/>
              <w:snapToGrid/>
              <w:spacing w:after="0" w:line="360" w:lineRule="auto"/>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3.</w:t>
            </w:r>
            <w:r>
              <w:rPr>
                <w:rFonts w:hint="default" w:ascii="Times New Roman" w:hAnsi="Times New Roman" w:cs="Times New Roman"/>
                <w:b/>
                <w:bCs/>
                <w:color w:val="auto"/>
                <w:sz w:val="24"/>
                <w:szCs w:val="24"/>
                <w:highlight w:val="none"/>
                <w:lang w:val="en-US" w:eastAsia="zh-CN"/>
              </w:rPr>
              <w:t>2</w:t>
            </w:r>
            <w:r>
              <w:rPr>
                <w:rFonts w:hint="default" w:ascii="Times New Roman" w:hAnsi="Times New Roman" w:cs="Times New Roman"/>
                <w:b/>
                <w:bCs/>
                <w:color w:val="auto"/>
                <w:sz w:val="24"/>
                <w:szCs w:val="24"/>
                <w:highlight w:val="none"/>
              </w:rPr>
              <w:t>预测结果与评价</w:t>
            </w:r>
          </w:p>
          <w:p w14:paraId="250959C1">
            <w:pPr>
              <w:adjustRightInd w:val="0"/>
              <w:snapToGrid w:val="0"/>
              <w:spacing w:line="360" w:lineRule="auto"/>
              <w:ind w:firstLine="480" w:firstLineChars="200"/>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 w:val="24"/>
                <w:highlight w:val="none"/>
              </w:rPr>
              <w:t>本项目夜间不进行生产，经厂房隔声等措施降噪后，生产设备同时运行时，</w:t>
            </w:r>
            <w:r>
              <w:rPr>
                <w:rFonts w:hint="default" w:ascii="Times New Roman" w:hAnsi="Times New Roman" w:cs="Times New Roman"/>
                <w:color w:val="auto"/>
                <w:sz w:val="24"/>
                <w:highlight w:val="none"/>
                <w:lang w:val="en-US" w:eastAsia="zh-CN"/>
              </w:rPr>
              <w:t>根据噪声现状监测结果见下表</w:t>
            </w:r>
            <w:r>
              <w:rPr>
                <w:rFonts w:hint="default" w:ascii="Times New Roman" w:hAnsi="Times New Roman" w:cs="Times New Roman"/>
                <w:color w:val="auto"/>
                <w:sz w:val="24"/>
                <w:highlight w:val="none"/>
                <w:lang w:eastAsia="zh-CN"/>
              </w:rPr>
              <w:t>。</w:t>
            </w:r>
          </w:p>
          <w:p w14:paraId="207F4A4A">
            <w:pPr>
              <w:pStyle w:val="50"/>
              <w:adjustRightInd w:val="0"/>
              <w:snapToGrid w:val="0"/>
              <w:spacing w:line="240" w:lineRule="auto"/>
              <w:rPr>
                <w:rFonts w:hint="default" w:ascii="Times New Roman" w:hAnsi="Times New Roman" w:eastAsia="黑体" w:cs="Times New Roman"/>
                <w:b w:val="0"/>
                <w:bCs w:val="0"/>
                <w:color w:val="auto"/>
                <w:sz w:val="21"/>
                <w:szCs w:val="21"/>
                <w:highlight w:val="none"/>
              </w:rPr>
            </w:pPr>
            <w:r>
              <w:rPr>
                <w:rFonts w:hint="default" w:ascii="Times New Roman" w:hAnsi="Times New Roman" w:eastAsia="黑体" w:cs="Times New Roman"/>
                <w:b w:val="0"/>
                <w:bCs w:val="0"/>
                <w:color w:val="auto"/>
                <w:sz w:val="21"/>
                <w:szCs w:val="21"/>
                <w:highlight w:val="none"/>
              </w:rPr>
              <w:t>表4-</w:t>
            </w:r>
            <w:r>
              <w:rPr>
                <w:rFonts w:hint="default" w:ascii="Times New Roman" w:hAnsi="Times New Roman" w:eastAsia="黑体" w:cs="Times New Roman"/>
                <w:b w:val="0"/>
                <w:bCs w:val="0"/>
                <w:color w:val="auto"/>
                <w:sz w:val="21"/>
                <w:szCs w:val="21"/>
                <w:highlight w:val="none"/>
                <w:lang w:val="en-US" w:eastAsia="zh-CN"/>
              </w:rPr>
              <w:t>7</w:t>
            </w:r>
            <w:r>
              <w:rPr>
                <w:rFonts w:hint="default" w:ascii="Times New Roman" w:hAnsi="Times New Roman" w:eastAsia="黑体" w:cs="Times New Roman"/>
                <w:b w:val="0"/>
                <w:bCs w:val="0"/>
                <w:color w:val="auto"/>
                <w:sz w:val="21"/>
                <w:szCs w:val="21"/>
                <w:highlight w:val="none"/>
              </w:rPr>
              <w:t>项目各厂界噪声</w:t>
            </w:r>
            <w:r>
              <w:rPr>
                <w:rFonts w:hint="default" w:ascii="Times New Roman" w:hAnsi="Times New Roman" w:eastAsia="黑体" w:cs="Times New Roman"/>
                <w:b w:val="0"/>
                <w:bCs w:val="0"/>
                <w:color w:val="auto"/>
                <w:sz w:val="21"/>
                <w:szCs w:val="21"/>
                <w:highlight w:val="none"/>
                <w:lang w:val="en-US" w:eastAsia="zh-CN"/>
              </w:rPr>
              <w:t>实测</w:t>
            </w:r>
            <w:r>
              <w:rPr>
                <w:rFonts w:hint="default" w:ascii="Times New Roman" w:hAnsi="Times New Roman" w:eastAsia="黑体" w:cs="Times New Roman"/>
                <w:b w:val="0"/>
                <w:bCs w:val="0"/>
                <w:color w:val="auto"/>
                <w:sz w:val="21"/>
                <w:szCs w:val="21"/>
                <w:highlight w:val="none"/>
              </w:rPr>
              <w:t>值</w:t>
            </w:r>
          </w:p>
          <w:tbl>
            <w:tblPr>
              <w:tblStyle w:val="24"/>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1545"/>
              <w:gridCol w:w="1022"/>
              <w:gridCol w:w="1446"/>
              <w:gridCol w:w="2167"/>
            </w:tblGrid>
            <w:tr w14:paraId="168AE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tcBorders>
                    <w:bottom w:val="single" w:color="auto" w:sz="12" w:space="0"/>
                  </w:tcBorders>
                  <w:noWrap w:val="0"/>
                  <w:vAlign w:val="center"/>
                </w:tcPr>
                <w:p w14:paraId="7928EEEE">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预测点</w:t>
                  </w:r>
                </w:p>
              </w:tc>
              <w:tc>
                <w:tcPr>
                  <w:tcW w:w="1035" w:type="pct"/>
                  <w:tcBorders>
                    <w:bottom w:val="single" w:color="auto" w:sz="12" w:space="0"/>
                  </w:tcBorders>
                  <w:noWrap w:val="0"/>
                  <w:vAlign w:val="center"/>
                </w:tcPr>
                <w:p w14:paraId="23AA536C">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实测值</w:t>
                  </w:r>
                  <w:r>
                    <w:rPr>
                      <w:rFonts w:hint="default" w:ascii="Times New Roman" w:hAnsi="Times New Roman" w:cs="Times New Roman"/>
                      <w:b/>
                      <w:bCs/>
                      <w:color w:val="auto"/>
                      <w:sz w:val="21"/>
                      <w:szCs w:val="21"/>
                      <w:highlight w:val="none"/>
                    </w:rPr>
                    <w:t>dB(A)</w:t>
                  </w:r>
                </w:p>
              </w:tc>
              <w:tc>
                <w:tcPr>
                  <w:tcW w:w="685" w:type="pct"/>
                  <w:tcBorders>
                    <w:bottom w:val="single" w:color="auto" w:sz="12" w:space="0"/>
                  </w:tcBorders>
                  <w:noWrap w:val="0"/>
                  <w:vAlign w:val="center"/>
                </w:tcPr>
                <w:p w14:paraId="7E64EFF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预测值</w:t>
                  </w:r>
                </w:p>
              </w:tc>
              <w:tc>
                <w:tcPr>
                  <w:tcW w:w="969" w:type="pct"/>
                  <w:tcBorders>
                    <w:bottom w:val="single" w:color="auto" w:sz="12" w:space="0"/>
                  </w:tcBorders>
                  <w:noWrap w:val="0"/>
                  <w:vAlign w:val="center"/>
                </w:tcPr>
                <w:p w14:paraId="2AE4305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叠加值</w:t>
                  </w:r>
                </w:p>
              </w:tc>
              <w:tc>
                <w:tcPr>
                  <w:tcW w:w="1452" w:type="pct"/>
                  <w:tcBorders>
                    <w:bottom w:val="single" w:color="auto" w:sz="12" w:space="0"/>
                  </w:tcBorders>
                  <w:noWrap w:val="0"/>
                  <w:vAlign w:val="center"/>
                </w:tcPr>
                <w:p w14:paraId="7BA9FE27">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标准值dB(A)</w:t>
                  </w:r>
                </w:p>
              </w:tc>
            </w:tr>
            <w:tr w14:paraId="149B07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tcBorders>
                    <w:top w:val="single" w:color="auto" w:sz="12" w:space="0"/>
                  </w:tcBorders>
                  <w:noWrap w:val="0"/>
                  <w:vAlign w:val="center"/>
                </w:tcPr>
                <w:p w14:paraId="02E627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东</w:t>
                  </w:r>
                  <w:r>
                    <w:rPr>
                      <w:rFonts w:hint="default" w:ascii="Times New Roman" w:hAnsi="Times New Roman" w:cs="Times New Roman"/>
                      <w:color w:val="auto"/>
                      <w:sz w:val="21"/>
                      <w:szCs w:val="21"/>
                      <w:highlight w:val="none"/>
                      <w:lang w:val="en-US" w:eastAsia="zh-CN"/>
                    </w:rPr>
                    <w:t>南</w:t>
                  </w:r>
                  <w:r>
                    <w:rPr>
                      <w:rFonts w:hint="default" w:ascii="Times New Roman" w:hAnsi="Times New Roman" w:cs="Times New Roman"/>
                      <w:color w:val="auto"/>
                      <w:sz w:val="21"/>
                      <w:szCs w:val="21"/>
                      <w:highlight w:val="none"/>
                    </w:rPr>
                    <w:t>厂界</w:t>
                  </w:r>
                </w:p>
              </w:tc>
              <w:tc>
                <w:tcPr>
                  <w:tcW w:w="1035" w:type="pct"/>
                  <w:tcBorders>
                    <w:top w:val="single" w:color="auto" w:sz="12" w:space="0"/>
                  </w:tcBorders>
                  <w:noWrap w:val="0"/>
                  <w:vAlign w:val="center"/>
                </w:tcPr>
                <w:p w14:paraId="6D7A69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53</w:t>
                  </w:r>
                </w:p>
              </w:tc>
              <w:tc>
                <w:tcPr>
                  <w:tcW w:w="685" w:type="pct"/>
                  <w:tcBorders>
                    <w:top w:val="single" w:color="auto" w:sz="12" w:space="0"/>
                  </w:tcBorders>
                  <w:noWrap w:val="0"/>
                  <w:vAlign w:val="center"/>
                </w:tcPr>
                <w:p w14:paraId="24E14798">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49</w:t>
                  </w:r>
                </w:p>
              </w:tc>
              <w:tc>
                <w:tcPr>
                  <w:tcW w:w="969" w:type="pct"/>
                  <w:tcBorders>
                    <w:top w:val="single" w:color="auto" w:sz="12" w:space="0"/>
                  </w:tcBorders>
                  <w:noWrap w:val="0"/>
                  <w:vAlign w:val="center"/>
                </w:tcPr>
                <w:p w14:paraId="70346AB6">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54.46</w:t>
                  </w:r>
                </w:p>
              </w:tc>
              <w:tc>
                <w:tcPr>
                  <w:tcW w:w="1452" w:type="pct"/>
                  <w:tcBorders>
                    <w:top w:val="single" w:color="auto" w:sz="12" w:space="0"/>
                  </w:tcBorders>
                  <w:noWrap w:val="0"/>
                  <w:vAlign w:val="center"/>
                </w:tcPr>
                <w:p w14:paraId="6F4D03C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昼间≤60dB（A）</w:t>
                  </w:r>
                </w:p>
              </w:tc>
            </w:tr>
            <w:tr w14:paraId="1AC562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noWrap w:val="0"/>
                  <w:vAlign w:val="center"/>
                </w:tcPr>
                <w:p w14:paraId="2394729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西</w:t>
                  </w:r>
                  <w:r>
                    <w:rPr>
                      <w:rFonts w:hint="default" w:ascii="Times New Roman" w:hAnsi="Times New Roman" w:cs="Times New Roman"/>
                      <w:color w:val="auto"/>
                      <w:sz w:val="21"/>
                      <w:szCs w:val="21"/>
                      <w:highlight w:val="none"/>
                    </w:rPr>
                    <w:t>南厂界</w:t>
                  </w:r>
                </w:p>
              </w:tc>
              <w:tc>
                <w:tcPr>
                  <w:tcW w:w="1035" w:type="pct"/>
                  <w:noWrap w:val="0"/>
                  <w:vAlign w:val="center"/>
                </w:tcPr>
                <w:p w14:paraId="7F3F7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53</w:t>
                  </w:r>
                </w:p>
              </w:tc>
              <w:tc>
                <w:tcPr>
                  <w:tcW w:w="685" w:type="pct"/>
                  <w:noWrap w:val="0"/>
                  <w:vAlign w:val="center"/>
                </w:tcPr>
                <w:p w14:paraId="541E4CD0">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48</w:t>
                  </w:r>
                </w:p>
              </w:tc>
              <w:tc>
                <w:tcPr>
                  <w:tcW w:w="969" w:type="pct"/>
                  <w:noWrap w:val="0"/>
                  <w:vAlign w:val="center"/>
                </w:tcPr>
                <w:p w14:paraId="047912F7">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54.19</w:t>
                  </w:r>
                </w:p>
              </w:tc>
              <w:tc>
                <w:tcPr>
                  <w:tcW w:w="1452" w:type="pct"/>
                  <w:noWrap w:val="0"/>
                  <w:vAlign w:val="center"/>
                </w:tcPr>
                <w:p w14:paraId="64196D6D">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昼间≤60dB（A）</w:t>
                  </w:r>
                </w:p>
              </w:tc>
            </w:tr>
            <w:tr w14:paraId="3088E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noWrap w:val="0"/>
                  <w:vAlign w:val="center"/>
                </w:tcPr>
                <w:p w14:paraId="21FC90F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西</w:t>
                  </w:r>
                  <w:r>
                    <w:rPr>
                      <w:rFonts w:hint="default" w:ascii="Times New Roman" w:hAnsi="Times New Roman" w:cs="Times New Roman"/>
                      <w:color w:val="auto"/>
                      <w:sz w:val="21"/>
                      <w:szCs w:val="21"/>
                      <w:highlight w:val="none"/>
                      <w:lang w:val="en-US" w:eastAsia="zh-CN"/>
                    </w:rPr>
                    <w:t>北</w:t>
                  </w:r>
                  <w:r>
                    <w:rPr>
                      <w:rFonts w:hint="default" w:ascii="Times New Roman" w:hAnsi="Times New Roman" w:cs="Times New Roman"/>
                      <w:color w:val="auto"/>
                      <w:sz w:val="21"/>
                      <w:szCs w:val="21"/>
                      <w:highlight w:val="none"/>
                    </w:rPr>
                    <w:t>厂界</w:t>
                  </w:r>
                </w:p>
              </w:tc>
              <w:tc>
                <w:tcPr>
                  <w:tcW w:w="1035" w:type="pct"/>
                  <w:noWrap w:val="0"/>
                  <w:vAlign w:val="center"/>
                </w:tcPr>
                <w:p w14:paraId="61F27C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54</w:t>
                  </w:r>
                </w:p>
              </w:tc>
              <w:tc>
                <w:tcPr>
                  <w:tcW w:w="685" w:type="pct"/>
                  <w:noWrap w:val="0"/>
                  <w:vAlign w:val="center"/>
                </w:tcPr>
                <w:p w14:paraId="61CA9009">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49</w:t>
                  </w:r>
                </w:p>
              </w:tc>
              <w:tc>
                <w:tcPr>
                  <w:tcW w:w="969" w:type="pct"/>
                  <w:noWrap w:val="0"/>
                  <w:vAlign w:val="center"/>
                </w:tcPr>
                <w:p w14:paraId="38BC1DD4">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55.19</w:t>
                  </w:r>
                </w:p>
              </w:tc>
              <w:tc>
                <w:tcPr>
                  <w:tcW w:w="1452" w:type="pct"/>
                  <w:noWrap w:val="0"/>
                  <w:vAlign w:val="center"/>
                </w:tcPr>
                <w:p w14:paraId="377D722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昼间≤60dB（A）</w:t>
                  </w:r>
                </w:p>
              </w:tc>
            </w:tr>
            <w:tr w14:paraId="0C09DB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56" w:type="pct"/>
                  <w:noWrap w:val="0"/>
                  <w:vAlign w:val="center"/>
                </w:tcPr>
                <w:p w14:paraId="3B1E15D2">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东</w:t>
                  </w:r>
                  <w:r>
                    <w:rPr>
                      <w:rFonts w:hint="default" w:ascii="Times New Roman" w:hAnsi="Times New Roman" w:cs="Times New Roman"/>
                      <w:color w:val="auto"/>
                      <w:sz w:val="21"/>
                      <w:szCs w:val="21"/>
                      <w:highlight w:val="none"/>
                    </w:rPr>
                    <w:t>北厂界</w:t>
                  </w:r>
                </w:p>
              </w:tc>
              <w:tc>
                <w:tcPr>
                  <w:tcW w:w="1035" w:type="pct"/>
                  <w:noWrap w:val="0"/>
                  <w:vAlign w:val="center"/>
                </w:tcPr>
                <w:p w14:paraId="1367C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bidi="ar-SA"/>
                    </w:rPr>
                    <w:t>53</w:t>
                  </w:r>
                </w:p>
              </w:tc>
              <w:tc>
                <w:tcPr>
                  <w:tcW w:w="685" w:type="pct"/>
                  <w:noWrap w:val="0"/>
                  <w:vAlign w:val="center"/>
                </w:tcPr>
                <w:p w14:paraId="2876E9DE">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bidi="ar"/>
                    </w:rPr>
                    <w:t>50</w:t>
                  </w:r>
                </w:p>
              </w:tc>
              <w:tc>
                <w:tcPr>
                  <w:tcW w:w="969" w:type="pct"/>
                  <w:noWrap w:val="0"/>
                  <w:vAlign w:val="center"/>
                </w:tcPr>
                <w:p w14:paraId="668D5D75">
                  <w:pPr>
                    <w:keepNext w:val="0"/>
                    <w:keepLines w:val="0"/>
                    <w:pageBreakBefore w:val="0"/>
                    <w:widowControl/>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54.76</w:t>
                  </w:r>
                </w:p>
              </w:tc>
              <w:tc>
                <w:tcPr>
                  <w:tcW w:w="1452" w:type="pct"/>
                  <w:noWrap w:val="0"/>
                  <w:vAlign w:val="center"/>
                </w:tcPr>
                <w:p w14:paraId="3360EFA8">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昼间≤60dB（A）</w:t>
                  </w:r>
                </w:p>
              </w:tc>
            </w:tr>
          </w:tbl>
          <w:p w14:paraId="7E3F68BA">
            <w:pPr>
              <w:spacing w:before="156" w:beforeLines="50"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根据上表可知</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项目厂界噪声昼间和夜间均满足《工业企业厂界环境噪声排放标准》（GB12348-2008）中的</w:t>
            </w:r>
            <w:r>
              <w:rPr>
                <w:rFonts w:hint="default" w:ascii="Times New Roman" w:hAnsi="Times New Roman" w:cs="Times New Roman"/>
                <w:color w:val="auto"/>
                <w:sz w:val="24"/>
                <w:szCs w:val="24"/>
                <w:highlight w:val="none"/>
                <w:lang w:val="en-US" w:eastAsia="zh-CN"/>
              </w:rPr>
              <w:t>2类</w:t>
            </w:r>
            <w:r>
              <w:rPr>
                <w:rFonts w:hint="default" w:ascii="Times New Roman" w:hAnsi="Times New Roman" w:eastAsia="宋体" w:cs="Times New Roman"/>
                <w:color w:val="auto"/>
                <w:sz w:val="24"/>
                <w:szCs w:val="24"/>
                <w:highlight w:val="none"/>
              </w:rPr>
              <w:t>标准</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对周围声环境影响较小。</w:t>
            </w:r>
          </w:p>
          <w:p w14:paraId="3FBC9306">
            <w:pPr>
              <w:overflowPunct w:val="0"/>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本项目已采取的噪声防治措施如下</w:t>
            </w:r>
            <w:r>
              <w:rPr>
                <w:rFonts w:hint="default" w:ascii="Times New Roman" w:hAnsi="Times New Roman" w:eastAsia="宋体" w:cs="Times New Roman"/>
                <w:color w:val="auto"/>
                <w:sz w:val="24"/>
                <w:highlight w:val="none"/>
                <w:lang w:eastAsia="zh-CN"/>
              </w:rPr>
              <w:t>：</w:t>
            </w:r>
          </w:p>
          <w:p w14:paraId="77CB8513">
            <w:pPr>
              <w:overflowPunct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（1）在满足工艺的前提下</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尽可能选择功率小、噪声低的设备。</w:t>
            </w:r>
          </w:p>
          <w:p w14:paraId="32B9337D">
            <w:pPr>
              <w:overflowPunct w:val="0"/>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（2）在设备布置时考虑地形、声源方向性和噪声强弱等因素</w:t>
            </w:r>
            <w:r>
              <w:rPr>
                <w:rFonts w:hint="default" w:ascii="Times New Roman" w:hAnsi="Times New Roman" w:cs="Times New Roman"/>
                <w:color w:val="auto"/>
                <w:sz w:val="24"/>
                <w:highlight w:val="none"/>
                <w:lang w:eastAsia="zh-CN"/>
              </w:rPr>
              <w:t>，</w:t>
            </w:r>
            <w:r>
              <w:rPr>
                <w:rFonts w:hint="default" w:ascii="Times New Roman" w:hAnsi="Times New Roman" w:eastAsia="宋体" w:cs="Times New Roman"/>
                <w:color w:val="auto"/>
                <w:sz w:val="24"/>
                <w:highlight w:val="none"/>
              </w:rPr>
              <w:t>进行合理布局以进一步降低厂界噪声。</w:t>
            </w:r>
          </w:p>
          <w:p w14:paraId="586D70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auto"/>
              <w:outlineLvl w:val="9"/>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highlight w:val="none"/>
              </w:rPr>
              <w:t>（3）对</w:t>
            </w:r>
            <w:r>
              <w:rPr>
                <w:rFonts w:hint="default" w:ascii="Times New Roman" w:hAnsi="Times New Roman" w:eastAsia="宋体" w:cs="Times New Roman"/>
                <w:color w:val="auto"/>
                <w:sz w:val="24"/>
                <w:highlight w:val="none"/>
                <w:lang w:eastAsia="zh-CN"/>
              </w:rPr>
              <w:t>设备</w:t>
            </w:r>
            <w:r>
              <w:rPr>
                <w:rFonts w:hint="default" w:ascii="Times New Roman" w:hAnsi="Times New Roman" w:eastAsia="宋体" w:cs="Times New Roman"/>
                <w:color w:val="auto"/>
                <w:sz w:val="24"/>
                <w:highlight w:val="none"/>
              </w:rPr>
              <w:t>加</w:t>
            </w:r>
            <w:r>
              <w:rPr>
                <w:rFonts w:hint="default" w:ascii="Times New Roman" w:hAnsi="Times New Roman" w:eastAsia="宋体" w:cs="Times New Roman"/>
                <w:color w:val="auto"/>
                <w:sz w:val="24"/>
                <w:szCs w:val="24"/>
                <w:highlight w:val="none"/>
              </w:rPr>
              <w:t>强</w:t>
            </w:r>
            <w:r>
              <w:rPr>
                <w:rFonts w:hint="default" w:ascii="Times New Roman" w:hAnsi="Times New Roman" w:eastAsia="宋体" w:cs="Times New Roman"/>
                <w:color w:val="auto"/>
                <w:sz w:val="24"/>
                <w:szCs w:val="24"/>
                <w:highlight w:val="none"/>
                <w:lang w:eastAsia="zh-CN"/>
              </w:rPr>
              <w:t>减振</w:t>
            </w:r>
            <w:r>
              <w:rPr>
                <w:rFonts w:hint="default" w:ascii="Times New Roman" w:hAnsi="Times New Roman" w:eastAsia="宋体" w:cs="Times New Roman"/>
                <w:color w:val="auto"/>
                <w:sz w:val="24"/>
                <w:szCs w:val="24"/>
                <w:highlight w:val="none"/>
              </w:rPr>
              <w:t>处理措施</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并加强厂区管理</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降低噪声的影响。</w:t>
            </w:r>
          </w:p>
          <w:p w14:paraId="07E7F5A5">
            <w:pPr>
              <w:pStyle w:val="46"/>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rPr>
              <w:t>建设单位应</w:t>
            </w:r>
            <w:r>
              <w:rPr>
                <w:rFonts w:hint="default" w:ascii="Times New Roman" w:hAnsi="Times New Roman" w:eastAsia="宋体" w:cs="Times New Roman"/>
                <w:snapToGrid/>
                <w:color w:val="auto"/>
                <w:kern w:val="2"/>
                <w:sz w:val="24"/>
                <w:szCs w:val="24"/>
                <w:highlight w:val="none"/>
                <w:lang w:val="en-US" w:eastAsia="zh-CN" w:bidi="ar-SA"/>
              </w:rPr>
              <w:t>定期巡检各生产设备运行情况，发现环境问题及时消除隐患，维持区域较好的声环境质量现状。</w:t>
            </w:r>
          </w:p>
          <w:p w14:paraId="0008F095">
            <w:pPr>
              <w:keepNext w:val="0"/>
              <w:keepLines w:val="0"/>
              <w:pageBreakBefore w:val="0"/>
              <w:widowControl w:val="0"/>
              <w:kinsoku/>
              <w:wordWrap/>
              <w:overflowPunct/>
              <w:topLinePunct w:val="0"/>
              <w:autoSpaceDE/>
              <w:autoSpaceDN/>
              <w:bidi w:val="0"/>
              <w:spacing w:line="360" w:lineRule="auto"/>
              <w:ind w:right="0"/>
              <w:textAlignment w:val="auto"/>
              <w:rPr>
                <w:rFonts w:hint="default" w:ascii="Times New Roman" w:hAnsi="Times New Roman" w:eastAsia="宋体" w:cs="Times New Roman"/>
                <w:b/>
                <w:bCs/>
                <w:snapToGrid/>
                <w:color w:val="auto"/>
                <w:kern w:val="2"/>
                <w:sz w:val="24"/>
                <w:szCs w:val="24"/>
                <w:highlight w:val="none"/>
                <w:lang w:val="en-US" w:eastAsia="zh-CN" w:bidi="ar-SA"/>
              </w:rPr>
            </w:pPr>
            <w:r>
              <w:rPr>
                <w:rFonts w:hint="default" w:ascii="Times New Roman" w:hAnsi="Times New Roman" w:eastAsia="宋体" w:cs="Times New Roman"/>
                <w:b/>
                <w:bCs/>
                <w:snapToGrid/>
                <w:color w:val="auto"/>
                <w:kern w:val="2"/>
                <w:sz w:val="24"/>
                <w:szCs w:val="24"/>
                <w:highlight w:val="none"/>
                <w:lang w:val="en-US" w:eastAsia="zh-CN" w:bidi="ar-SA"/>
              </w:rPr>
              <w:t>3.3噪声影响分析及防治措施</w:t>
            </w:r>
          </w:p>
          <w:p w14:paraId="13286870">
            <w:pPr>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为有效减少生产设备对厂区职工的影响，建议建设方采取如下措施：</w:t>
            </w:r>
          </w:p>
          <w:p w14:paraId="410C1867">
            <w:pPr>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（1）在设备选型时优先选择高效、低噪声设备，做好设备的安装调试， 同时加强营运期间对各种机械的维修保养，保持其良好的运行效果；</w:t>
            </w:r>
          </w:p>
          <w:p w14:paraId="2FD0D7F3">
            <w:pPr>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（2）车间内高噪声设备合理分布，避免集中放置。</w:t>
            </w:r>
          </w:p>
          <w:p w14:paraId="42E94D2A">
            <w:pPr>
              <w:keepNext w:val="0"/>
              <w:keepLines w:val="0"/>
              <w:pageBreakBefore w:val="0"/>
              <w:widowControl w:val="0"/>
              <w:kinsoku/>
              <w:wordWrap/>
              <w:overflowPunct/>
              <w:topLinePunct w:val="0"/>
              <w:autoSpaceDE/>
              <w:autoSpaceDN/>
              <w:bidi w:val="0"/>
              <w:spacing w:line="360" w:lineRule="auto"/>
              <w:ind w:left="0" w:right="0" w:firstLine="480" w:firstLineChars="200"/>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（3）建议建设单位合理安排工序，避免高噪声设备同时使用，把噪声影 响降低在最低限度；</w:t>
            </w:r>
          </w:p>
          <w:p w14:paraId="7ABD6568">
            <w:pPr>
              <w:keepNext w:val="0"/>
              <w:keepLines w:val="0"/>
              <w:pageBreakBefore w:val="0"/>
              <w:widowControl w:val="0"/>
              <w:kinsoku/>
              <w:wordWrap/>
              <w:overflowPunct/>
              <w:topLinePunct w:val="0"/>
              <w:autoSpaceDE/>
              <w:autoSpaceDN/>
              <w:bidi w:val="0"/>
              <w:spacing w:line="360" w:lineRule="auto"/>
              <w:ind w:left="0" w:right="0" w:firstLine="480" w:firstLineChars="200"/>
              <w:jc w:val="both"/>
              <w:textAlignment w:val="auto"/>
              <w:rPr>
                <w:rFonts w:hint="default" w:ascii="Times New Roman" w:hAnsi="Times New Roman" w:eastAsia="宋体" w:cs="Times New Roman"/>
                <w:snapToGrid/>
                <w:color w:val="auto"/>
                <w:kern w:val="2"/>
                <w:sz w:val="24"/>
                <w:szCs w:val="24"/>
                <w:highlight w:val="none"/>
                <w:lang w:val="en-US" w:eastAsia="zh-CN" w:bidi="ar-SA"/>
              </w:rPr>
            </w:pPr>
            <w:r>
              <w:rPr>
                <w:rFonts w:hint="default" w:ascii="Times New Roman" w:hAnsi="Times New Roman" w:eastAsia="宋体" w:cs="Times New Roman"/>
                <w:snapToGrid/>
                <w:color w:val="auto"/>
                <w:kern w:val="2"/>
                <w:sz w:val="24"/>
                <w:szCs w:val="24"/>
                <w:highlight w:val="none"/>
                <w:lang w:val="en-US" w:eastAsia="zh-CN" w:bidi="ar-SA"/>
              </w:rPr>
              <w:t>本项目生产设备均安装于室内，通过对高产噪设备采取减振、隔声措施 以及墙体隔声、距离衰减后厂界噪声排放能够达到《工业企业厂界环境噪声 排放标准》（GB12348-2008）中的 3 类标准的要求。因此，生产车间内的噪 声对周围声环境影响较小。</w:t>
            </w:r>
          </w:p>
          <w:p w14:paraId="0F2AE737">
            <w:pPr>
              <w:spacing w:line="360" w:lineRule="auto"/>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3.</w:t>
            </w:r>
            <w:r>
              <w:rPr>
                <w:rFonts w:hint="default" w:ascii="Times New Roman" w:hAnsi="Times New Roman" w:cs="Times New Roman"/>
                <w:b/>
                <w:bCs/>
                <w:color w:val="auto"/>
                <w:sz w:val="24"/>
                <w:highlight w:val="none"/>
                <w:lang w:val="en-US" w:eastAsia="zh-CN"/>
              </w:rPr>
              <w:t>4</w:t>
            </w:r>
            <w:r>
              <w:rPr>
                <w:rFonts w:hint="default" w:ascii="Times New Roman" w:hAnsi="Times New Roman" w:cs="Times New Roman"/>
                <w:b/>
                <w:bCs/>
                <w:color w:val="auto"/>
                <w:sz w:val="24"/>
                <w:highlight w:val="none"/>
              </w:rPr>
              <w:t>噪声监测计划</w:t>
            </w:r>
          </w:p>
          <w:p w14:paraId="0DBBFE03">
            <w:pPr>
              <w:spacing w:line="36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根据《排污单位自行监测技术指南》</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rPr>
              <w:t>本项目环境噪声监测方案见表</w:t>
            </w:r>
            <w:r>
              <w:rPr>
                <w:rFonts w:hint="default" w:ascii="Times New Roman" w:hAnsi="Times New Roman" w:cs="Times New Roman"/>
                <w:color w:val="auto"/>
                <w:sz w:val="24"/>
                <w:highlight w:val="none"/>
                <w:lang w:val="en-US" w:eastAsia="zh-CN"/>
              </w:rPr>
              <w:t>4-6</w:t>
            </w:r>
            <w:r>
              <w:rPr>
                <w:rFonts w:hint="default" w:ascii="Times New Roman" w:hAnsi="Times New Roman" w:cs="Times New Roman"/>
                <w:color w:val="auto"/>
                <w:sz w:val="24"/>
                <w:highlight w:val="none"/>
              </w:rPr>
              <w:t>。</w:t>
            </w:r>
          </w:p>
          <w:p w14:paraId="0DD693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val="0"/>
                <w:color w:val="auto"/>
                <w:sz w:val="21"/>
                <w:szCs w:val="21"/>
                <w:highlight w:val="none"/>
              </w:rPr>
            </w:pPr>
            <w:r>
              <w:rPr>
                <w:rFonts w:hint="default" w:ascii="Times New Roman" w:hAnsi="Times New Roman" w:eastAsia="黑体" w:cs="Times New Roman"/>
                <w:b w:val="0"/>
                <w:bCs w:val="0"/>
                <w:color w:val="auto"/>
                <w:sz w:val="21"/>
                <w:szCs w:val="21"/>
                <w:highlight w:val="none"/>
              </w:rPr>
              <w:t>表</w:t>
            </w:r>
            <w:r>
              <w:rPr>
                <w:rFonts w:hint="default" w:ascii="Times New Roman" w:hAnsi="Times New Roman" w:eastAsia="黑体" w:cs="Times New Roman"/>
                <w:b w:val="0"/>
                <w:bCs w:val="0"/>
                <w:color w:val="auto"/>
                <w:sz w:val="21"/>
                <w:szCs w:val="21"/>
                <w:highlight w:val="none"/>
                <w:lang w:val="en-US" w:eastAsia="zh-CN"/>
              </w:rPr>
              <w:t>4-8</w:t>
            </w:r>
            <w:r>
              <w:rPr>
                <w:rFonts w:hint="default" w:ascii="Times New Roman" w:hAnsi="Times New Roman" w:eastAsia="黑体" w:cs="Times New Roman"/>
                <w:b w:val="0"/>
                <w:bCs w:val="0"/>
                <w:color w:val="auto"/>
                <w:sz w:val="21"/>
                <w:szCs w:val="21"/>
                <w:highlight w:val="none"/>
              </w:rPr>
              <w:t>项目运营期噪声监测计划</w:t>
            </w:r>
          </w:p>
          <w:tbl>
            <w:tblPr>
              <w:tblStyle w:val="2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814"/>
              <w:gridCol w:w="1507"/>
              <w:gridCol w:w="1219"/>
              <w:gridCol w:w="1687"/>
            </w:tblGrid>
            <w:tr w14:paraId="06CCD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8" w:type="pct"/>
                  <w:tcBorders>
                    <w:top w:val="single" w:color="auto" w:sz="12" w:space="0"/>
                    <w:left w:val="nil"/>
                    <w:bottom w:val="single" w:color="auto" w:sz="12" w:space="0"/>
                    <w:right w:val="single" w:color="auto" w:sz="4" w:space="0"/>
                  </w:tcBorders>
                  <w:noWrap w:val="0"/>
                  <w:vAlign w:val="center"/>
                </w:tcPr>
                <w:p w14:paraId="30C7D9E0">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类别</w:t>
                  </w:r>
                </w:p>
              </w:tc>
              <w:tc>
                <w:tcPr>
                  <w:tcW w:w="1218" w:type="pct"/>
                  <w:tcBorders>
                    <w:top w:val="single" w:color="auto" w:sz="12" w:space="0"/>
                    <w:left w:val="single" w:color="auto" w:sz="4" w:space="0"/>
                    <w:bottom w:val="single" w:color="auto" w:sz="12" w:space="0"/>
                    <w:right w:val="single" w:color="auto" w:sz="4" w:space="0"/>
                  </w:tcBorders>
                  <w:noWrap w:val="0"/>
                  <w:vAlign w:val="center"/>
                </w:tcPr>
                <w:p w14:paraId="74ADB9CC">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监测位置</w:t>
                  </w:r>
                </w:p>
              </w:tc>
              <w:tc>
                <w:tcPr>
                  <w:tcW w:w="1012" w:type="pct"/>
                  <w:tcBorders>
                    <w:top w:val="single" w:color="auto" w:sz="12" w:space="0"/>
                    <w:left w:val="single" w:color="auto" w:sz="4" w:space="0"/>
                    <w:bottom w:val="single" w:color="auto" w:sz="12" w:space="0"/>
                    <w:right w:val="single" w:color="auto" w:sz="4" w:space="0"/>
                  </w:tcBorders>
                  <w:noWrap w:val="0"/>
                  <w:vAlign w:val="center"/>
                </w:tcPr>
                <w:p w14:paraId="04984683">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监测项目</w:t>
                  </w:r>
                </w:p>
              </w:tc>
              <w:tc>
                <w:tcPr>
                  <w:tcW w:w="818" w:type="pct"/>
                  <w:tcBorders>
                    <w:top w:val="single" w:color="auto" w:sz="12" w:space="0"/>
                    <w:left w:val="single" w:color="auto" w:sz="4" w:space="0"/>
                    <w:bottom w:val="single" w:color="auto" w:sz="12" w:space="0"/>
                    <w:right w:val="single" w:color="auto" w:sz="4" w:space="0"/>
                  </w:tcBorders>
                  <w:noWrap w:val="0"/>
                  <w:vAlign w:val="center"/>
                </w:tcPr>
                <w:p w14:paraId="4E9A8402">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监测频率</w:t>
                  </w:r>
                </w:p>
              </w:tc>
              <w:tc>
                <w:tcPr>
                  <w:tcW w:w="1132" w:type="pct"/>
                  <w:tcBorders>
                    <w:top w:val="single" w:color="auto" w:sz="12" w:space="0"/>
                    <w:left w:val="single" w:color="auto" w:sz="4" w:space="0"/>
                    <w:bottom w:val="single" w:color="auto" w:sz="12" w:space="0"/>
                    <w:right w:val="nil"/>
                  </w:tcBorders>
                  <w:noWrap w:val="0"/>
                  <w:vAlign w:val="center"/>
                </w:tcPr>
                <w:p w14:paraId="33B0F5A1">
                  <w:pPr>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实施单位</w:t>
                  </w:r>
                </w:p>
              </w:tc>
            </w:tr>
            <w:tr w14:paraId="4A004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18" w:type="pct"/>
                  <w:tcBorders>
                    <w:top w:val="single" w:color="auto" w:sz="12" w:space="0"/>
                    <w:left w:val="nil"/>
                    <w:bottom w:val="single" w:color="auto" w:sz="12" w:space="0"/>
                    <w:right w:val="single" w:color="auto" w:sz="4" w:space="0"/>
                  </w:tcBorders>
                  <w:noWrap w:val="0"/>
                  <w:vAlign w:val="center"/>
                </w:tcPr>
                <w:p w14:paraId="236596C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厂界监测</w:t>
                  </w:r>
                </w:p>
              </w:tc>
              <w:tc>
                <w:tcPr>
                  <w:tcW w:w="1218" w:type="pct"/>
                  <w:tcBorders>
                    <w:top w:val="single" w:color="auto" w:sz="12" w:space="0"/>
                    <w:left w:val="single" w:color="auto" w:sz="4" w:space="0"/>
                    <w:bottom w:val="single" w:color="auto" w:sz="12" w:space="0"/>
                    <w:right w:val="single" w:color="auto" w:sz="4" w:space="0"/>
                  </w:tcBorders>
                  <w:noWrap w:val="0"/>
                  <w:vAlign w:val="center"/>
                </w:tcPr>
                <w:p w14:paraId="154F80F1">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厂界四周外1m</w:t>
                  </w:r>
                </w:p>
              </w:tc>
              <w:tc>
                <w:tcPr>
                  <w:tcW w:w="1012" w:type="pct"/>
                  <w:tcBorders>
                    <w:top w:val="single" w:color="auto" w:sz="12" w:space="0"/>
                    <w:left w:val="single" w:color="auto" w:sz="4" w:space="0"/>
                    <w:bottom w:val="single" w:color="auto" w:sz="12" w:space="0"/>
                    <w:right w:val="single" w:color="auto" w:sz="4" w:space="0"/>
                  </w:tcBorders>
                  <w:noWrap w:val="0"/>
                  <w:vAlign w:val="center"/>
                </w:tcPr>
                <w:p w14:paraId="1A1A5A1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等效A声级</w:t>
                  </w:r>
                </w:p>
              </w:tc>
              <w:tc>
                <w:tcPr>
                  <w:tcW w:w="818" w:type="pct"/>
                  <w:tcBorders>
                    <w:top w:val="single" w:color="auto" w:sz="12" w:space="0"/>
                    <w:left w:val="single" w:color="auto" w:sz="4" w:space="0"/>
                    <w:bottom w:val="single" w:color="auto" w:sz="12" w:space="0"/>
                    <w:right w:val="single" w:color="auto" w:sz="4" w:space="0"/>
                  </w:tcBorders>
                  <w:noWrap w:val="0"/>
                  <w:vAlign w:val="center"/>
                </w:tcPr>
                <w:p w14:paraId="1019ED0C">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次/年</w:t>
                  </w:r>
                </w:p>
              </w:tc>
              <w:tc>
                <w:tcPr>
                  <w:tcW w:w="1132" w:type="pct"/>
                  <w:tcBorders>
                    <w:top w:val="single" w:color="auto" w:sz="12" w:space="0"/>
                    <w:left w:val="single" w:color="auto" w:sz="4" w:space="0"/>
                    <w:bottom w:val="single" w:color="auto" w:sz="12" w:space="0"/>
                    <w:right w:val="nil"/>
                  </w:tcBorders>
                  <w:noWrap w:val="0"/>
                  <w:vAlign w:val="center"/>
                </w:tcPr>
                <w:p w14:paraId="655D9FC8">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企业自行委托</w:t>
                  </w:r>
                </w:p>
              </w:tc>
            </w:tr>
          </w:tbl>
          <w:p w14:paraId="6949F3F0">
            <w:pPr>
              <w:keepNext w:val="0"/>
              <w:keepLines w:val="0"/>
              <w:pageBreakBefore w:val="0"/>
              <w:widowControl w:val="0"/>
              <w:kinsoku/>
              <w:wordWrap/>
              <w:overflowPunct w:val="0"/>
              <w:autoSpaceDE/>
              <w:autoSpaceDN/>
              <w:bidi w:val="0"/>
              <w:adjustRightInd/>
              <w:snapToGrid/>
              <w:spacing w:line="360" w:lineRule="auto"/>
              <w:contextualSpacing/>
              <w:textAlignment w:val="auto"/>
              <w:rPr>
                <w:rFonts w:hint="default" w:ascii="Times New Roman" w:hAnsi="Times New Roman" w:cs="Times New Roman"/>
                <w:bCs/>
                <w:snapToGrid w:val="0"/>
                <w:color w:val="auto"/>
                <w:sz w:val="24"/>
                <w:szCs w:val="24"/>
                <w:highlight w:val="none"/>
              </w:rPr>
            </w:pPr>
            <w:r>
              <w:rPr>
                <w:rFonts w:hint="default" w:ascii="Times New Roman" w:hAnsi="Times New Roman" w:cs="Times New Roman"/>
                <w:b/>
                <w:snapToGrid w:val="0"/>
                <w:color w:val="auto"/>
                <w:sz w:val="24"/>
                <w:szCs w:val="24"/>
                <w:highlight w:val="none"/>
                <w:lang w:val="en-US" w:eastAsia="zh-CN"/>
              </w:rPr>
              <w:t>4.</w:t>
            </w:r>
            <w:r>
              <w:rPr>
                <w:rFonts w:hint="default" w:ascii="Times New Roman" w:hAnsi="Times New Roman" w:cs="Times New Roman"/>
                <w:b/>
                <w:color w:val="auto"/>
                <w:sz w:val="24"/>
                <w:szCs w:val="24"/>
                <w:highlight w:val="none"/>
              </w:rPr>
              <w:t>运营期固废</w:t>
            </w:r>
            <w:r>
              <w:rPr>
                <w:rFonts w:hint="default" w:ascii="Times New Roman" w:hAnsi="Times New Roman" w:cs="Times New Roman"/>
                <w:b/>
                <w:bCs/>
                <w:snapToGrid w:val="0"/>
                <w:color w:val="auto"/>
                <w:sz w:val="24"/>
                <w:szCs w:val="24"/>
                <w:highlight w:val="none"/>
              </w:rPr>
              <w:t>污染</w:t>
            </w:r>
            <w:r>
              <w:rPr>
                <w:rFonts w:hint="default" w:ascii="Times New Roman" w:hAnsi="Times New Roman" w:cs="Times New Roman"/>
                <w:b/>
                <w:snapToGrid w:val="0"/>
                <w:color w:val="auto"/>
                <w:sz w:val="24"/>
                <w:szCs w:val="24"/>
                <w:highlight w:val="none"/>
              </w:rPr>
              <w:t>物</w:t>
            </w:r>
          </w:p>
          <w:p w14:paraId="15ED0299">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5"/>
                <w:sz w:val="24"/>
                <w:szCs w:val="24"/>
                <w:highlight w:val="none"/>
              </w:rPr>
              <w:t>4.</w:t>
            </w:r>
            <w:r>
              <w:rPr>
                <w:rFonts w:hint="default" w:ascii="Times New Roman" w:hAnsi="Times New Roman" w:eastAsia="宋体" w:cs="Times New Roman"/>
                <w:b/>
                <w:bCs/>
                <w:color w:val="auto"/>
                <w:spacing w:val="-5"/>
                <w:sz w:val="24"/>
                <w:szCs w:val="24"/>
                <w:highlight w:val="none"/>
              </w:rPr>
              <w:t>固体废物影响分析</w:t>
            </w:r>
          </w:p>
          <w:p w14:paraId="29B9CF34">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4"/>
                <w:sz w:val="24"/>
                <w:szCs w:val="24"/>
                <w:highlight w:val="none"/>
              </w:rPr>
              <w:t>4.1</w:t>
            </w:r>
            <w:r>
              <w:rPr>
                <w:rFonts w:hint="default" w:ascii="Times New Roman" w:hAnsi="Times New Roman" w:eastAsia="宋体" w:cs="Times New Roman"/>
                <w:b/>
                <w:bCs/>
                <w:color w:val="auto"/>
                <w:spacing w:val="-4"/>
                <w:sz w:val="24"/>
                <w:szCs w:val="24"/>
                <w:highlight w:val="none"/>
              </w:rPr>
              <w:t>固体废物产生及处置情况</w:t>
            </w:r>
          </w:p>
          <w:p w14:paraId="65595C1D">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项目产生的固体废物主要为生活垃圾、一般工业固废（不合</w:t>
            </w:r>
            <w:r>
              <w:rPr>
                <w:rFonts w:hint="default" w:ascii="Times New Roman" w:hAnsi="Times New Roman" w:eastAsia="宋体" w:cs="Times New Roman"/>
                <w:color w:val="auto"/>
                <w:sz w:val="24"/>
                <w:szCs w:val="24"/>
                <w:highlight w:val="none"/>
              </w:rPr>
              <w:t>格产品、废</w:t>
            </w:r>
            <w:r>
              <w:rPr>
                <w:rFonts w:hint="default" w:ascii="Times New Roman" w:hAnsi="Times New Roman" w:eastAsia="宋体" w:cs="Times New Roman"/>
                <w:color w:val="auto"/>
                <w:spacing w:val="-1"/>
                <w:sz w:val="24"/>
                <w:szCs w:val="24"/>
                <w:highlight w:val="none"/>
              </w:rPr>
              <w:t>包装材料）和危险废物（废活性炭、废催化剂、废机油）。</w:t>
            </w:r>
          </w:p>
          <w:p w14:paraId="33A283C4">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1</w:t>
            </w:r>
            <w:r>
              <w:rPr>
                <w:rFonts w:hint="default" w:ascii="Times New Roman" w:hAnsi="Times New Roman" w:eastAsia="宋体" w:cs="Times New Roman"/>
                <w:color w:val="auto"/>
                <w:spacing w:val="-3"/>
                <w:sz w:val="24"/>
                <w:szCs w:val="24"/>
                <w:highlight w:val="none"/>
              </w:rPr>
              <w:t>）生活垃圾</w:t>
            </w:r>
          </w:p>
          <w:p w14:paraId="39E75030">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1"/>
                <w:sz w:val="24"/>
                <w:szCs w:val="24"/>
                <w:highlight w:val="none"/>
              </w:rPr>
              <w:t>项目</w:t>
            </w:r>
            <w:r>
              <w:rPr>
                <w:rFonts w:hint="default" w:ascii="Times New Roman" w:hAnsi="Times New Roman" w:cs="Times New Roman"/>
                <w:color w:val="auto"/>
                <w:spacing w:val="-1"/>
                <w:sz w:val="24"/>
                <w:szCs w:val="24"/>
                <w:highlight w:val="none"/>
                <w:lang w:val="en-US" w:eastAsia="zh-CN"/>
              </w:rPr>
              <w:t>不新增劳动定员，不新增生活垃圾</w:t>
            </w:r>
          </w:p>
          <w:p w14:paraId="3A3A2ABF">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2</w:t>
            </w:r>
            <w:r>
              <w:rPr>
                <w:rFonts w:hint="default" w:ascii="Times New Roman" w:hAnsi="Times New Roman" w:eastAsia="宋体" w:cs="Times New Roman"/>
                <w:color w:val="auto"/>
                <w:spacing w:val="-3"/>
                <w:sz w:val="24"/>
                <w:szCs w:val="24"/>
                <w:highlight w:val="none"/>
              </w:rPr>
              <w:t>）一般固废</w:t>
            </w:r>
          </w:p>
          <w:p w14:paraId="1D1DE2EA">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①不合格产品</w:t>
            </w:r>
          </w:p>
          <w:p w14:paraId="20CDE298">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项目检测工序中会检测出少量的裂纹、厚度不达标的不合格</w:t>
            </w:r>
            <w:r>
              <w:rPr>
                <w:rFonts w:hint="default" w:ascii="Times New Roman" w:hAnsi="Times New Roman" w:eastAsia="宋体" w:cs="Times New Roman"/>
                <w:color w:val="auto"/>
                <w:sz w:val="24"/>
                <w:szCs w:val="24"/>
                <w:highlight w:val="none"/>
              </w:rPr>
              <w:t>产品，根据</w:t>
            </w:r>
            <w:r>
              <w:rPr>
                <w:rFonts w:hint="default" w:ascii="Times New Roman" w:hAnsi="Times New Roman" w:eastAsia="宋体" w:cs="Times New Roman"/>
                <w:color w:val="auto"/>
                <w:spacing w:val="-3"/>
                <w:sz w:val="24"/>
                <w:szCs w:val="24"/>
                <w:highlight w:val="none"/>
              </w:rPr>
              <w:t>建设单位提供的资料，不合格产品的产生量约为</w:t>
            </w:r>
            <w:r>
              <w:rPr>
                <w:rFonts w:hint="default" w:ascii="Times New Roman" w:hAnsi="Times New Roman" w:eastAsia="Times New Roman" w:cs="Times New Roman"/>
                <w:color w:val="auto"/>
                <w:spacing w:val="-3"/>
                <w:sz w:val="24"/>
                <w:szCs w:val="24"/>
                <w:highlight w:val="none"/>
              </w:rPr>
              <w:t>5t/a</w:t>
            </w:r>
            <w:r>
              <w:rPr>
                <w:rFonts w:hint="default" w:ascii="Times New Roman" w:hAnsi="Times New Roman" w:eastAsia="宋体" w:cs="Times New Roman"/>
                <w:color w:val="auto"/>
                <w:spacing w:val="-3"/>
                <w:sz w:val="24"/>
                <w:szCs w:val="24"/>
                <w:highlight w:val="none"/>
              </w:rPr>
              <w:t>，不合格产品集中收集后回用于生产。</w:t>
            </w:r>
          </w:p>
          <w:p w14:paraId="7A13CFD5">
            <w:pPr>
              <w:keepNext w:val="0"/>
              <w:keepLines w:val="0"/>
              <w:pageBreakBefore w:val="0"/>
              <w:widowControl/>
              <w:kinsoku w:val="0"/>
              <w:wordWrap/>
              <w:overflowPunct/>
              <w:topLinePunct w:val="0"/>
              <w:autoSpaceDE w:val="0"/>
              <w:autoSpaceDN w:val="0"/>
              <w:bidi w:val="0"/>
              <w:snapToGrid w:val="0"/>
              <w:spacing w:line="360" w:lineRule="auto"/>
              <w:ind w:left="0" w:right="0" w:firstLine="48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②废包装材料</w:t>
            </w:r>
          </w:p>
          <w:p w14:paraId="4C251475">
            <w:pPr>
              <w:keepNext w:val="0"/>
              <w:keepLines w:val="0"/>
              <w:pageBreakBefore w:val="0"/>
              <w:widowControl/>
              <w:kinsoku w:val="0"/>
              <w:wordWrap/>
              <w:overflowPunct/>
              <w:topLinePunct w:val="0"/>
              <w:autoSpaceDE w:val="0"/>
              <w:autoSpaceDN w:val="0"/>
              <w:bidi w:val="0"/>
              <w:snapToGrid w:val="0"/>
              <w:spacing w:line="360" w:lineRule="auto"/>
              <w:ind w:left="0" w:right="0" w:firstLine="512" w:firstLineChars="200"/>
              <w:textAlignment w:val="baseline"/>
              <w:rPr>
                <w:rFonts w:hint="default" w:ascii="Times New Roman" w:hAnsi="Times New Roman" w:eastAsia="宋体" w:cs="Times New Roman"/>
                <w:color w:val="auto"/>
                <w:spacing w:val="8"/>
                <w:sz w:val="24"/>
                <w:szCs w:val="24"/>
                <w:highlight w:val="none"/>
              </w:rPr>
            </w:pPr>
            <w:r>
              <w:rPr>
                <w:rFonts w:hint="default" w:ascii="Times New Roman" w:hAnsi="Times New Roman" w:eastAsia="宋体" w:cs="Times New Roman"/>
                <w:color w:val="auto"/>
                <w:spacing w:val="8"/>
                <w:sz w:val="24"/>
                <w:szCs w:val="24"/>
                <w:highlight w:val="none"/>
              </w:rPr>
              <w:t>废包装材料主要来自生产原料聚乙烯颗粒、添加剂使用后产生的废弃</w:t>
            </w:r>
            <w:r>
              <w:rPr>
                <w:rFonts w:hint="default" w:ascii="Times New Roman" w:hAnsi="Times New Roman" w:eastAsia="宋体" w:cs="Times New Roman"/>
                <w:color w:val="auto"/>
                <w:spacing w:val="-2"/>
                <w:sz w:val="24"/>
                <w:szCs w:val="24"/>
                <w:highlight w:val="none"/>
              </w:rPr>
              <w:t>包装</w:t>
            </w:r>
            <w:r>
              <w:rPr>
                <w:rFonts w:hint="default" w:ascii="Times New Roman" w:hAnsi="Times New Roman" w:eastAsia="宋体" w:cs="Times New Roman"/>
                <w:color w:val="auto"/>
                <w:spacing w:val="8"/>
                <w:sz w:val="24"/>
                <w:szCs w:val="24"/>
                <w:highlight w:val="none"/>
              </w:rPr>
              <w:t>袋，年产生量约为</w:t>
            </w:r>
            <w:r>
              <w:rPr>
                <w:rFonts w:hint="default" w:ascii="Times New Roman" w:hAnsi="Times New Roman" w:eastAsia="宋体" w:cs="Times New Roman"/>
                <w:color w:val="auto"/>
                <w:spacing w:val="8"/>
                <w:sz w:val="24"/>
                <w:szCs w:val="24"/>
                <w:highlight w:val="none"/>
                <w:lang w:val="en-US" w:eastAsia="zh-CN"/>
              </w:rPr>
              <w:t>5</w:t>
            </w:r>
            <w:r>
              <w:rPr>
                <w:rFonts w:hint="default" w:ascii="Times New Roman" w:hAnsi="Times New Roman" w:eastAsia="宋体" w:cs="Times New Roman"/>
                <w:color w:val="auto"/>
                <w:spacing w:val="8"/>
                <w:sz w:val="24"/>
                <w:szCs w:val="24"/>
                <w:highlight w:val="none"/>
              </w:rPr>
              <w:t>t/a，废包装材料集中收集后定期外售</w:t>
            </w:r>
          </w:p>
          <w:p w14:paraId="722D7AB1">
            <w:pPr>
              <w:keepNext w:val="0"/>
              <w:keepLines w:val="0"/>
              <w:pageBreakBefore w:val="0"/>
              <w:widowControl/>
              <w:kinsoku w:val="0"/>
              <w:wordWrap/>
              <w:overflowPunct/>
              <w:topLinePunct w:val="0"/>
              <w:autoSpaceDE w:val="0"/>
              <w:autoSpaceDN w:val="0"/>
              <w:bidi w:val="0"/>
              <w:snapToGrid w:val="0"/>
              <w:spacing w:line="360" w:lineRule="auto"/>
              <w:ind w:left="0" w:right="0" w:firstLine="512" w:firstLineChars="200"/>
              <w:textAlignment w:val="baseline"/>
              <w:rPr>
                <w:rFonts w:hint="default" w:ascii="Times New Roman" w:hAnsi="Times New Roman" w:eastAsia="宋体" w:cs="Times New Roman"/>
                <w:color w:val="auto"/>
                <w:spacing w:val="8"/>
                <w:sz w:val="24"/>
                <w:szCs w:val="24"/>
                <w:highlight w:val="none"/>
                <w:lang w:val="en-US" w:eastAsia="zh-CN"/>
              </w:rPr>
            </w:pPr>
            <w:r>
              <w:rPr>
                <w:rFonts w:hint="default" w:ascii="Times New Roman" w:hAnsi="Times New Roman" w:eastAsia="宋体" w:cs="Times New Roman"/>
                <w:color w:val="auto"/>
                <w:spacing w:val="8"/>
                <w:sz w:val="24"/>
                <w:szCs w:val="24"/>
                <w:highlight w:val="none"/>
                <w:lang w:val="en-US" w:eastAsia="zh-CN"/>
              </w:rPr>
              <w:t>③沉淀池底泥</w:t>
            </w:r>
          </w:p>
          <w:p w14:paraId="142CD8EC">
            <w:pPr>
              <w:keepNext w:val="0"/>
              <w:keepLines w:val="0"/>
              <w:pageBreakBefore w:val="0"/>
              <w:widowControl/>
              <w:kinsoku w:val="0"/>
              <w:wordWrap/>
              <w:overflowPunct/>
              <w:topLinePunct w:val="0"/>
              <w:autoSpaceDE w:val="0"/>
              <w:autoSpaceDN w:val="0"/>
              <w:bidi w:val="0"/>
              <w:snapToGrid w:val="0"/>
              <w:spacing w:line="360" w:lineRule="auto"/>
              <w:ind w:left="0" w:right="0" w:firstLine="512" w:firstLineChars="200"/>
              <w:textAlignment w:val="baseline"/>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cs="Times New Roman"/>
                <w:color w:val="auto"/>
                <w:spacing w:val="8"/>
                <w:sz w:val="24"/>
                <w:szCs w:val="24"/>
                <w:highlight w:val="none"/>
                <w:lang w:val="en-US" w:eastAsia="zh-CN"/>
              </w:rPr>
              <w:t>本项目</w:t>
            </w:r>
            <w:r>
              <w:rPr>
                <w:rFonts w:hint="default" w:ascii="Times New Roman" w:hAnsi="Times New Roman" w:eastAsia="宋体" w:cs="Times New Roman"/>
                <w:color w:val="auto"/>
                <w:spacing w:val="1"/>
                <w:sz w:val="24"/>
                <w:szCs w:val="24"/>
                <w:highlight w:val="none"/>
              </w:rPr>
              <w:t>生产废水经三级沉淀池沉淀后循环使用不外排</w:t>
            </w:r>
            <w:r>
              <w:rPr>
                <w:rFonts w:hint="eastAsia" w:ascii="Times New Roman" w:hAnsi="Times New Roman" w:cs="Times New Roman"/>
                <w:color w:val="auto"/>
                <w:spacing w:val="1"/>
                <w:sz w:val="24"/>
                <w:szCs w:val="24"/>
                <w:highlight w:val="none"/>
                <w:lang w:val="en-US" w:eastAsia="zh-CN"/>
              </w:rPr>
              <w:t>会产生少量沉淀池底泥，产生量约0.8t/a，</w:t>
            </w:r>
            <w:r>
              <w:rPr>
                <w:rFonts w:hint="default" w:ascii="Times New Roman" w:hAnsi="Times New Roman" w:eastAsia="宋体" w:cs="Times New Roman"/>
                <w:color w:val="auto"/>
                <w:spacing w:val="1"/>
                <w:sz w:val="24"/>
                <w:szCs w:val="24"/>
                <w:highlight w:val="none"/>
                <w:lang w:val="en-US" w:eastAsia="zh-CN"/>
              </w:rPr>
              <w:t>沉淀池产生的污染物为泥沙，生产季结束后清掏，自然干化，干化后用于项目区周边农田配土</w:t>
            </w:r>
            <w:r>
              <w:rPr>
                <w:rFonts w:hint="eastAsia" w:ascii="Times New Roman" w:hAnsi="Times New Roman" w:eastAsia="宋体" w:cs="Times New Roman"/>
                <w:color w:val="auto"/>
                <w:spacing w:val="1"/>
                <w:sz w:val="24"/>
                <w:szCs w:val="24"/>
                <w:highlight w:val="none"/>
                <w:lang w:val="en-US" w:eastAsia="zh-CN"/>
              </w:rPr>
              <w:t>。</w:t>
            </w:r>
          </w:p>
          <w:p w14:paraId="36D80291">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3</w:t>
            </w:r>
            <w:r>
              <w:rPr>
                <w:rFonts w:hint="default" w:ascii="Times New Roman" w:hAnsi="Times New Roman" w:eastAsia="宋体" w:cs="Times New Roman"/>
                <w:color w:val="auto"/>
                <w:spacing w:val="-3"/>
                <w:sz w:val="24"/>
                <w:szCs w:val="24"/>
                <w:highlight w:val="none"/>
              </w:rPr>
              <w:t>）危险废物</w:t>
            </w:r>
          </w:p>
          <w:p w14:paraId="51FE6DE9">
            <w:pPr>
              <w:keepNext w:val="0"/>
              <w:keepLines w:val="0"/>
              <w:pageBreakBefore w:val="0"/>
              <w:widowControl/>
              <w:kinsoku w:val="0"/>
              <w:wordWrap/>
              <w:overflowPunct/>
              <w:topLinePunct w:val="0"/>
              <w:autoSpaceDE w:val="0"/>
              <w:autoSpaceDN w:val="0"/>
              <w:bidi w:val="0"/>
              <w:snapToGrid w:val="0"/>
              <w:spacing w:line="360" w:lineRule="auto"/>
              <w:ind w:left="0" w:right="0" w:firstLine="46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①废活性炭</w:t>
            </w:r>
          </w:p>
          <w:p w14:paraId="1F644D90">
            <w:pPr>
              <w:keepNext w:val="0"/>
              <w:keepLines w:val="0"/>
              <w:pageBreakBefore w:val="0"/>
              <w:widowControl/>
              <w:kinsoku w:val="0"/>
              <w:wordWrap/>
              <w:overflowPunct/>
              <w:topLinePunct w:val="0"/>
              <w:autoSpaceDE w:val="0"/>
              <w:autoSpaceDN w:val="0"/>
              <w:bidi w:val="0"/>
              <w:snapToGrid w:val="0"/>
              <w:spacing w:line="360" w:lineRule="auto"/>
              <w:ind w:left="0" w:right="0" w:firstLine="452"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7"/>
                <w:sz w:val="24"/>
                <w:szCs w:val="24"/>
                <w:highlight w:val="none"/>
              </w:rPr>
              <w:t>本项目采用</w:t>
            </w:r>
            <w:r>
              <w:rPr>
                <w:rFonts w:hint="default" w:ascii="Times New Roman" w:hAnsi="Times New Roman" w:cs="Times New Roman"/>
                <w:color w:val="auto"/>
                <w:spacing w:val="-7"/>
                <w:sz w:val="24"/>
                <w:szCs w:val="24"/>
                <w:highlight w:val="none"/>
                <w:lang w:eastAsia="zh-CN"/>
              </w:rPr>
              <w:t>活性炭吸附脱附+催化燃烧装置处理VOCs（以非甲烷总烃计）</w:t>
            </w:r>
            <w:r>
              <w:rPr>
                <w:rFonts w:hint="default" w:ascii="Times New Roman" w:hAnsi="Times New Roman" w:eastAsia="宋体" w:cs="Times New Roman"/>
                <w:color w:val="auto"/>
                <w:spacing w:val="-7"/>
                <w:sz w:val="24"/>
                <w:szCs w:val="24"/>
                <w:highlight w:val="none"/>
              </w:rPr>
              <w:t>，活性炭放置在</w:t>
            </w:r>
            <w:r>
              <w:rPr>
                <w:rFonts w:hint="default" w:ascii="Times New Roman" w:hAnsi="Times New Roman" w:cs="Times New Roman"/>
                <w:color w:val="auto"/>
                <w:spacing w:val="-7"/>
                <w:sz w:val="24"/>
                <w:szCs w:val="24"/>
                <w:highlight w:val="none"/>
                <w:lang w:eastAsia="zh-CN"/>
              </w:rPr>
              <w:t>活性炭吸附脱附+催化燃烧装置</w:t>
            </w:r>
            <w:r>
              <w:rPr>
                <w:rFonts w:hint="default" w:ascii="Times New Roman" w:hAnsi="Times New Roman" w:eastAsia="宋体" w:cs="Times New Roman"/>
                <w:color w:val="auto"/>
                <w:spacing w:val="-10"/>
                <w:sz w:val="24"/>
                <w:szCs w:val="24"/>
                <w:highlight w:val="none"/>
              </w:rPr>
              <w:t>的活性炭吸附箱内，由于长期使用净化效率大大降低，需定期更换新的活性炭，</w:t>
            </w:r>
            <w:r>
              <w:rPr>
                <w:rFonts w:hint="default" w:ascii="Times New Roman" w:hAnsi="Times New Roman" w:eastAsia="宋体" w:cs="Times New Roman"/>
                <w:color w:val="auto"/>
                <w:spacing w:val="-5"/>
                <w:sz w:val="24"/>
                <w:szCs w:val="24"/>
                <w:highlight w:val="none"/>
              </w:rPr>
              <w:t>本次评价按照每万风量</w:t>
            </w:r>
            <w:r>
              <w:rPr>
                <w:rFonts w:hint="default" w:ascii="Times New Roman" w:hAnsi="Times New Roman" w:eastAsia="Times New Roman" w:cs="Times New Roman"/>
                <w:color w:val="auto"/>
                <w:spacing w:val="-5"/>
                <w:sz w:val="24"/>
                <w:szCs w:val="24"/>
                <w:highlight w:val="none"/>
              </w:rPr>
              <w:t>0.8m</w:t>
            </w:r>
            <w:r>
              <w:rPr>
                <w:rFonts w:hint="default" w:ascii="Times New Roman" w:hAnsi="Times New Roman" w:eastAsia="Times New Roman" w:cs="Times New Roman"/>
                <w:color w:val="auto"/>
                <w:spacing w:val="-5"/>
                <w:position w:val="7"/>
                <w:sz w:val="24"/>
                <w:szCs w:val="24"/>
                <w:highlight w:val="none"/>
              </w:rPr>
              <w:t>3</w:t>
            </w:r>
            <w:r>
              <w:rPr>
                <w:rFonts w:hint="default" w:ascii="Times New Roman" w:hAnsi="Times New Roman" w:eastAsia="宋体" w:cs="Times New Roman"/>
                <w:color w:val="auto"/>
                <w:spacing w:val="-5"/>
                <w:sz w:val="24"/>
                <w:szCs w:val="24"/>
                <w:highlight w:val="none"/>
              </w:rPr>
              <w:t>活性炭填装量进行核算。本项目</w:t>
            </w:r>
            <w:r>
              <w:rPr>
                <w:rFonts w:hint="default" w:ascii="Times New Roman" w:hAnsi="Times New Roman" w:cs="Times New Roman"/>
                <w:color w:val="auto"/>
                <w:spacing w:val="-5"/>
                <w:sz w:val="24"/>
                <w:szCs w:val="24"/>
                <w:highlight w:val="none"/>
                <w:lang w:eastAsia="zh-CN"/>
              </w:rPr>
              <w:t>VOCs（以非甲烷总烃计）</w:t>
            </w:r>
            <w:r>
              <w:rPr>
                <w:rFonts w:hint="default" w:ascii="Times New Roman" w:hAnsi="Times New Roman" w:eastAsia="宋体" w:cs="Times New Roman"/>
                <w:color w:val="auto"/>
                <w:spacing w:val="-6"/>
                <w:sz w:val="24"/>
                <w:szCs w:val="24"/>
                <w:highlight w:val="none"/>
              </w:rPr>
              <w:t>治理设施设计风量为</w:t>
            </w:r>
            <w:r>
              <w:rPr>
                <w:rFonts w:hint="default" w:ascii="Times New Roman" w:hAnsi="Times New Roman" w:eastAsia="Times New Roman" w:cs="Times New Roman"/>
                <w:color w:val="auto"/>
                <w:spacing w:val="-6"/>
                <w:sz w:val="24"/>
                <w:szCs w:val="24"/>
                <w:highlight w:val="none"/>
              </w:rPr>
              <w:t>2</w:t>
            </w:r>
            <w:r>
              <w:rPr>
                <w:rFonts w:hint="default" w:ascii="Times New Roman" w:hAnsi="Times New Roman" w:eastAsia="宋体" w:cs="Times New Roman"/>
                <w:color w:val="auto"/>
                <w:spacing w:val="-6"/>
                <w:sz w:val="24"/>
                <w:szCs w:val="24"/>
                <w:highlight w:val="none"/>
              </w:rPr>
              <w:t>万</w:t>
            </w:r>
            <w:r>
              <w:rPr>
                <w:rFonts w:hint="default" w:ascii="Times New Roman" w:hAnsi="Times New Roman" w:eastAsia="Times New Roman" w:cs="Times New Roman"/>
                <w:color w:val="auto"/>
                <w:spacing w:val="-6"/>
                <w:sz w:val="24"/>
                <w:szCs w:val="24"/>
                <w:highlight w:val="none"/>
              </w:rPr>
              <w:t>m</w:t>
            </w:r>
            <w:r>
              <w:rPr>
                <w:rFonts w:hint="default" w:ascii="Times New Roman" w:hAnsi="Times New Roman" w:eastAsia="Times New Roman" w:cs="Times New Roman"/>
                <w:color w:val="auto"/>
                <w:spacing w:val="-6"/>
                <w:position w:val="7"/>
                <w:sz w:val="24"/>
                <w:szCs w:val="24"/>
                <w:highlight w:val="none"/>
              </w:rPr>
              <w:t>3</w:t>
            </w:r>
            <w:r>
              <w:rPr>
                <w:rFonts w:hint="default" w:ascii="Times New Roman" w:hAnsi="Times New Roman" w:eastAsia="Times New Roman" w:cs="Times New Roman"/>
                <w:color w:val="auto"/>
                <w:spacing w:val="-6"/>
                <w:sz w:val="24"/>
                <w:szCs w:val="24"/>
                <w:highlight w:val="none"/>
              </w:rPr>
              <w:t>/h</w:t>
            </w:r>
            <w:r>
              <w:rPr>
                <w:rFonts w:hint="default" w:ascii="Times New Roman" w:hAnsi="Times New Roman" w:eastAsia="宋体" w:cs="Times New Roman"/>
                <w:color w:val="auto"/>
                <w:spacing w:val="-6"/>
                <w:sz w:val="24"/>
                <w:szCs w:val="24"/>
                <w:highlight w:val="none"/>
              </w:rPr>
              <w:t>，活性炭一次填装</w:t>
            </w:r>
            <w:r>
              <w:rPr>
                <w:rFonts w:hint="default" w:ascii="Times New Roman" w:hAnsi="Times New Roman" w:eastAsia="宋体" w:cs="Times New Roman"/>
                <w:color w:val="auto"/>
                <w:spacing w:val="-7"/>
                <w:sz w:val="24"/>
                <w:szCs w:val="24"/>
                <w:highlight w:val="none"/>
              </w:rPr>
              <w:t>量约为</w:t>
            </w:r>
            <w:r>
              <w:rPr>
                <w:rFonts w:hint="default" w:ascii="Times New Roman" w:hAnsi="Times New Roman" w:eastAsia="Times New Roman" w:cs="Times New Roman"/>
                <w:color w:val="auto"/>
                <w:spacing w:val="-7"/>
                <w:sz w:val="24"/>
                <w:szCs w:val="24"/>
                <w:highlight w:val="none"/>
              </w:rPr>
              <w:t>1.6m</w:t>
            </w:r>
            <w:r>
              <w:rPr>
                <w:rFonts w:hint="default" w:ascii="Times New Roman" w:hAnsi="Times New Roman" w:eastAsia="Times New Roman" w:cs="Times New Roman"/>
                <w:color w:val="auto"/>
                <w:spacing w:val="-7"/>
                <w:position w:val="7"/>
                <w:sz w:val="24"/>
                <w:szCs w:val="24"/>
                <w:highlight w:val="none"/>
              </w:rPr>
              <w:t>3</w:t>
            </w:r>
            <w:r>
              <w:rPr>
                <w:rFonts w:hint="default" w:ascii="Times New Roman" w:hAnsi="Times New Roman" w:eastAsia="宋体" w:cs="Times New Roman"/>
                <w:color w:val="auto"/>
                <w:spacing w:val="-7"/>
                <w:sz w:val="24"/>
                <w:szCs w:val="24"/>
                <w:highlight w:val="none"/>
              </w:rPr>
              <w:t>（密度按</w:t>
            </w:r>
            <w:r>
              <w:rPr>
                <w:rFonts w:hint="default" w:ascii="Times New Roman" w:hAnsi="Times New Roman" w:eastAsia="Times New Roman" w:cs="Times New Roman"/>
                <w:color w:val="auto"/>
                <w:spacing w:val="-7"/>
                <w:sz w:val="24"/>
                <w:szCs w:val="24"/>
                <w:highlight w:val="none"/>
              </w:rPr>
              <w:t>500kg/m</w:t>
            </w:r>
            <w:r>
              <w:rPr>
                <w:rFonts w:hint="default" w:ascii="Times New Roman" w:hAnsi="Times New Roman" w:eastAsia="Times New Roman" w:cs="Times New Roman"/>
                <w:color w:val="auto"/>
                <w:spacing w:val="-7"/>
                <w:position w:val="7"/>
                <w:sz w:val="24"/>
                <w:szCs w:val="24"/>
                <w:highlight w:val="none"/>
              </w:rPr>
              <w:t>3</w:t>
            </w:r>
            <w:r>
              <w:rPr>
                <w:rFonts w:hint="default" w:ascii="Times New Roman" w:hAnsi="Times New Roman" w:eastAsia="宋体" w:cs="Times New Roman"/>
                <w:color w:val="auto"/>
                <w:spacing w:val="-7"/>
                <w:sz w:val="24"/>
                <w:szCs w:val="24"/>
                <w:highlight w:val="none"/>
              </w:rPr>
              <w:t>计</w:t>
            </w:r>
            <w:r>
              <w:rPr>
                <w:rFonts w:hint="default" w:ascii="Times New Roman" w:hAnsi="Times New Roman" w:eastAsia="宋体" w:cs="Times New Roman"/>
                <w:color w:val="auto"/>
                <w:spacing w:val="-53"/>
                <w:sz w:val="24"/>
                <w:szCs w:val="24"/>
                <w:highlight w:val="none"/>
              </w:rPr>
              <w:t>），</w:t>
            </w:r>
            <w:r>
              <w:rPr>
                <w:rFonts w:hint="default" w:ascii="Times New Roman" w:hAnsi="Times New Roman" w:eastAsia="宋体" w:cs="Times New Roman"/>
                <w:color w:val="auto"/>
                <w:spacing w:val="-5"/>
                <w:sz w:val="24"/>
                <w:szCs w:val="24"/>
                <w:highlight w:val="none"/>
              </w:rPr>
              <w:t>则活性炭一次填装量为</w:t>
            </w:r>
            <w:r>
              <w:rPr>
                <w:rFonts w:hint="default" w:ascii="Times New Roman" w:hAnsi="Times New Roman" w:eastAsia="Times New Roman" w:cs="Times New Roman"/>
                <w:color w:val="auto"/>
                <w:spacing w:val="-5"/>
                <w:sz w:val="24"/>
                <w:szCs w:val="24"/>
                <w:highlight w:val="none"/>
              </w:rPr>
              <w:t>0.8t</w:t>
            </w:r>
            <w:r>
              <w:rPr>
                <w:rFonts w:hint="default" w:ascii="Times New Roman" w:hAnsi="Times New Roman" w:eastAsia="宋体" w:cs="Times New Roman"/>
                <w:color w:val="auto"/>
                <w:spacing w:val="-5"/>
                <w:sz w:val="24"/>
                <w:szCs w:val="24"/>
                <w:highlight w:val="none"/>
              </w:rPr>
              <w:t>，本次评价要求建设单位每</w:t>
            </w:r>
            <w:r>
              <w:rPr>
                <w:rFonts w:hint="default" w:ascii="Times New Roman" w:hAnsi="Times New Roman" w:eastAsia="Times New Roman" w:cs="Times New Roman"/>
                <w:color w:val="auto"/>
                <w:spacing w:val="-5"/>
                <w:sz w:val="24"/>
                <w:szCs w:val="24"/>
                <w:highlight w:val="none"/>
              </w:rPr>
              <w:t>3</w:t>
            </w:r>
            <w:r>
              <w:rPr>
                <w:rFonts w:hint="default" w:ascii="Times New Roman" w:hAnsi="Times New Roman" w:eastAsia="宋体" w:cs="Times New Roman"/>
                <w:color w:val="auto"/>
                <w:spacing w:val="-5"/>
                <w:sz w:val="24"/>
                <w:szCs w:val="24"/>
                <w:highlight w:val="none"/>
              </w:rPr>
              <w:t>年更</w:t>
            </w:r>
            <w:r>
              <w:rPr>
                <w:rFonts w:hint="default" w:ascii="Times New Roman" w:hAnsi="Times New Roman" w:eastAsia="宋体" w:cs="Times New Roman"/>
                <w:color w:val="auto"/>
                <w:spacing w:val="-6"/>
                <w:sz w:val="24"/>
                <w:szCs w:val="24"/>
                <w:highlight w:val="none"/>
              </w:rPr>
              <w:t>换</w:t>
            </w:r>
            <w:r>
              <w:rPr>
                <w:rFonts w:hint="default" w:ascii="Times New Roman" w:hAnsi="Times New Roman" w:eastAsia="Times New Roman" w:cs="Times New Roman"/>
                <w:color w:val="auto"/>
                <w:spacing w:val="-6"/>
                <w:sz w:val="24"/>
                <w:szCs w:val="24"/>
                <w:highlight w:val="none"/>
              </w:rPr>
              <w:t>1</w:t>
            </w:r>
            <w:r>
              <w:rPr>
                <w:rFonts w:hint="default" w:ascii="Times New Roman" w:hAnsi="Times New Roman" w:eastAsia="宋体" w:cs="Times New Roman"/>
                <w:color w:val="auto"/>
                <w:spacing w:val="-6"/>
                <w:sz w:val="24"/>
                <w:szCs w:val="24"/>
                <w:highlight w:val="none"/>
              </w:rPr>
              <w:t>次活性炭，本项目约产生废活性炭</w:t>
            </w:r>
            <w:r>
              <w:rPr>
                <w:rFonts w:hint="default" w:ascii="Times New Roman" w:hAnsi="Times New Roman" w:eastAsia="Times New Roman" w:cs="Times New Roman"/>
                <w:color w:val="auto"/>
                <w:spacing w:val="-6"/>
                <w:sz w:val="24"/>
                <w:szCs w:val="24"/>
                <w:highlight w:val="none"/>
              </w:rPr>
              <w:t>0.27t/a</w:t>
            </w:r>
            <w:r>
              <w:rPr>
                <w:rFonts w:hint="default" w:ascii="Times New Roman" w:hAnsi="Times New Roman" w:eastAsia="宋体" w:cs="Times New Roman"/>
                <w:color w:val="auto"/>
                <w:spacing w:val="-6"/>
                <w:sz w:val="24"/>
                <w:szCs w:val="24"/>
                <w:highlight w:val="none"/>
              </w:rPr>
              <w:t>。废活性炭属于危险废物，废</w:t>
            </w:r>
            <w:r>
              <w:rPr>
                <w:rFonts w:hint="default" w:ascii="Times New Roman" w:hAnsi="Times New Roman" w:eastAsia="宋体" w:cs="Times New Roman"/>
                <w:color w:val="auto"/>
                <w:spacing w:val="-7"/>
                <w:sz w:val="24"/>
                <w:szCs w:val="24"/>
                <w:highlight w:val="none"/>
              </w:rPr>
              <w:t>活性炭</w:t>
            </w:r>
            <w:r>
              <w:rPr>
                <w:rFonts w:hint="eastAsia" w:ascii="Times New Roman" w:hAnsi="Times New Roman" w:cs="Times New Roman"/>
                <w:color w:val="auto"/>
                <w:spacing w:val="-7"/>
                <w:sz w:val="24"/>
                <w:szCs w:val="24"/>
                <w:highlight w:val="none"/>
                <w:lang w:val="en-US" w:eastAsia="zh-CN"/>
              </w:rPr>
              <w:t>收集至危废暂存点进行贮存，</w:t>
            </w:r>
            <w:r>
              <w:rPr>
                <w:rFonts w:hint="default" w:ascii="Times New Roman" w:hAnsi="Times New Roman" w:eastAsia="宋体" w:cs="Times New Roman"/>
                <w:color w:val="auto"/>
                <w:spacing w:val="-5"/>
                <w:sz w:val="24"/>
                <w:szCs w:val="24"/>
                <w:highlight w:val="none"/>
              </w:rPr>
              <w:t>定期委托危废</w:t>
            </w:r>
            <w:r>
              <w:rPr>
                <w:rFonts w:hint="default" w:ascii="Times New Roman" w:hAnsi="Times New Roman" w:cs="Times New Roman"/>
                <w:color w:val="auto"/>
                <w:spacing w:val="-5"/>
                <w:sz w:val="24"/>
                <w:szCs w:val="24"/>
                <w:highlight w:val="none"/>
                <w:lang w:val="en-US" w:eastAsia="zh-CN"/>
              </w:rPr>
              <w:t>资质单位处置</w:t>
            </w:r>
            <w:r>
              <w:rPr>
                <w:rFonts w:hint="default" w:ascii="Times New Roman" w:hAnsi="Times New Roman" w:eastAsia="宋体" w:cs="Times New Roman"/>
                <w:color w:val="auto"/>
                <w:spacing w:val="-5"/>
                <w:sz w:val="24"/>
                <w:szCs w:val="24"/>
                <w:highlight w:val="none"/>
              </w:rPr>
              <w:t>。</w:t>
            </w:r>
          </w:p>
          <w:p w14:paraId="52F6F0B1">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②废催化剂</w:t>
            </w:r>
          </w:p>
          <w:p w14:paraId="4AC50360">
            <w:pPr>
              <w:keepNext w:val="0"/>
              <w:keepLines w:val="0"/>
              <w:pageBreakBefore w:val="0"/>
              <w:widowControl/>
              <w:kinsoku w:val="0"/>
              <w:wordWrap/>
              <w:overflowPunct/>
              <w:topLinePunct w:val="0"/>
              <w:autoSpaceDE w:val="0"/>
              <w:autoSpaceDN w:val="0"/>
              <w:bidi w:val="0"/>
              <w:snapToGrid w:val="0"/>
              <w:spacing w:line="360" w:lineRule="auto"/>
              <w:ind w:left="0" w:right="0" w:firstLine="456"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本项目采用</w:t>
            </w:r>
            <w:r>
              <w:rPr>
                <w:rFonts w:hint="default" w:ascii="Times New Roman" w:hAnsi="Times New Roman" w:cs="Times New Roman"/>
                <w:color w:val="auto"/>
                <w:spacing w:val="-6"/>
                <w:sz w:val="24"/>
                <w:szCs w:val="24"/>
                <w:highlight w:val="none"/>
                <w:lang w:eastAsia="zh-CN"/>
              </w:rPr>
              <w:t>活性炭吸附脱附+催化燃烧装置</w:t>
            </w:r>
            <w:r>
              <w:rPr>
                <w:rFonts w:hint="default" w:ascii="Times New Roman" w:hAnsi="Times New Roman" w:eastAsia="宋体" w:cs="Times New Roman"/>
                <w:color w:val="auto"/>
                <w:spacing w:val="-6"/>
                <w:sz w:val="24"/>
                <w:szCs w:val="24"/>
                <w:highlight w:val="none"/>
              </w:rPr>
              <w:t>处理</w:t>
            </w:r>
            <w:r>
              <w:rPr>
                <w:rFonts w:hint="default" w:ascii="Times New Roman" w:hAnsi="Times New Roman" w:cs="Times New Roman"/>
                <w:color w:val="auto"/>
                <w:spacing w:val="-6"/>
                <w:sz w:val="24"/>
                <w:szCs w:val="24"/>
                <w:highlight w:val="none"/>
                <w:lang w:eastAsia="zh-CN"/>
              </w:rPr>
              <w:t>VOCs（以非甲烷总烃计）</w:t>
            </w:r>
            <w:r>
              <w:rPr>
                <w:rFonts w:hint="default" w:ascii="Times New Roman" w:hAnsi="Times New Roman" w:eastAsia="宋体" w:cs="Times New Roman"/>
                <w:color w:val="auto"/>
                <w:spacing w:val="-6"/>
                <w:sz w:val="24"/>
                <w:szCs w:val="24"/>
                <w:highlight w:val="none"/>
              </w:rPr>
              <w:t>，催化剂放置在</w:t>
            </w:r>
            <w:r>
              <w:rPr>
                <w:rFonts w:hint="default" w:ascii="Times New Roman" w:hAnsi="Times New Roman" w:cs="Times New Roman"/>
                <w:color w:val="auto"/>
                <w:spacing w:val="-6"/>
                <w:sz w:val="24"/>
                <w:szCs w:val="24"/>
                <w:highlight w:val="none"/>
                <w:lang w:eastAsia="zh-CN"/>
              </w:rPr>
              <w:t>活性炭吸附脱附+催化燃烧装置</w:t>
            </w:r>
            <w:r>
              <w:rPr>
                <w:rFonts w:hint="default" w:ascii="Times New Roman" w:hAnsi="Times New Roman" w:eastAsia="宋体" w:cs="Times New Roman"/>
                <w:color w:val="auto"/>
                <w:spacing w:val="-7"/>
                <w:sz w:val="24"/>
                <w:szCs w:val="24"/>
                <w:highlight w:val="none"/>
              </w:rPr>
              <w:t>的催</w:t>
            </w:r>
            <w:r>
              <w:rPr>
                <w:rFonts w:hint="default" w:ascii="Times New Roman" w:hAnsi="Times New Roman" w:eastAsia="宋体" w:cs="Times New Roman"/>
                <w:color w:val="auto"/>
                <w:spacing w:val="-1"/>
                <w:sz w:val="24"/>
                <w:szCs w:val="24"/>
                <w:highlight w:val="none"/>
              </w:rPr>
              <w:t>化室内，需定期更换新的催化剂，催化剂含有贵金属（含铂）</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rPr>
              <w:t>根据建设单位</w:t>
            </w:r>
            <w:r>
              <w:rPr>
                <w:rFonts w:hint="default" w:ascii="Times New Roman" w:hAnsi="Times New Roman" w:eastAsia="宋体" w:cs="Times New Roman"/>
                <w:color w:val="auto"/>
                <w:spacing w:val="-6"/>
                <w:sz w:val="24"/>
                <w:szCs w:val="24"/>
                <w:highlight w:val="none"/>
              </w:rPr>
              <w:t>提供的资料，催化剂每</w:t>
            </w:r>
            <w:r>
              <w:rPr>
                <w:rFonts w:hint="default" w:ascii="Times New Roman" w:hAnsi="Times New Roman" w:eastAsia="Times New Roman" w:cs="Times New Roman"/>
                <w:color w:val="auto"/>
                <w:spacing w:val="-6"/>
                <w:sz w:val="24"/>
                <w:szCs w:val="24"/>
                <w:highlight w:val="none"/>
              </w:rPr>
              <w:t>2</w:t>
            </w:r>
            <w:r>
              <w:rPr>
                <w:rFonts w:hint="default" w:ascii="Times New Roman" w:hAnsi="Times New Roman" w:eastAsia="宋体" w:cs="Times New Roman"/>
                <w:color w:val="auto"/>
                <w:spacing w:val="-6"/>
                <w:sz w:val="24"/>
                <w:szCs w:val="24"/>
                <w:highlight w:val="none"/>
              </w:rPr>
              <w:t>年更换</w:t>
            </w:r>
            <w:r>
              <w:rPr>
                <w:rFonts w:hint="default" w:ascii="Times New Roman" w:hAnsi="Times New Roman" w:eastAsia="Times New Roman" w:cs="Times New Roman"/>
                <w:color w:val="auto"/>
                <w:spacing w:val="-6"/>
                <w:sz w:val="24"/>
                <w:szCs w:val="24"/>
                <w:highlight w:val="none"/>
              </w:rPr>
              <w:t>1</w:t>
            </w:r>
            <w:r>
              <w:rPr>
                <w:rFonts w:hint="default" w:ascii="Times New Roman" w:hAnsi="Times New Roman" w:eastAsia="宋体" w:cs="Times New Roman"/>
                <w:color w:val="auto"/>
                <w:spacing w:val="-6"/>
                <w:sz w:val="24"/>
                <w:szCs w:val="24"/>
                <w:highlight w:val="none"/>
              </w:rPr>
              <w:t>次，每次废催化剂的更换量约为</w:t>
            </w:r>
            <w:r>
              <w:rPr>
                <w:rFonts w:hint="default" w:ascii="Times New Roman" w:hAnsi="Times New Roman" w:eastAsia="Times New Roman" w:cs="Times New Roman"/>
                <w:color w:val="auto"/>
                <w:spacing w:val="-6"/>
                <w:sz w:val="24"/>
                <w:szCs w:val="24"/>
                <w:highlight w:val="none"/>
              </w:rPr>
              <w:t>0.5t</w:t>
            </w:r>
            <w:r>
              <w:rPr>
                <w:rFonts w:hint="default" w:ascii="Times New Roman" w:hAnsi="Times New Roman" w:eastAsia="宋体" w:cs="Times New Roman"/>
                <w:color w:val="auto"/>
                <w:spacing w:val="-6"/>
                <w:sz w:val="24"/>
                <w:szCs w:val="24"/>
                <w:highlight w:val="none"/>
              </w:rPr>
              <w:t>，则废</w:t>
            </w:r>
            <w:r>
              <w:rPr>
                <w:rFonts w:hint="default" w:ascii="Times New Roman" w:hAnsi="Times New Roman" w:eastAsia="宋体" w:cs="Times New Roman"/>
                <w:color w:val="auto"/>
                <w:spacing w:val="-5"/>
                <w:sz w:val="24"/>
                <w:szCs w:val="24"/>
                <w:highlight w:val="none"/>
              </w:rPr>
              <w:t>催化剂的年产生量约为</w:t>
            </w:r>
            <w:r>
              <w:rPr>
                <w:rFonts w:hint="default" w:ascii="Times New Roman" w:hAnsi="Times New Roman" w:eastAsia="Times New Roman" w:cs="Times New Roman"/>
                <w:color w:val="auto"/>
                <w:spacing w:val="-5"/>
                <w:sz w:val="24"/>
                <w:szCs w:val="24"/>
                <w:highlight w:val="none"/>
              </w:rPr>
              <w:t>0.25t/a</w:t>
            </w:r>
            <w:r>
              <w:rPr>
                <w:rFonts w:hint="default" w:ascii="Times New Roman" w:hAnsi="Times New Roman" w:eastAsia="宋体" w:cs="Times New Roman"/>
                <w:color w:val="auto"/>
                <w:spacing w:val="-5"/>
                <w:sz w:val="24"/>
                <w:szCs w:val="24"/>
                <w:highlight w:val="none"/>
              </w:rPr>
              <w:t>，废</w:t>
            </w:r>
            <w:r>
              <w:rPr>
                <w:rFonts w:hint="default" w:ascii="Times New Roman" w:hAnsi="Times New Roman" w:eastAsia="宋体" w:cs="Times New Roman"/>
                <w:color w:val="auto"/>
                <w:spacing w:val="-6"/>
                <w:sz w:val="24"/>
                <w:szCs w:val="24"/>
                <w:highlight w:val="none"/>
              </w:rPr>
              <w:t>催化剂属于危险废物，本项目废催化剂</w:t>
            </w:r>
            <w:r>
              <w:rPr>
                <w:rFonts w:hint="default" w:ascii="Times New Roman" w:hAnsi="Times New Roman" w:eastAsia="宋体" w:cs="Times New Roman"/>
                <w:color w:val="auto"/>
                <w:spacing w:val="-5"/>
                <w:sz w:val="24"/>
                <w:szCs w:val="24"/>
                <w:highlight w:val="none"/>
              </w:rPr>
              <w:t>定期委托危废</w:t>
            </w:r>
            <w:r>
              <w:rPr>
                <w:rFonts w:hint="default" w:ascii="Times New Roman" w:hAnsi="Times New Roman" w:cs="Times New Roman"/>
                <w:color w:val="auto"/>
                <w:spacing w:val="-5"/>
                <w:sz w:val="24"/>
                <w:szCs w:val="24"/>
                <w:highlight w:val="none"/>
                <w:lang w:val="en-US" w:eastAsia="zh-CN"/>
              </w:rPr>
              <w:t>资质单位处置</w:t>
            </w:r>
            <w:r>
              <w:rPr>
                <w:rFonts w:hint="default" w:ascii="Times New Roman" w:hAnsi="Times New Roman" w:eastAsia="宋体" w:cs="Times New Roman"/>
                <w:color w:val="auto"/>
                <w:spacing w:val="-5"/>
                <w:sz w:val="24"/>
                <w:szCs w:val="24"/>
                <w:highlight w:val="none"/>
              </w:rPr>
              <w:t>。</w:t>
            </w:r>
          </w:p>
          <w:p w14:paraId="705F8C81">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③废机油</w:t>
            </w:r>
          </w:p>
          <w:p w14:paraId="42246942">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项目营运期由于机械维修等会产生少量废机油，根据建设单</w:t>
            </w:r>
            <w:r>
              <w:rPr>
                <w:rFonts w:hint="default" w:ascii="Times New Roman" w:hAnsi="Times New Roman" w:eastAsia="宋体" w:cs="Times New Roman"/>
                <w:color w:val="auto"/>
                <w:sz w:val="24"/>
                <w:szCs w:val="24"/>
                <w:highlight w:val="none"/>
              </w:rPr>
              <w:t>位提供的资</w:t>
            </w:r>
            <w:r>
              <w:rPr>
                <w:rFonts w:hint="default" w:ascii="Times New Roman" w:hAnsi="Times New Roman" w:eastAsia="宋体" w:cs="Times New Roman"/>
                <w:color w:val="auto"/>
                <w:spacing w:val="-1"/>
                <w:sz w:val="24"/>
                <w:szCs w:val="24"/>
                <w:highlight w:val="none"/>
              </w:rPr>
              <w:t>料，废机油产生量约为</w:t>
            </w:r>
            <w:r>
              <w:rPr>
                <w:rFonts w:hint="default" w:ascii="Times New Roman" w:hAnsi="Times New Roman" w:eastAsia="Times New Roman" w:cs="Times New Roman"/>
                <w:color w:val="auto"/>
                <w:spacing w:val="-1"/>
                <w:sz w:val="24"/>
                <w:szCs w:val="24"/>
                <w:highlight w:val="none"/>
              </w:rPr>
              <w:t>0.5t/a</w:t>
            </w:r>
            <w:r>
              <w:rPr>
                <w:rFonts w:hint="default" w:ascii="Times New Roman" w:hAnsi="Times New Roman" w:eastAsia="宋体" w:cs="Times New Roman"/>
                <w:color w:val="auto"/>
                <w:spacing w:val="-1"/>
                <w:sz w:val="24"/>
                <w:szCs w:val="24"/>
                <w:highlight w:val="none"/>
              </w:rPr>
              <w:t>，由企业收集后暂存</w:t>
            </w:r>
            <w:r>
              <w:rPr>
                <w:rFonts w:hint="default" w:ascii="Times New Roman" w:hAnsi="Times New Roman" w:cs="Times New Roman"/>
                <w:color w:val="auto"/>
                <w:spacing w:val="-1"/>
                <w:sz w:val="24"/>
                <w:szCs w:val="24"/>
                <w:highlight w:val="none"/>
                <w:lang w:eastAsia="zh-CN"/>
              </w:rPr>
              <w:t>危废暂存点</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2"/>
                <w:sz w:val="24"/>
                <w:szCs w:val="24"/>
                <w:highlight w:val="none"/>
              </w:rPr>
              <w:t>5m</w:t>
            </w:r>
            <w:r>
              <w:rPr>
                <w:rFonts w:hint="default" w:ascii="Times New Roman" w:hAnsi="Times New Roman" w:eastAsia="Times New Roman" w:cs="Times New Roman"/>
                <w:color w:val="auto"/>
                <w:spacing w:val="-2"/>
                <w:position w:val="7"/>
                <w:sz w:val="24"/>
                <w:szCs w:val="24"/>
                <w:highlight w:val="none"/>
              </w:rPr>
              <w:t>2</w:t>
            </w:r>
            <w:r>
              <w:rPr>
                <w:rFonts w:hint="default" w:ascii="Times New Roman" w:hAnsi="Times New Roman" w:eastAsia="宋体" w:cs="Times New Roman"/>
                <w:color w:val="auto"/>
                <w:spacing w:val="-11"/>
                <w:sz w:val="24"/>
                <w:szCs w:val="24"/>
                <w:highlight w:val="none"/>
              </w:rPr>
              <w:t>），</w:t>
            </w:r>
            <w:r>
              <w:rPr>
                <w:rFonts w:hint="default" w:ascii="Times New Roman" w:hAnsi="Times New Roman" w:eastAsia="宋体" w:cs="Times New Roman"/>
                <w:color w:val="auto"/>
                <w:spacing w:val="-2"/>
                <w:sz w:val="24"/>
                <w:szCs w:val="24"/>
                <w:highlight w:val="none"/>
              </w:rPr>
              <w:t>定期</w:t>
            </w:r>
            <w:r>
              <w:rPr>
                <w:rFonts w:hint="default" w:ascii="Times New Roman" w:hAnsi="Times New Roman" w:eastAsia="宋体" w:cs="Times New Roman"/>
                <w:color w:val="auto"/>
                <w:spacing w:val="-4"/>
                <w:sz w:val="24"/>
                <w:szCs w:val="24"/>
                <w:highlight w:val="none"/>
              </w:rPr>
              <w:t>委托有相关危废处理资质的单位进行处置。</w:t>
            </w:r>
          </w:p>
          <w:p w14:paraId="6E75E4A4">
            <w:pPr>
              <w:keepNext w:val="0"/>
              <w:keepLines w:val="0"/>
              <w:pageBreakBefore w:val="0"/>
              <w:widowControl/>
              <w:kinsoku w:val="0"/>
              <w:wordWrap/>
              <w:overflowPunct/>
              <w:topLinePunct w:val="0"/>
              <w:autoSpaceDE w:val="0"/>
              <w:autoSpaceDN w:val="0"/>
              <w:bidi w:val="0"/>
              <w:snapToGrid w:val="0"/>
              <w:spacing w:line="360" w:lineRule="auto"/>
              <w:ind w:left="0" w:right="0" w:firstLine="46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根据《固体废物分类与代码目录》（公告2024年第4号）及《</w:t>
            </w:r>
            <w:r>
              <w:rPr>
                <w:rFonts w:hint="default" w:ascii="Times New Roman" w:hAnsi="Times New Roman" w:eastAsia="宋体" w:cs="Times New Roman"/>
                <w:color w:val="auto"/>
                <w:spacing w:val="-5"/>
                <w:sz w:val="24"/>
                <w:szCs w:val="24"/>
                <w:highlight w:val="none"/>
              </w:rPr>
              <w:t>国家危险</w:t>
            </w:r>
            <w:r>
              <w:rPr>
                <w:rFonts w:hint="default" w:ascii="Times New Roman" w:hAnsi="Times New Roman" w:eastAsia="宋体" w:cs="Times New Roman"/>
                <w:color w:val="auto"/>
                <w:spacing w:val="1"/>
                <w:sz w:val="24"/>
                <w:szCs w:val="24"/>
                <w:highlight w:val="none"/>
              </w:rPr>
              <w:t>废物名录》（</w:t>
            </w:r>
            <w:r>
              <w:rPr>
                <w:rFonts w:hint="default" w:ascii="Times New Roman" w:hAnsi="Times New Roman" w:eastAsia="Times New Roman" w:cs="Times New Roman"/>
                <w:color w:val="auto"/>
                <w:spacing w:val="1"/>
                <w:sz w:val="24"/>
                <w:szCs w:val="24"/>
                <w:highlight w:val="none"/>
              </w:rPr>
              <w:t>2021</w:t>
            </w:r>
            <w:r>
              <w:rPr>
                <w:rFonts w:hint="default" w:ascii="Times New Roman" w:hAnsi="Times New Roman" w:eastAsia="宋体" w:cs="Times New Roman"/>
                <w:color w:val="auto"/>
                <w:spacing w:val="1"/>
                <w:sz w:val="24"/>
                <w:szCs w:val="24"/>
                <w:highlight w:val="none"/>
              </w:rPr>
              <w:t>年版</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pacing w:val="1"/>
                <w:sz w:val="24"/>
                <w:szCs w:val="24"/>
                <w:highlight w:val="none"/>
              </w:rPr>
              <w:t>将本项目产生的固体废物进行汇总及分类，</w:t>
            </w:r>
            <w:r>
              <w:rPr>
                <w:rFonts w:hint="default" w:ascii="Times New Roman" w:hAnsi="Times New Roman" w:eastAsia="宋体" w:cs="Times New Roman"/>
                <w:color w:val="auto"/>
                <w:sz w:val="24"/>
                <w:szCs w:val="24"/>
                <w:highlight w:val="none"/>
              </w:rPr>
              <w:t>具体</w:t>
            </w:r>
            <w:r>
              <w:rPr>
                <w:rFonts w:hint="default" w:ascii="Times New Roman" w:hAnsi="Times New Roman" w:eastAsia="宋体" w:cs="Times New Roman"/>
                <w:color w:val="auto"/>
                <w:spacing w:val="-2"/>
                <w:sz w:val="24"/>
                <w:szCs w:val="24"/>
                <w:highlight w:val="none"/>
              </w:rPr>
              <w:t>见表</w:t>
            </w:r>
            <w:r>
              <w:rPr>
                <w:rFonts w:hint="default" w:ascii="Times New Roman" w:hAnsi="Times New Roman" w:eastAsia="Times New Roman" w:cs="Times New Roman"/>
                <w:color w:val="auto"/>
                <w:spacing w:val="-2"/>
                <w:sz w:val="24"/>
                <w:szCs w:val="24"/>
                <w:highlight w:val="none"/>
              </w:rPr>
              <w:t>4-</w:t>
            </w:r>
            <w:r>
              <w:rPr>
                <w:rFonts w:hint="default" w:ascii="Times New Roman" w:hAnsi="Times New Roman" w:eastAsia="宋体" w:cs="Times New Roman"/>
                <w:color w:val="auto"/>
                <w:spacing w:val="-2"/>
                <w:sz w:val="24"/>
                <w:szCs w:val="24"/>
                <w:highlight w:val="none"/>
                <w:lang w:val="en-US" w:eastAsia="zh-CN"/>
              </w:rPr>
              <w:t>9</w:t>
            </w:r>
            <w:r>
              <w:rPr>
                <w:rFonts w:hint="default" w:ascii="Times New Roman" w:hAnsi="Times New Roman" w:eastAsia="宋体" w:cs="Times New Roman"/>
                <w:color w:val="auto"/>
                <w:spacing w:val="-2"/>
                <w:sz w:val="24"/>
                <w:szCs w:val="24"/>
                <w:highlight w:val="none"/>
              </w:rPr>
              <w:t>。</w:t>
            </w:r>
          </w:p>
          <w:p w14:paraId="727454DB">
            <w:pPr>
              <w:keepNext w:val="0"/>
              <w:keepLines w:val="0"/>
              <w:pageBreakBefore w:val="0"/>
              <w:widowControl/>
              <w:kinsoku w:val="0"/>
              <w:wordWrap/>
              <w:overflowPunct/>
              <w:topLinePunct w:val="0"/>
              <w:autoSpaceDE w:val="0"/>
              <w:autoSpaceDN w:val="0"/>
              <w:bidi w:val="0"/>
              <w:snapToGrid w:val="0"/>
              <w:spacing w:line="240" w:lineRule="auto"/>
              <w:ind w:left="0" w:right="0" w:firstLine="442" w:firstLineChars="200"/>
              <w:jc w:val="center"/>
              <w:textAlignment w:val="baseline"/>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5"/>
                <w:sz w:val="21"/>
                <w:szCs w:val="21"/>
                <w:highlight w:val="none"/>
              </w:rPr>
              <w:t>表</w:t>
            </w:r>
            <w:r>
              <w:rPr>
                <w:rFonts w:hint="default" w:ascii="Times New Roman" w:hAnsi="Times New Roman" w:eastAsia="Times New Roman" w:cs="Times New Roman"/>
                <w:color w:val="auto"/>
                <w:spacing w:val="5"/>
                <w:sz w:val="21"/>
                <w:szCs w:val="21"/>
                <w:highlight w:val="none"/>
              </w:rPr>
              <w:t>4-</w:t>
            </w:r>
            <w:r>
              <w:rPr>
                <w:rFonts w:hint="default" w:ascii="Times New Roman" w:hAnsi="Times New Roman" w:eastAsia="宋体" w:cs="Times New Roman"/>
                <w:color w:val="auto"/>
                <w:spacing w:val="5"/>
                <w:sz w:val="21"/>
                <w:szCs w:val="21"/>
                <w:highlight w:val="none"/>
                <w:lang w:val="en-US" w:eastAsia="zh-CN"/>
              </w:rPr>
              <w:t>9</w:t>
            </w:r>
            <w:r>
              <w:rPr>
                <w:rFonts w:hint="eastAsia" w:ascii="Times New Roman" w:hAnsi="Times New Roman" w:cs="Times New Roman"/>
                <w:color w:val="auto"/>
                <w:spacing w:val="5"/>
                <w:sz w:val="21"/>
                <w:szCs w:val="21"/>
                <w:highlight w:val="none"/>
                <w:lang w:val="en-US" w:eastAsia="zh-CN"/>
              </w:rPr>
              <w:t xml:space="preserve">   </w:t>
            </w:r>
            <w:r>
              <w:rPr>
                <w:rFonts w:hint="default" w:ascii="Times New Roman" w:hAnsi="Times New Roman" w:eastAsia="宋体" w:cs="Times New Roman"/>
                <w:b/>
                <w:bCs/>
                <w:color w:val="auto"/>
                <w:spacing w:val="5"/>
                <w:sz w:val="21"/>
                <w:szCs w:val="21"/>
                <w:highlight w:val="none"/>
              </w:rPr>
              <w:t>固体废物排放量及处置设施</w:t>
            </w:r>
          </w:p>
          <w:tbl>
            <w:tblPr>
              <w:tblStyle w:val="54"/>
              <w:tblW w:w="748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97"/>
              <w:gridCol w:w="461"/>
              <w:gridCol w:w="458"/>
              <w:gridCol w:w="1332"/>
              <w:gridCol w:w="681"/>
              <w:gridCol w:w="681"/>
              <w:gridCol w:w="727"/>
              <w:gridCol w:w="939"/>
              <w:gridCol w:w="1713"/>
            </w:tblGrid>
            <w:tr w14:paraId="46DB47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7" w:type="dxa"/>
                  <w:tcBorders>
                    <w:bottom w:val="single" w:color="000000" w:sz="12" w:space="0"/>
                  </w:tcBorders>
                  <w:vAlign w:val="center"/>
                </w:tcPr>
                <w:p w14:paraId="06A99A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类型</w:t>
                  </w:r>
                </w:p>
              </w:tc>
              <w:tc>
                <w:tcPr>
                  <w:tcW w:w="461" w:type="dxa"/>
                  <w:tcBorders>
                    <w:bottom w:val="single" w:color="000000" w:sz="12" w:space="0"/>
                  </w:tcBorders>
                  <w:vAlign w:val="center"/>
                </w:tcPr>
                <w:p w14:paraId="101F48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产生源</w:t>
                  </w:r>
                </w:p>
              </w:tc>
              <w:tc>
                <w:tcPr>
                  <w:tcW w:w="458" w:type="dxa"/>
                  <w:tcBorders>
                    <w:bottom w:val="single" w:color="000000" w:sz="12" w:space="0"/>
                  </w:tcBorders>
                  <w:vAlign w:val="center"/>
                </w:tcPr>
                <w:p w14:paraId="386F7C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名称</w:t>
                  </w:r>
                </w:p>
              </w:tc>
              <w:tc>
                <w:tcPr>
                  <w:tcW w:w="1332" w:type="dxa"/>
                  <w:tcBorders>
                    <w:bottom w:val="single" w:color="000000" w:sz="12" w:space="0"/>
                  </w:tcBorders>
                  <w:vAlign w:val="center"/>
                </w:tcPr>
                <w:p w14:paraId="036C4A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一般固体废</w:t>
                  </w:r>
                  <w:r>
                    <w:rPr>
                      <w:rFonts w:hint="default" w:ascii="Times New Roman" w:hAnsi="Times New Roman" w:eastAsia="宋体" w:cs="Times New Roman"/>
                      <w:b/>
                      <w:bCs/>
                      <w:color w:val="auto"/>
                      <w:spacing w:val="6"/>
                      <w:sz w:val="21"/>
                      <w:szCs w:val="21"/>
                      <w:highlight w:val="none"/>
                    </w:rPr>
                    <w:t>物分类与代</w:t>
                  </w:r>
                  <w:r>
                    <w:rPr>
                      <w:rFonts w:hint="default" w:ascii="Times New Roman" w:hAnsi="Times New Roman" w:eastAsia="宋体" w:cs="Times New Roman"/>
                      <w:b/>
                      <w:bCs/>
                      <w:color w:val="auto"/>
                      <w:spacing w:val="-1"/>
                      <w:sz w:val="21"/>
                      <w:szCs w:val="21"/>
                      <w:highlight w:val="none"/>
                    </w:rPr>
                    <w:t>码</w:t>
                  </w:r>
                </w:p>
              </w:tc>
              <w:tc>
                <w:tcPr>
                  <w:tcW w:w="681" w:type="dxa"/>
                  <w:tcBorders>
                    <w:bottom w:val="single" w:color="000000" w:sz="12" w:space="0"/>
                  </w:tcBorders>
                  <w:vAlign w:val="center"/>
                </w:tcPr>
                <w:p w14:paraId="4F4A1B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主要</w:t>
                  </w:r>
                  <w:r>
                    <w:rPr>
                      <w:rFonts w:hint="default" w:ascii="Times New Roman" w:hAnsi="Times New Roman" w:eastAsia="宋体" w:cs="Times New Roman"/>
                      <w:b/>
                      <w:bCs/>
                      <w:color w:val="auto"/>
                      <w:spacing w:val="2"/>
                      <w:sz w:val="21"/>
                      <w:szCs w:val="21"/>
                      <w:highlight w:val="none"/>
                    </w:rPr>
                    <w:t>危险</w:t>
                  </w:r>
                  <w:r>
                    <w:rPr>
                      <w:rFonts w:hint="default" w:ascii="Times New Roman" w:hAnsi="Times New Roman" w:eastAsia="宋体" w:cs="Times New Roman"/>
                      <w:b/>
                      <w:bCs/>
                      <w:color w:val="auto"/>
                      <w:spacing w:val="3"/>
                      <w:sz w:val="21"/>
                      <w:szCs w:val="21"/>
                      <w:highlight w:val="none"/>
                    </w:rPr>
                    <w:t>成分</w:t>
                  </w:r>
                </w:p>
              </w:tc>
              <w:tc>
                <w:tcPr>
                  <w:tcW w:w="681" w:type="dxa"/>
                  <w:tcBorders>
                    <w:bottom w:val="single" w:color="000000" w:sz="12" w:space="0"/>
                  </w:tcBorders>
                  <w:vAlign w:val="center"/>
                </w:tcPr>
                <w:p w14:paraId="293F04D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危险</w:t>
                  </w:r>
                  <w:r>
                    <w:rPr>
                      <w:rFonts w:hint="default" w:ascii="Times New Roman" w:hAnsi="Times New Roman" w:eastAsia="宋体" w:cs="Times New Roman"/>
                      <w:b/>
                      <w:bCs/>
                      <w:color w:val="auto"/>
                      <w:spacing w:val="3"/>
                      <w:sz w:val="21"/>
                      <w:szCs w:val="21"/>
                      <w:highlight w:val="none"/>
                    </w:rPr>
                    <w:t>特性</w:t>
                  </w:r>
                </w:p>
              </w:tc>
              <w:tc>
                <w:tcPr>
                  <w:tcW w:w="727" w:type="dxa"/>
                  <w:tcBorders>
                    <w:bottom w:val="single" w:color="000000" w:sz="12" w:space="0"/>
                  </w:tcBorders>
                  <w:vAlign w:val="center"/>
                </w:tcPr>
                <w:p w14:paraId="65A2BE2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3"/>
                      <w:sz w:val="21"/>
                      <w:szCs w:val="21"/>
                      <w:highlight w:val="none"/>
                    </w:rPr>
                    <w:t>排放</w:t>
                  </w:r>
                  <w:r>
                    <w:rPr>
                      <w:rFonts w:hint="default" w:ascii="Times New Roman" w:hAnsi="Times New Roman" w:eastAsia="宋体" w:cs="Times New Roman"/>
                      <w:b/>
                      <w:bCs/>
                      <w:color w:val="auto"/>
                      <w:spacing w:val="-2"/>
                      <w:sz w:val="21"/>
                      <w:szCs w:val="21"/>
                      <w:highlight w:val="none"/>
                    </w:rPr>
                    <w:t>量</w:t>
                  </w:r>
                </w:p>
              </w:tc>
              <w:tc>
                <w:tcPr>
                  <w:tcW w:w="939" w:type="dxa"/>
                  <w:tcBorders>
                    <w:bottom w:val="single" w:color="000000" w:sz="12" w:space="0"/>
                  </w:tcBorders>
                  <w:vAlign w:val="center"/>
                </w:tcPr>
                <w:p w14:paraId="57535E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处置办</w:t>
                  </w:r>
                  <w:r>
                    <w:rPr>
                      <w:rFonts w:hint="default" w:ascii="Times New Roman" w:hAnsi="Times New Roman" w:eastAsia="宋体" w:cs="Times New Roman"/>
                      <w:b/>
                      <w:bCs/>
                      <w:color w:val="auto"/>
                      <w:spacing w:val="-3"/>
                      <w:sz w:val="21"/>
                      <w:szCs w:val="21"/>
                      <w:highlight w:val="none"/>
                    </w:rPr>
                    <w:t>法</w:t>
                  </w:r>
                </w:p>
              </w:tc>
              <w:tc>
                <w:tcPr>
                  <w:tcW w:w="1713" w:type="dxa"/>
                  <w:tcBorders>
                    <w:bottom w:val="single" w:color="000000" w:sz="12" w:space="0"/>
                  </w:tcBorders>
                  <w:vAlign w:val="center"/>
                </w:tcPr>
                <w:p w14:paraId="4757E96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环境管理要求</w:t>
                  </w:r>
                </w:p>
              </w:tc>
            </w:tr>
            <w:tr w14:paraId="337F76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7" w:type="dxa"/>
                  <w:vMerge w:val="restart"/>
                  <w:tcBorders>
                    <w:tl2br w:val="nil"/>
                    <w:tr2bl w:val="nil"/>
                  </w:tcBorders>
                  <w:vAlign w:val="center"/>
                </w:tcPr>
                <w:p w14:paraId="273720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1"/>
                      <w:w w:val="46"/>
                      <w:sz w:val="21"/>
                      <w:szCs w:val="21"/>
                      <w:highlight w:val="none"/>
                    </w:rPr>
                    <w:t>一</w:t>
                  </w:r>
                  <w:r>
                    <w:rPr>
                      <w:rFonts w:hint="eastAsia" w:ascii="Times New Roman" w:hAnsi="Times New Roman" w:cs="Times New Roman"/>
                      <w:color w:val="auto"/>
                      <w:spacing w:val="-71"/>
                      <w:w w:val="46"/>
                      <w:sz w:val="21"/>
                      <w:szCs w:val="21"/>
                      <w:highlight w:val="none"/>
                      <w:lang w:val="en-US" w:eastAsia="zh-CN"/>
                    </w:rPr>
                    <w:t>一</w:t>
                  </w:r>
                  <w:r>
                    <w:rPr>
                      <w:rFonts w:hint="default" w:ascii="Times New Roman" w:hAnsi="Times New Roman" w:eastAsia="宋体" w:cs="Times New Roman"/>
                      <w:color w:val="auto"/>
                      <w:spacing w:val="6"/>
                      <w:sz w:val="21"/>
                      <w:szCs w:val="21"/>
                      <w:highlight w:val="none"/>
                    </w:rPr>
                    <w:t>般固废</w:t>
                  </w:r>
                </w:p>
              </w:tc>
              <w:tc>
                <w:tcPr>
                  <w:tcW w:w="461" w:type="dxa"/>
                  <w:tcBorders>
                    <w:tl2br w:val="nil"/>
                    <w:tr2bl w:val="nil"/>
                  </w:tcBorders>
                  <w:vAlign w:val="center"/>
                </w:tcPr>
                <w:p w14:paraId="3728A5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不合格产品</w:t>
                  </w:r>
                </w:p>
              </w:tc>
              <w:tc>
                <w:tcPr>
                  <w:tcW w:w="458" w:type="dxa"/>
                  <w:tcBorders>
                    <w:tl2br w:val="nil"/>
                    <w:tr2bl w:val="nil"/>
                  </w:tcBorders>
                  <w:vAlign w:val="center"/>
                </w:tcPr>
                <w:p w14:paraId="7EE9E4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不合格产品</w:t>
                  </w:r>
                </w:p>
              </w:tc>
              <w:tc>
                <w:tcPr>
                  <w:tcW w:w="1332" w:type="dxa"/>
                  <w:tcBorders>
                    <w:tl2br w:val="nil"/>
                    <w:tr2bl w:val="nil"/>
                  </w:tcBorders>
                  <w:vAlign w:val="center"/>
                </w:tcPr>
                <w:p w14:paraId="746B58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900-099-S59</w:t>
                  </w:r>
                </w:p>
              </w:tc>
              <w:tc>
                <w:tcPr>
                  <w:tcW w:w="681" w:type="dxa"/>
                  <w:tcBorders>
                    <w:tl2br w:val="nil"/>
                    <w:tr2bl w:val="nil"/>
                  </w:tcBorders>
                  <w:vAlign w:val="center"/>
                </w:tcPr>
                <w:p w14:paraId="3D8E0B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w:t>
                  </w:r>
                </w:p>
              </w:tc>
              <w:tc>
                <w:tcPr>
                  <w:tcW w:w="681" w:type="dxa"/>
                  <w:tcBorders>
                    <w:tl2br w:val="nil"/>
                    <w:tr2bl w:val="nil"/>
                  </w:tcBorders>
                  <w:vAlign w:val="center"/>
                </w:tcPr>
                <w:p w14:paraId="366906E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w:t>
                  </w:r>
                </w:p>
              </w:tc>
              <w:tc>
                <w:tcPr>
                  <w:tcW w:w="727" w:type="dxa"/>
                  <w:tcBorders>
                    <w:tl2br w:val="nil"/>
                    <w:tr2bl w:val="nil"/>
                  </w:tcBorders>
                  <w:vAlign w:val="center"/>
                </w:tcPr>
                <w:p w14:paraId="5F10E97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5t/a</w:t>
                  </w:r>
                </w:p>
              </w:tc>
              <w:tc>
                <w:tcPr>
                  <w:tcW w:w="939" w:type="dxa"/>
                  <w:tcBorders>
                    <w:tl2br w:val="nil"/>
                    <w:tr2bl w:val="nil"/>
                  </w:tcBorders>
                  <w:vAlign w:val="center"/>
                </w:tcPr>
                <w:p w14:paraId="6AB3E9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集中收集后</w:t>
                  </w:r>
                  <w:r>
                    <w:rPr>
                      <w:rFonts w:hint="default" w:ascii="Times New Roman" w:hAnsi="Times New Roman" w:eastAsia="宋体" w:cs="Times New Roman"/>
                      <w:color w:val="auto"/>
                      <w:sz w:val="21"/>
                      <w:szCs w:val="21"/>
                      <w:highlight w:val="none"/>
                    </w:rPr>
                    <w:t>回用于</w:t>
                  </w:r>
                  <w:r>
                    <w:rPr>
                      <w:rFonts w:hint="default" w:ascii="Times New Roman" w:hAnsi="Times New Roman" w:eastAsia="宋体" w:cs="Times New Roman"/>
                      <w:color w:val="auto"/>
                      <w:spacing w:val="3"/>
                      <w:sz w:val="21"/>
                      <w:szCs w:val="21"/>
                      <w:highlight w:val="none"/>
                    </w:rPr>
                    <w:t>生产</w:t>
                  </w:r>
                </w:p>
              </w:tc>
              <w:tc>
                <w:tcPr>
                  <w:tcW w:w="1713" w:type="dxa"/>
                  <w:vMerge w:val="restart"/>
                  <w:tcBorders>
                    <w:tl2br w:val="nil"/>
                    <w:tr2bl w:val="nil"/>
                  </w:tcBorders>
                  <w:vAlign w:val="center"/>
                </w:tcPr>
                <w:p w14:paraId="2DC5042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执行《一般工业固</w:t>
                  </w:r>
                  <w:r>
                    <w:rPr>
                      <w:rFonts w:hint="default" w:ascii="Times New Roman" w:hAnsi="Times New Roman" w:eastAsia="宋体" w:cs="Times New Roman"/>
                      <w:color w:val="auto"/>
                      <w:spacing w:val="8"/>
                      <w:sz w:val="21"/>
                      <w:szCs w:val="21"/>
                      <w:highlight w:val="none"/>
                    </w:rPr>
                    <w:t>体废物贮存和填</w:t>
                  </w:r>
                  <w:r>
                    <w:rPr>
                      <w:rFonts w:hint="default" w:ascii="Times New Roman" w:hAnsi="Times New Roman" w:eastAsia="宋体" w:cs="Times New Roman"/>
                      <w:color w:val="auto"/>
                      <w:spacing w:val="7"/>
                      <w:sz w:val="21"/>
                      <w:szCs w:val="21"/>
                      <w:highlight w:val="none"/>
                    </w:rPr>
                    <w:t>埋污染控制标准》</w:t>
                  </w: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5"/>
                      <w:sz w:val="21"/>
                      <w:szCs w:val="21"/>
                      <w:highlight w:val="none"/>
                    </w:rPr>
                    <w:t>18599-2020</w:t>
                  </w:r>
                  <w:r>
                    <w:rPr>
                      <w:rFonts w:hint="default" w:ascii="Times New Roman" w:hAnsi="Times New Roman" w:eastAsia="宋体" w:cs="Times New Roman"/>
                      <w:color w:val="auto"/>
                      <w:spacing w:val="5"/>
                      <w:sz w:val="21"/>
                      <w:szCs w:val="21"/>
                      <w:highlight w:val="none"/>
                    </w:rPr>
                    <w:t>）贮存场</w:t>
                  </w:r>
                  <w:r>
                    <w:rPr>
                      <w:rFonts w:hint="default" w:ascii="Times New Roman" w:hAnsi="Times New Roman" w:eastAsia="宋体" w:cs="Times New Roman"/>
                      <w:color w:val="auto"/>
                      <w:spacing w:val="7"/>
                      <w:sz w:val="21"/>
                      <w:szCs w:val="21"/>
                      <w:highlight w:val="none"/>
                    </w:rPr>
                    <w:t>相关要求</w:t>
                  </w:r>
                </w:p>
              </w:tc>
            </w:tr>
            <w:tr w14:paraId="7FABB7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7" w:type="dxa"/>
                  <w:vMerge w:val="continue"/>
                  <w:tcBorders>
                    <w:tl2br w:val="nil"/>
                    <w:tr2bl w:val="nil"/>
                  </w:tcBorders>
                  <w:vAlign w:val="center"/>
                </w:tcPr>
                <w:p w14:paraId="5B50E78D">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461" w:type="dxa"/>
                  <w:tcBorders>
                    <w:tl2br w:val="nil"/>
                    <w:tr2bl w:val="nil"/>
                  </w:tcBorders>
                  <w:vAlign w:val="center"/>
                </w:tcPr>
                <w:p w14:paraId="2FEA70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废包装材料</w:t>
                  </w:r>
                </w:p>
              </w:tc>
              <w:tc>
                <w:tcPr>
                  <w:tcW w:w="458" w:type="dxa"/>
                  <w:tcBorders>
                    <w:tl2br w:val="nil"/>
                    <w:tr2bl w:val="nil"/>
                  </w:tcBorders>
                  <w:vAlign w:val="center"/>
                </w:tcPr>
                <w:p w14:paraId="74EA4F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废包装袋</w:t>
                  </w:r>
                </w:p>
              </w:tc>
              <w:tc>
                <w:tcPr>
                  <w:tcW w:w="1332" w:type="dxa"/>
                  <w:tcBorders>
                    <w:tl2br w:val="nil"/>
                    <w:tr2bl w:val="nil"/>
                  </w:tcBorders>
                  <w:vAlign w:val="center"/>
                </w:tcPr>
                <w:p w14:paraId="0D24E2B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900-003-S17</w:t>
                  </w:r>
                </w:p>
              </w:tc>
              <w:tc>
                <w:tcPr>
                  <w:tcW w:w="681" w:type="dxa"/>
                  <w:tcBorders>
                    <w:tl2br w:val="nil"/>
                    <w:tr2bl w:val="nil"/>
                  </w:tcBorders>
                  <w:vAlign w:val="center"/>
                </w:tcPr>
                <w:p w14:paraId="35F739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w:t>
                  </w:r>
                </w:p>
              </w:tc>
              <w:tc>
                <w:tcPr>
                  <w:tcW w:w="681" w:type="dxa"/>
                  <w:tcBorders>
                    <w:tl2br w:val="nil"/>
                    <w:tr2bl w:val="nil"/>
                  </w:tcBorders>
                  <w:vAlign w:val="center"/>
                </w:tcPr>
                <w:p w14:paraId="1CBC1F7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w:t>
                  </w:r>
                </w:p>
              </w:tc>
              <w:tc>
                <w:tcPr>
                  <w:tcW w:w="727" w:type="dxa"/>
                  <w:tcBorders>
                    <w:tl2br w:val="nil"/>
                    <w:tr2bl w:val="nil"/>
                  </w:tcBorders>
                  <w:vAlign w:val="center"/>
                </w:tcPr>
                <w:p w14:paraId="794C13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pacing w:val="2"/>
                      <w:sz w:val="21"/>
                      <w:szCs w:val="21"/>
                      <w:highlight w:val="none"/>
                      <w:lang w:val="en-US" w:eastAsia="zh-CN"/>
                    </w:rPr>
                    <w:t>5</w:t>
                  </w:r>
                  <w:r>
                    <w:rPr>
                      <w:rFonts w:hint="default" w:ascii="Times New Roman" w:hAnsi="Times New Roman" w:eastAsia="Times New Roman" w:cs="Times New Roman"/>
                      <w:color w:val="auto"/>
                      <w:spacing w:val="2"/>
                      <w:sz w:val="21"/>
                      <w:szCs w:val="21"/>
                      <w:highlight w:val="none"/>
                    </w:rPr>
                    <w:t>t/a</w:t>
                  </w:r>
                </w:p>
              </w:tc>
              <w:tc>
                <w:tcPr>
                  <w:tcW w:w="939" w:type="dxa"/>
                  <w:tcBorders>
                    <w:tl2br w:val="nil"/>
                    <w:tr2bl w:val="nil"/>
                  </w:tcBorders>
                  <w:vAlign w:val="center"/>
                </w:tcPr>
                <w:p w14:paraId="580AAF8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集中收集后外</w:t>
                  </w:r>
                  <w:r>
                    <w:rPr>
                      <w:rFonts w:hint="default" w:ascii="Times New Roman" w:hAnsi="Times New Roman" w:eastAsia="宋体" w:cs="Times New Roman"/>
                      <w:color w:val="auto"/>
                      <w:sz w:val="21"/>
                      <w:szCs w:val="21"/>
                      <w:highlight w:val="none"/>
                    </w:rPr>
                    <w:t>售</w:t>
                  </w:r>
                </w:p>
              </w:tc>
              <w:tc>
                <w:tcPr>
                  <w:tcW w:w="1713" w:type="dxa"/>
                  <w:vMerge w:val="continue"/>
                  <w:tcBorders>
                    <w:tl2br w:val="nil"/>
                    <w:tr2bl w:val="nil"/>
                  </w:tcBorders>
                  <w:vAlign w:val="center"/>
                </w:tcPr>
                <w:p w14:paraId="1EC404D0">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r>
            <w:tr w14:paraId="43713D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7" w:type="dxa"/>
                  <w:vMerge w:val="continue"/>
                  <w:tcBorders>
                    <w:tl2br w:val="nil"/>
                    <w:tr2bl w:val="nil"/>
                  </w:tcBorders>
                  <w:vAlign w:val="center"/>
                </w:tcPr>
                <w:p w14:paraId="323660C1">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461" w:type="dxa"/>
                  <w:tcBorders>
                    <w:tl2br w:val="nil"/>
                    <w:tr2bl w:val="nil"/>
                  </w:tcBorders>
                  <w:vAlign w:val="center"/>
                </w:tcPr>
                <w:p w14:paraId="20FE5C1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6"/>
                      <w:sz w:val="21"/>
                      <w:szCs w:val="21"/>
                      <w:highlight w:val="none"/>
                      <w:lang w:val="en-US" w:eastAsia="zh-CN"/>
                    </w:rPr>
                  </w:pPr>
                  <w:r>
                    <w:rPr>
                      <w:rFonts w:hint="eastAsia" w:ascii="Times New Roman" w:hAnsi="Times New Roman" w:cs="Times New Roman"/>
                      <w:color w:val="auto"/>
                      <w:spacing w:val="6"/>
                      <w:sz w:val="21"/>
                      <w:szCs w:val="21"/>
                      <w:highlight w:val="none"/>
                      <w:lang w:val="en-US" w:eastAsia="zh-CN"/>
                    </w:rPr>
                    <w:t>沉淀池底泥</w:t>
                  </w:r>
                </w:p>
              </w:tc>
              <w:tc>
                <w:tcPr>
                  <w:tcW w:w="458" w:type="dxa"/>
                  <w:tcBorders>
                    <w:tl2br w:val="nil"/>
                    <w:tr2bl w:val="nil"/>
                  </w:tcBorders>
                  <w:vAlign w:val="center"/>
                </w:tcPr>
                <w:p w14:paraId="062DAD6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6"/>
                      <w:sz w:val="21"/>
                      <w:szCs w:val="21"/>
                      <w:highlight w:val="none"/>
                    </w:rPr>
                  </w:pPr>
                  <w:r>
                    <w:rPr>
                      <w:rFonts w:hint="eastAsia" w:ascii="Times New Roman" w:hAnsi="Times New Roman" w:cs="Times New Roman"/>
                      <w:color w:val="auto"/>
                      <w:spacing w:val="6"/>
                      <w:sz w:val="21"/>
                      <w:szCs w:val="21"/>
                      <w:highlight w:val="none"/>
                      <w:lang w:val="en-US" w:eastAsia="zh-CN"/>
                    </w:rPr>
                    <w:t>沉淀池底泥</w:t>
                  </w:r>
                </w:p>
              </w:tc>
              <w:tc>
                <w:tcPr>
                  <w:tcW w:w="1332" w:type="dxa"/>
                  <w:tcBorders>
                    <w:tl2br w:val="nil"/>
                    <w:tr2bl w:val="nil"/>
                  </w:tcBorders>
                  <w:vAlign w:val="center"/>
                </w:tcPr>
                <w:p w14:paraId="2532BC0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3"/>
                      <w:sz w:val="21"/>
                      <w:szCs w:val="21"/>
                      <w:highlight w:val="none"/>
                      <w:lang w:val="en-US" w:eastAsia="zh-CN"/>
                    </w:rPr>
                  </w:pPr>
                  <w:r>
                    <w:rPr>
                      <w:rFonts w:hint="default" w:ascii="Times New Roman" w:hAnsi="Times New Roman" w:eastAsia="Times New Roman" w:cs="Times New Roman"/>
                      <w:color w:val="auto"/>
                      <w:spacing w:val="3"/>
                      <w:sz w:val="21"/>
                      <w:szCs w:val="21"/>
                      <w:highlight w:val="none"/>
                    </w:rPr>
                    <w:t>900-003-S</w:t>
                  </w:r>
                  <w:r>
                    <w:rPr>
                      <w:rFonts w:hint="eastAsia" w:ascii="Times New Roman" w:hAnsi="Times New Roman" w:eastAsia="宋体" w:cs="Times New Roman"/>
                      <w:color w:val="auto"/>
                      <w:spacing w:val="3"/>
                      <w:sz w:val="21"/>
                      <w:szCs w:val="21"/>
                      <w:highlight w:val="none"/>
                      <w:lang w:val="en-US" w:eastAsia="zh-CN"/>
                    </w:rPr>
                    <w:t>14</w:t>
                  </w:r>
                </w:p>
              </w:tc>
              <w:tc>
                <w:tcPr>
                  <w:tcW w:w="681" w:type="dxa"/>
                  <w:tcBorders>
                    <w:tl2br w:val="nil"/>
                    <w:tr2bl w:val="nil"/>
                  </w:tcBorders>
                  <w:vAlign w:val="center"/>
                </w:tcPr>
                <w:p w14:paraId="1D562C4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w:t>
                  </w:r>
                </w:p>
              </w:tc>
              <w:tc>
                <w:tcPr>
                  <w:tcW w:w="681" w:type="dxa"/>
                  <w:tcBorders>
                    <w:tl2br w:val="nil"/>
                    <w:tr2bl w:val="nil"/>
                  </w:tcBorders>
                  <w:vAlign w:val="center"/>
                </w:tcPr>
                <w:p w14:paraId="641083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eastAsia"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w:t>
                  </w:r>
                </w:p>
              </w:tc>
              <w:tc>
                <w:tcPr>
                  <w:tcW w:w="727" w:type="dxa"/>
                  <w:tcBorders>
                    <w:tl2br w:val="nil"/>
                    <w:tr2bl w:val="nil"/>
                  </w:tcBorders>
                  <w:vAlign w:val="center"/>
                </w:tcPr>
                <w:p w14:paraId="5FFAB15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0.8</w:t>
                  </w:r>
                </w:p>
              </w:tc>
              <w:tc>
                <w:tcPr>
                  <w:tcW w:w="939" w:type="dxa"/>
                  <w:tcBorders>
                    <w:tl2br w:val="nil"/>
                    <w:tr2bl w:val="nil"/>
                  </w:tcBorders>
                  <w:vAlign w:val="center"/>
                </w:tcPr>
                <w:p w14:paraId="47FEBA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z w:val="21"/>
                      <w:szCs w:val="21"/>
                      <w:highlight w:val="none"/>
                      <w:lang w:val="en-US" w:eastAsia="zh-CN"/>
                    </w:rPr>
                    <w:t>沉淀池产生的污染物为泥沙，生产季结束后清掏，自然干化，干化后用于项目区周边农田配土</w:t>
                  </w:r>
                </w:p>
              </w:tc>
              <w:tc>
                <w:tcPr>
                  <w:tcW w:w="1713" w:type="dxa"/>
                  <w:vMerge w:val="continue"/>
                  <w:tcBorders>
                    <w:tl2br w:val="nil"/>
                    <w:tr2bl w:val="nil"/>
                  </w:tcBorders>
                  <w:vAlign w:val="center"/>
                </w:tcPr>
                <w:p w14:paraId="4DCC13C9">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r>
            <w:tr w14:paraId="4B481C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7" w:type="dxa"/>
                  <w:vMerge w:val="restart"/>
                  <w:tcBorders>
                    <w:tl2br w:val="nil"/>
                    <w:tr2bl w:val="nil"/>
                  </w:tcBorders>
                  <w:vAlign w:val="center"/>
                </w:tcPr>
                <w:p w14:paraId="18BE5D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危险废物</w:t>
                  </w:r>
                </w:p>
              </w:tc>
              <w:tc>
                <w:tcPr>
                  <w:tcW w:w="461" w:type="dxa"/>
                  <w:tcBorders>
                    <w:tl2br w:val="nil"/>
                    <w:tr2bl w:val="nil"/>
                  </w:tcBorders>
                  <w:vAlign w:val="center"/>
                </w:tcPr>
                <w:p w14:paraId="45C949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设备维护</w:t>
                  </w:r>
                </w:p>
              </w:tc>
              <w:tc>
                <w:tcPr>
                  <w:tcW w:w="458" w:type="dxa"/>
                  <w:tcBorders>
                    <w:tl2br w:val="nil"/>
                    <w:tr2bl w:val="nil"/>
                  </w:tcBorders>
                  <w:vAlign w:val="center"/>
                </w:tcPr>
                <w:p w14:paraId="5EE54B0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废机油</w:t>
                  </w:r>
                </w:p>
              </w:tc>
              <w:tc>
                <w:tcPr>
                  <w:tcW w:w="1332" w:type="dxa"/>
                  <w:tcBorders>
                    <w:tl2br w:val="nil"/>
                    <w:tr2bl w:val="nil"/>
                  </w:tcBorders>
                  <w:vAlign w:val="center"/>
                </w:tcPr>
                <w:p w14:paraId="408E2F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HW</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Times New Roman" w:cs="Times New Roman"/>
                      <w:color w:val="auto"/>
                      <w:spacing w:val="10"/>
                      <w:sz w:val="21"/>
                      <w:szCs w:val="21"/>
                      <w:highlight w:val="none"/>
                    </w:rPr>
                    <w:t>08</w:t>
                  </w:r>
                  <w:r>
                    <w:rPr>
                      <w:rFonts w:hint="default" w:ascii="Times New Roman" w:hAnsi="Times New Roman" w:eastAsia="Times New Roman" w:cs="Times New Roman"/>
                      <w:color w:val="auto"/>
                      <w:spacing w:val="3"/>
                      <w:sz w:val="21"/>
                      <w:szCs w:val="21"/>
                      <w:highlight w:val="none"/>
                    </w:rPr>
                    <w:t>900-214-08</w:t>
                  </w:r>
                </w:p>
              </w:tc>
              <w:tc>
                <w:tcPr>
                  <w:tcW w:w="681" w:type="dxa"/>
                  <w:tcBorders>
                    <w:tl2br w:val="nil"/>
                    <w:tr2bl w:val="nil"/>
                  </w:tcBorders>
                  <w:vAlign w:val="center"/>
                </w:tcPr>
                <w:p w14:paraId="4A2AB99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石油</w:t>
                  </w:r>
                  <w:r>
                    <w:rPr>
                      <w:rFonts w:hint="default" w:ascii="Times New Roman" w:hAnsi="Times New Roman" w:eastAsia="宋体" w:cs="Times New Roman"/>
                      <w:color w:val="auto"/>
                      <w:spacing w:val="-24"/>
                      <w:w w:val="98"/>
                      <w:sz w:val="21"/>
                      <w:szCs w:val="21"/>
                      <w:highlight w:val="none"/>
                    </w:rPr>
                    <w:t>烃、金</w:t>
                  </w:r>
                  <w:r>
                    <w:rPr>
                      <w:rFonts w:hint="default" w:ascii="Times New Roman" w:hAnsi="Times New Roman" w:eastAsia="宋体" w:cs="Times New Roman"/>
                      <w:color w:val="auto"/>
                      <w:spacing w:val="30"/>
                      <w:sz w:val="21"/>
                      <w:szCs w:val="21"/>
                      <w:highlight w:val="none"/>
                    </w:rPr>
                    <w:t>属污</w:t>
                  </w:r>
                  <w:r>
                    <w:rPr>
                      <w:rFonts w:hint="default" w:ascii="Times New Roman" w:hAnsi="Times New Roman" w:eastAsia="宋体" w:cs="Times New Roman"/>
                      <w:color w:val="auto"/>
                      <w:spacing w:val="3"/>
                      <w:sz w:val="21"/>
                      <w:szCs w:val="21"/>
                      <w:highlight w:val="none"/>
                    </w:rPr>
                    <w:t>染物</w:t>
                  </w:r>
                </w:p>
              </w:tc>
              <w:tc>
                <w:tcPr>
                  <w:tcW w:w="681" w:type="dxa"/>
                  <w:tcBorders>
                    <w:tl2br w:val="nil"/>
                    <w:tr2bl w:val="nil"/>
                  </w:tcBorders>
                  <w:vAlign w:val="center"/>
                </w:tcPr>
                <w:p w14:paraId="06F2371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石油</w:t>
                  </w:r>
                  <w:r>
                    <w:rPr>
                      <w:rFonts w:hint="default" w:ascii="Times New Roman" w:hAnsi="Times New Roman" w:eastAsia="宋体" w:cs="Times New Roman"/>
                      <w:color w:val="auto"/>
                      <w:spacing w:val="-24"/>
                      <w:w w:val="98"/>
                      <w:sz w:val="21"/>
                      <w:szCs w:val="21"/>
                      <w:highlight w:val="none"/>
                    </w:rPr>
                    <w:t>烃、金</w:t>
                  </w:r>
                  <w:r>
                    <w:rPr>
                      <w:rFonts w:hint="default" w:ascii="Times New Roman" w:hAnsi="Times New Roman" w:eastAsia="宋体" w:cs="Times New Roman"/>
                      <w:color w:val="auto"/>
                      <w:spacing w:val="30"/>
                      <w:sz w:val="21"/>
                      <w:szCs w:val="21"/>
                      <w:highlight w:val="none"/>
                    </w:rPr>
                    <w:t>属污</w:t>
                  </w:r>
                  <w:r>
                    <w:rPr>
                      <w:rFonts w:hint="default" w:ascii="Times New Roman" w:hAnsi="Times New Roman" w:eastAsia="宋体" w:cs="Times New Roman"/>
                      <w:color w:val="auto"/>
                      <w:spacing w:val="3"/>
                      <w:sz w:val="21"/>
                      <w:szCs w:val="21"/>
                      <w:highlight w:val="none"/>
                    </w:rPr>
                    <w:t>染物</w:t>
                  </w:r>
                </w:p>
              </w:tc>
              <w:tc>
                <w:tcPr>
                  <w:tcW w:w="727" w:type="dxa"/>
                  <w:tcBorders>
                    <w:tl2br w:val="nil"/>
                    <w:tr2bl w:val="nil"/>
                  </w:tcBorders>
                  <w:vAlign w:val="center"/>
                </w:tcPr>
                <w:p w14:paraId="7A386D5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0.5t/a</w:t>
                  </w:r>
                </w:p>
              </w:tc>
              <w:tc>
                <w:tcPr>
                  <w:tcW w:w="939" w:type="dxa"/>
                  <w:tcBorders>
                    <w:tl2br w:val="nil"/>
                    <w:tr2bl w:val="nil"/>
                  </w:tcBorders>
                  <w:vAlign w:val="center"/>
                </w:tcPr>
                <w:p w14:paraId="3A94BA1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pacing w:val="6"/>
                      <w:sz w:val="21"/>
                      <w:szCs w:val="21"/>
                      <w:highlight w:val="none"/>
                      <w:lang w:eastAsia="zh-CN"/>
                    </w:rPr>
                    <w:t>危废暂存点</w:t>
                  </w:r>
                  <w:r>
                    <w:rPr>
                      <w:rFonts w:hint="default" w:ascii="Times New Roman" w:hAnsi="Times New Roman" w:eastAsia="宋体" w:cs="Times New Roman"/>
                      <w:color w:val="auto"/>
                      <w:spacing w:val="7"/>
                      <w:sz w:val="21"/>
                      <w:szCs w:val="21"/>
                      <w:highlight w:val="none"/>
                    </w:rPr>
                    <w:t>暂</w:t>
                  </w:r>
                  <w:r>
                    <w:rPr>
                      <w:rFonts w:hint="default" w:ascii="Times New Roman" w:hAnsi="Times New Roman" w:eastAsia="宋体" w:cs="Times New Roman"/>
                      <w:color w:val="auto"/>
                      <w:spacing w:val="1"/>
                      <w:sz w:val="21"/>
                      <w:szCs w:val="21"/>
                      <w:highlight w:val="none"/>
                    </w:rPr>
                    <w:t>存，委托</w:t>
                  </w:r>
                  <w:r>
                    <w:rPr>
                      <w:rFonts w:hint="default" w:ascii="Times New Roman" w:hAnsi="Times New Roman" w:eastAsia="宋体" w:cs="Times New Roman"/>
                      <w:color w:val="auto"/>
                      <w:spacing w:val="37"/>
                      <w:sz w:val="21"/>
                      <w:szCs w:val="21"/>
                      <w:highlight w:val="none"/>
                    </w:rPr>
                    <w:t>具有处</w:t>
                  </w:r>
                  <w:r>
                    <w:rPr>
                      <w:rFonts w:hint="default" w:ascii="Times New Roman" w:hAnsi="Times New Roman" w:eastAsia="宋体" w:cs="Times New Roman"/>
                      <w:color w:val="auto"/>
                      <w:spacing w:val="6"/>
                      <w:sz w:val="21"/>
                      <w:szCs w:val="21"/>
                      <w:highlight w:val="none"/>
                    </w:rPr>
                    <w:t>理资质</w:t>
                  </w:r>
                  <w:r>
                    <w:rPr>
                      <w:rFonts w:hint="default" w:ascii="Times New Roman" w:hAnsi="Times New Roman" w:eastAsia="宋体" w:cs="Times New Roman"/>
                      <w:color w:val="auto"/>
                      <w:spacing w:val="1"/>
                      <w:sz w:val="21"/>
                      <w:szCs w:val="21"/>
                      <w:highlight w:val="none"/>
                    </w:rPr>
                    <w:t>的单位</w:t>
                  </w:r>
                  <w:r>
                    <w:rPr>
                      <w:rFonts w:hint="default" w:ascii="Times New Roman" w:hAnsi="Times New Roman" w:eastAsia="宋体" w:cs="Times New Roman"/>
                      <w:color w:val="auto"/>
                      <w:spacing w:val="2"/>
                      <w:sz w:val="21"/>
                      <w:szCs w:val="21"/>
                      <w:highlight w:val="none"/>
                    </w:rPr>
                    <w:t>处置</w:t>
                  </w:r>
                </w:p>
              </w:tc>
              <w:tc>
                <w:tcPr>
                  <w:tcW w:w="1713" w:type="dxa"/>
                  <w:vMerge w:val="restart"/>
                  <w:tcBorders>
                    <w:tl2br w:val="nil"/>
                    <w:tr2bl w:val="nil"/>
                  </w:tcBorders>
                  <w:vAlign w:val="center"/>
                </w:tcPr>
                <w:p w14:paraId="5D63D57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执行《危险废物贮</w:t>
                  </w:r>
                  <w:r>
                    <w:rPr>
                      <w:rFonts w:hint="default" w:ascii="Times New Roman" w:hAnsi="Times New Roman" w:eastAsia="宋体" w:cs="Times New Roman"/>
                      <w:color w:val="auto"/>
                      <w:spacing w:val="7"/>
                      <w:sz w:val="21"/>
                      <w:szCs w:val="21"/>
                      <w:highlight w:val="none"/>
                    </w:rPr>
                    <w:t>存污染控制标准》</w:t>
                  </w:r>
                  <w:r>
                    <w:rPr>
                      <w:rFonts w:hint="default" w:ascii="Times New Roman" w:hAnsi="Times New Roman" w:eastAsia="宋体" w:cs="Times New Roman"/>
                      <w:color w:val="auto"/>
                      <w:spacing w:val="5"/>
                      <w:sz w:val="21"/>
                      <w:szCs w:val="21"/>
                      <w:highlight w:val="none"/>
                    </w:rPr>
                    <w:t>（</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5"/>
                      <w:sz w:val="21"/>
                      <w:szCs w:val="21"/>
                      <w:highlight w:val="none"/>
                    </w:rPr>
                    <w:t>185</w:t>
                  </w:r>
                  <w:r>
                    <w:rPr>
                      <w:rFonts w:hint="default" w:ascii="Times New Roman" w:hAnsi="Times New Roman" w:eastAsia="Times New Roman" w:cs="Times New Roman"/>
                      <w:color w:val="auto"/>
                      <w:spacing w:val="3"/>
                      <w:sz w:val="21"/>
                      <w:szCs w:val="21"/>
                      <w:highlight w:val="none"/>
                    </w:rPr>
                    <w:t>97-2023</w:t>
                  </w:r>
                  <w:r>
                    <w:rPr>
                      <w:rFonts w:hint="default" w:ascii="Times New Roman" w:hAnsi="Times New Roman" w:eastAsia="宋体" w:cs="Times New Roman"/>
                      <w:color w:val="auto"/>
                      <w:spacing w:val="3"/>
                      <w:sz w:val="21"/>
                      <w:szCs w:val="21"/>
                      <w:highlight w:val="none"/>
                    </w:rPr>
                    <w:t>）相关要</w:t>
                  </w:r>
                  <w:r>
                    <w:rPr>
                      <w:rFonts w:hint="default" w:ascii="Times New Roman" w:hAnsi="Times New Roman" w:eastAsia="宋体" w:cs="Times New Roman"/>
                      <w:color w:val="auto"/>
                      <w:sz w:val="21"/>
                      <w:szCs w:val="21"/>
                      <w:highlight w:val="none"/>
                    </w:rPr>
                    <w:t>求</w:t>
                  </w:r>
                </w:p>
              </w:tc>
            </w:tr>
            <w:tr w14:paraId="5F726E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63" w:hRule="atLeast"/>
                <w:jc w:val="center"/>
              </w:trPr>
              <w:tc>
                <w:tcPr>
                  <w:tcW w:w="497" w:type="dxa"/>
                  <w:vMerge w:val="continue"/>
                  <w:tcBorders>
                    <w:tl2br w:val="nil"/>
                    <w:tr2bl w:val="nil"/>
                  </w:tcBorders>
                  <w:vAlign w:val="center"/>
                </w:tcPr>
                <w:p w14:paraId="5B50C3BD">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461" w:type="dxa"/>
                  <w:vMerge w:val="restart"/>
                  <w:tcBorders>
                    <w:tl2br w:val="nil"/>
                    <w:tr2bl w:val="nil"/>
                  </w:tcBorders>
                  <w:vAlign w:val="center"/>
                </w:tcPr>
                <w:p w14:paraId="4295E96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设备除</w:t>
                  </w:r>
                  <w:r>
                    <w:rPr>
                      <w:rFonts w:hint="default" w:ascii="Times New Roman" w:hAnsi="Times New Roman" w:eastAsia="宋体" w:cs="Times New Roman"/>
                      <w:color w:val="auto"/>
                      <w:sz w:val="21"/>
                      <w:szCs w:val="21"/>
                      <w:highlight w:val="none"/>
                    </w:rPr>
                    <w:t>尘</w:t>
                  </w:r>
                </w:p>
              </w:tc>
              <w:tc>
                <w:tcPr>
                  <w:tcW w:w="458" w:type="dxa"/>
                  <w:tcBorders>
                    <w:tl2br w:val="nil"/>
                    <w:tr2bl w:val="nil"/>
                  </w:tcBorders>
                  <w:vAlign w:val="center"/>
                </w:tcPr>
                <w:p w14:paraId="3DE174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废活性</w:t>
                  </w:r>
                  <w:r>
                    <w:rPr>
                      <w:rFonts w:hint="default" w:ascii="Times New Roman" w:hAnsi="Times New Roman" w:eastAsia="宋体" w:cs="Times New Roman"/>
                      <w:color w:val="auto"/>
                      <w:sz w:val="21"/>
                      <w:szCs w:val="21"/>
                      <w:highlight w:val="none"/>
                    </w:rPr>
                    <w:t>炭</w:t>
                  </w:r>
                </w:p>
              </w:tc>
              <w:tc>
                <w:tcPr>
                  <w:tcW w:w="1332" w:type="dxa"/>
                  <w:tcBorders>
                    <w:tl2br w:val="nil"/>
                    <w:tr2bl w:val="nil"/>
                  </w:tcBorders>
                  <w:vAlign w:val="center"/>
                </w:tcPr>
                <w:p w14:paraId="6FAD866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SW</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Times New Roman" w:cs="Times New Roman"/>
                      <w:color w:val="auto"/>
                      <w:spacing w:val="5"/>
                      <w:sz w:val="21"/>
                      <w:szCs w:val="21"/>
                      <w:highlight w:val="none"/>
                    </w:rPr>
                    <w:t>59</w:t>
                  </w:r>
                  <w:r>
                    <w:rPr>
                      <w:rFonts w:hint="default" w:ascii="Times New Roman" w:hAnsi="Times New Roman" w:eastAsia="Times New Roman" w:cs="Times New Roman"/>
                      <w:color w:val="auto"/>
                      <w:spacing w:val="3"/>
                      <w:sz w:val="21"/>
                      <w:szCs w:val="21"/>
                      <w:highlight w:val="none"/>
                    </w:rPr>
                    <w:t>900-008-S59</w:t>
                  </w:r>
                </w:p>
              </w:tc>
              <w:tc>
                <w:tcPr>
                  <w:tcW w:w="681" w:type="dxa"/>
                  <w:tcBorders>
                    <w:tl2br w:val="nil"/>
                    <w:tr2bl w:val="nil"/>
                  </w:tcBorders>
                  <w:vAlign w:val="center"/>
                </w:tcPr>
                <w:p w14:paraId="6CBA54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吸附</w:t>
                  </w:r>
                  <w:r>
                    <w:rPr>
                      <w:rFonts w:hint="default" w:ascii="Times New Roman" w:hAnsi="Times New Roman" w:eastAsia="宋体" w:cs="Times New Roman"/>
                      <w:color w:val="auto"/>
                      <w:spacing w:val="4"/>
                      <w:sz w:val="21"/>
                      <w:szCs w:val="21"/>
                      <w:highlight w:val="none"/>
                    </w:rPr>
                    <w:t>较多有机物质</w:t>
                  </w:r>
                </w:p>
              </w:tc>
              <w:tc>
                <w:tcPr>
                  <w:tcW w:w="681" w:type="dxa"/>
                  <w:tcBorders>
                    <w:tl2br w:val="nil"/>
                    <w:tr2bl w:val="nil"/>
                  </w:tcBorders>
                  <w:vAlign w:val="center"/>
                </w:tcPr>
                <w:p w14:paraId="7F6AA3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吸附</w:t>
                  </w:r>
                  <w:r>
                    <w:rPr>
                      <w:rFonts w:hint="default" w:ascii="Times New Roman" w:hAnsi="Times New Roman" w:eastAsia="宋体" w:cs="Times New Roman"/>
                      <w:color w:val="auto"/>
                      <w:spacing w:val="4"/>
                      <w:sz w:val="21"/>
                      <w:szCs w:val="21"/>
                      <w:highlight w:val="none"/>
                    </w:rPr>
                    <w:t>较多有机物质</w:t>
                  </w:r>
                </w:p>
              </w:tc>
              <w:tc>
                <w:tcPr>
                  <w:tcW w:w="727" w:type="dxa"/>
                  <w:tcBorders>
                    <w:tl2br w:val="nil"/>
                    <w:tr2bl w:val="nil"/>
                  </w:tcBorders>
                  <w:vAlign w:val="center"/>
                </w:tcPr>
                <w:p w14:paraId="12CB6D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0.27t/a</w:t>
                  </w:r>
                </w:p>
              </w:tc>
              <w:tc>
                <w:tcPr>
                  <w:tcW w:w="939" w:type="dxa"/>
                  <w:vMerge w:val="restart"/>
                  <w:tcBorders>
                    <w:tl2br w:val="nil"/>
                    <w:tr2bl w:val="nil"/>
                  </w:tcBorders>
                  <w:vAlign w:val="center"/>
                </w:tcPr>
                <w:p w14:paraId="760CC41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4"/>
                      <w:szCs w:val="24"/>
                      <w:highlight w:val="none"/>
                    </w:rPr>
                    <w:t>定期委托危废</w:t>
                  </w:r>
                  <w:r>
                    <w:rPr>
                      <w:rFonts w:hint="default" w:ascii="Times New Roman" w:hAnsi="Times New Roman" w:cs="Times New Roman"/>
                      <w:color w:val="auto"/>
                      <w:spacing w:val="-5"/>
                      <w:sz w:val="24"/>
                      <w:szCs w:val="24"/>
                      <w:highlight w:val="none"/>
                      <w:lang w:val="en-US" w:eastAsia="zh-CN"/>
                    </w:rPr>
                    <w:t>资质单位处置</w:t>
                  </w:r>
                </w:p>
              </w:tc>
              <w:tc>
                <w:tcPr>
                  <w:tcW w:w="1713" w:type="dxa"/>
                  <w:vMerge w:val="continue"/>
                  <w:tcBorders>
                    <w:tl2br w:val="nil"/>
                    <w:tr2bl w:val="nil"/>
                  </w:tcBorders>
                  <w:vAlign w:val="center"/>
                </w:tcPr>
                <w:p w14:paraId="15EE487F">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r>
            <w:tr w14:paraId="559D2D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497" w:type="dxa"/>
                  <w:vMerge w:val="continue"/>
                  <w:tcBorders>
                    <w:tl2br w:val="nil"/>
                    <w:tr2bl w:val="nil"/>
                  </w:tcBorders>
                  <w:vAlign w:val="center"/>
                </w:tcPr>
                <w:p w14:paraId="4E390289">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461" w:type="dxa"/>
                  <w:vMerge w:val="continue"/>
                  <w:tcBorders>
                    <w:tl2br w:val="nil"/>
                    <w:tr2bl w:val="nil"/>
                  </w:tcBorders>
                  <w:vAlign w:val="center"/>
                </w:tcPr>
                <w:p w14:paraId="66FA9913">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458" w:type="dxa"/>
                  <w:tcBorders>
                    <w:tl2br w:val="nil"/>
                    <w:tr2bl w:val="nil"/>
                  </w:tcBorders>
                  <w:vAlign w:val="center"/>
                </w:tcPr>
                <w:p w14:paraId="455417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废催化剂</w:t>
                  </w:r>
                </w:p>
              </w:tc>
              <w:tc>
                <w:tcPr>
                  <w:tcW w:w="1332" w:type="dxa"/>
                  <w:tcBorders>
                    <w:tl2br w:val="nil"/>
                    <w:tr2bl w:val="nil"/>
                  </w:tcBorders>
                  <w:vAlign w:val="center"/>
                </w:tcPr>
                <w:p w14:paraId="3655A8D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Times New Roman" w:cs="Times New Roman"/>
                      <w:color w:val="auto"/>
                      <w:sz w:val="21"/>
                      <w:szCs w:val="21"/>
                      <w:highlight w:val="none"/>
                    </w:rPr>
                    <w:t>SW</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Times New Roman" w:cs="Times New Roman"/>
                      <w:color w:val="auto"/>
                      <w:spacing w:val="5"/>
                      <w:sz w:val="21"/>
                      <w:szCs w:val="21"/>
                      <w:highlight w:val="none"/>
                    </w:rPr>
                    <w:t>59</w:t>
                  </w:r>
                  <w:r>
                    <w:rPr>
                      <w:rFonts w:hint="default" w:ascii="Times New Roman" w:hAnsi="Times New Roman" w:eastAsia="Times New Roman" w:cs="Times New Roman"/>
                      <w:color w:val="auto"/>
                      <w:spacing w:val="3"/>
                      <w:sz w:val="21"/>
                      <w:szCs w:val="21"/>
                      <w:highlight w:val="none"/>
                    </w:rPr>
                    <w:t>900-004-59</w:t>
                  </w:r>
                </w:p>
              </w:tc>
              <w:tc>
                <w:tcPr>
                  <w:tcW w:w="681" w:type="dxa"/>
                  <w:tcBorders>
                    <w:tl2br w:val="nil"/>
                    <w:tr2bl w:val="nil"/>
                  </w:tcBorders>
                  <w:vAlign w:val="center"/>
                </w:tcPr>
                <w:p w14:paraId="410DB4B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含有</w:t>
                  </w:r>
                  <w:r>
                    <w:rPr>
                      <w:rFonts w:hint="default" w:ascii="Times New Roman" w:hAnsi="Times New Roman" w:eastAsia="宋体" w:cs="Times New Roman"/>
                      <w:color w:val="auto"/>
                      <w:spacing w:val="-24"/>
                      <w:w w:val="98"/>
                      <w:sz w:val="21"/>
                      <w:szCs w:val="21"/>
                      <w:highlight w:val="none"/>
                    </w:rPr>
                    <w:t>铂、钯</w:t>
                  </w:r>
                  <w:r>
                    <w:rPr>
                      <w:rFonts w:hint="default" w:ascii="Times New Roman" w:hAnsi="Times New Roman" w:eastAsia="宋体" w:cs="Times New Roman"/>
                      <w:color w:val="auto"/>
                      <w:spacing w:val="30"/>
                      <w:sz w:val="21"/>
                      <w:szCs w:val="21"/>
                      <w:highlight w:val="none"/>
                    </w:rPr>
                    <w:t>等贵</w:t>
                  </w:r>
                  <w:r>
                    <w:rPr>
                      <w:rFonts w:hint="default" w:ascii="Times New Roman" w:hAnsi="Times New Roman" w:eastAsia="宋体" w:cs="Times New Roman"/>
                      <w:color w:val="auto"/>
                      <w:spacing w:val="3"/>
                      <w:sz w:val="21"/>
                      <w:szCs w:val="21"/>
                      <w:highlight w:val="none"/>
                    </w:rPr>
                    <w:t>金属</w:t>
                  </w:r>
                </w:p>
              </w:tc>
              <w:tc>
                <w:tcPr>
                  <w:tcW w:w="681" w:type="dxa"/>
                  <w:tcBorders>
                    <w:tl2br w:val="nil"/>
                    <w:tr2bl w:val="nil"/>
                  </w:tcBorders>
                  <w:vAlign w:val="center"/>
                </w:tcPr>
                <w:p w14:paraId="4597E66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含有</w:t>
                  </w:r>
                  <w:r>
                    <w:rPr>
                      <w:rFonts w:hint="default" w:ascii="Times New Roman" w:hAnsi="Times New Roman" w:eastAsia="宋体" w:cs="Times New Roman"/>
                      <w:color w:val="auto"/>
                      <w:spacing w:val="-24"/>
                      <w:w w:val="98"/>
                      <w:sz w:val="21"/>
                      <w:szCs w:val="21"/>
                      <w:highlight w:val="none"/>
                    </w:rPr>
                    <w:t>铂、钯</w:t>
                  </w:r>
                  <w:r>
                    <w:rPr>
                      <w:rFonts w:hint="default" w:ascii="Times New Roman" w:hAnsi="Times New Roman" w:eastAsia="宋体" w:cs="Times New Roman"/>
                      <w:color w:val="auto"/>
                      <w:spacing w:val="30"/>
                      <w:sz w:val="21"/>
                      <w:szCs w:val="21"/>
                      <w:highlight w:val="none"/>
                    </w:rPr>
                    <w:t>等贵</w:t>
                  </w:r>
                  <w:r>
                    <w:rPr>
                      <w:rFonts w:hint="default" w:ascii="Times New Roman" w:hAnsi="Times New Roman" w:eastAsia="宋体" w:cs="Times New Roman"/>
                      <w:color w:val="auto"/>
                      <w:spacing w:val="3"/>
                      <w:sz w:val="21"/>
                      <w:szCs w:val="21"/>
                      <w:highlight w:val="none"/>
                    </w:rPr>
                    <w:t>金属</w:t>
                  </w:r>
                </w:p>
              </w:tc>
              <w:tc>
                <w:tcPr>
                  <w:tcW w:w="727" w:type="dxa"/>
                  <w:tcBorders>
                    <w:tl2br w:val="nil"/>
                    <w:tr2bl w:val="nil"/>
                  </w:tcBorders>
                  <w:vAlign w:val="center"/>
                </w:tcPr>
                <w:p w14:paraId="03DA221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0.25t/a</w:t>
                  </w:r>
                </w:p>
              </w:tc>
              <w:tc>
                <w:tcPr>
                  <w:tcW w:w="939" w:type="dxa"/>
                  <w:vMerge w:val="continue"/>
                  <w:tcBorders>
                    <w:tl2br w:val="nil"/>
                    <w:tr2bl w:val="nil"/>
                  </w:tcBorders>
                  <w:vAlign w:val="center"/>
                </w:tcPr>
                <w:p w14:paraId="2F206BB3">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c>
                <w:tcPr>
                  <w:tcW w:w="1713" w:type="dxa"/>
                  <w:vMerge w:val="continue"/>
                  <w:tcBorders>
                    <w:tl2br w:val="nil"/>
                    <w:tr2bl w:val="nil"/>
                  </w:tcBorders>
                  <w:vAlign w:val="center"/>
                </w:tcPr>
                <w:p w14:paraId="292CADF1">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r>
          </w:tbl>
          <w:p w14:paraId="55463A11">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由上表可以得出该项目所产生的各种固体废物均具有良好的处置方法，</w:t>
            </w:r>
            <w:r>
              <w:rPr>
                <w:rFonts w:hint="default" w:ascii="Times New Roman" w:hAnsi="Times New Roman" w:eastAsia="宋体" w:cs="Times New Roman"/>
                <w:color w:val="auto"/>
                <w:spacing w:val="-4"/>
                <w:sz w:val="24"/>
                <w:szCs w:val="24"/>
                <w:highlight w:val="none"/>
              </w:rPr>
              <w:t>处置率</w:t>
            </w:r>
            <w:r>
              <w:rPr>
                <w:rFonts w:hint="default" w:ascii="Times New Roman" w:hAnsi="Times New Roman" w:eastAsia="Times New Roman" w:cs="Times New Roman"/>
                <w:color w:val="auto"/>
                <w:spacing w:val="-4"/>
                <w:sz w:val="24"/>
                <w:szCs w:val="24"/>
                <w:highlight w:val="none"/>
              </w:rPr>
              <w:t>100%</w:t>
            </w:r>
            <w:r>
              <w:rPr>
                <w:rFonts w:hint="default" w:ascii="Times New Roman" w:hAnsi="Times New Roman" w:eastAsia="宋体" w:cs="Times New Roman"/>
                <w:color w:val="auto"/>
                <w:spacing w:val="-4"/>
                <w:sz w:val="24"/>
                <w:szCs w:val="24"/>
                <w:highlight w:val="none"/>
              </w:rPr>
              <w:t>，符合固体废物减量化、资源化、无害化要求，防治措施可行，</w:t>
            </w:r>
            <w:r>
              <w:rPr>
                <w:rFonts w:hint="default" w:ascii="Times New Roman" w:hAnsi="Times New Roman" w:eastAsia="宋体" w:cs="Times New Roman"/>
                <w:color w:val="auto"/>
                <w:spacing w:val="-2"/>
                <w:sz w:val="24"/>
                <w:szCs w:val="24"/>
                <w:highlight w:val="none"/>
              </w:rPr>
              <w:t>不会对周围环境产生影响。</w:t>
            </w:r>
          </w:p>
          <w:p w14:paraId="70E76638">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4.2</w:t>
            </w:r>
            <w:r>
              <w:rPr>
                <w:rFonts w:hint="default" w:ascii="Times New Roman" w:hAnsi="Times New Roman" w:eastAsia="宋体" w:cs="Times New Roman"/>
                <w:b/>
                <w:bCs/>
                <w:color w:val="auto"/>
                <w:spacing w:val="-2"/>
                <w:sz w:val="24"/>
                <w:szCs w:val="24"/>
                <w:highlight w:val="none"/>
              </w:rPr>
              <w:t>固体废物防治措施及环境管理要求</w:t>
            </w:r>
          </w:p>
          <w:p w14:paraId="57F07D86">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eastAsia="宋体" w:cs="Times New Roman"/>
                <w:color w:val="auto"/>
                <w:spacing w:val="-2"/>
                <w:sz w:val="24"/>
                <w:szCs w:val="24"/>
                <w:highlight w:val="none"/>
              </w:rPr>
              <w:t>）固体废物产生及处置情况</w:t>
            </w:r>
          </w:p>
          <w:p w14:paraId="4EBCB72E">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本项目固体废物主要为员工生活垃圾、不合格产品、废包装材料、</w:t>
            </w:r>
            <w:r>
              <w:rPr>
                <w:rFonts w:hint="default" w:ascii="Times New Roman" w:hAnsi="Times New Roman" w:eastAsia="宋体" w:cs="Times New Roman"/>
                <w:color w:val="auto"/>
                <w:sz w:val="24"/>
                <w:szCs w:val="24"/>
                <w:highlight w:val="none"/>
              </w:rPr>
              <w:t>废活</w:t>
            </w:r>
            <w:r>
              <w:rPr>
                <w:rFonts w:hint="default" w:ascii="Times New Roman" w:hAnsi="Times New Roman" w:eastAsia="宋体" w:cs="Times New Roman"/>
                <w:color w:val="auto"/>
                <w:spacing w:val="1"/>
                <w:sz w:val="24"/>
                <w:szCs w:val="24"/>
                <w:highlight w:val="none"/>
              </w:rPr>
              <w:t>性炭、废催化剂、废机油。员工生活垃圾收集后交由环卫部门统一清理</w:t>
            </w:r>
            <w:r>
              <w:rPr>
                <w:rFonts w:hint="default" w:ascii="Times New Roman" w:hAnsi="Times New Roman" w:eastAsia="宋体" w:cs="Times New Roman"/>
                <w:color w:val="auto"/>
                <w:sz w:val="24"/>
                <w:szCs w:val="24"/>
                <w:highlight w:val="none"/>
              </w:rPr>
              <w:t>；不</w:t>
            </w:r>
            <w:r>
              <w:rPr>
                <w:rFonts w:hint="default" w:ascii="Times New Roman" w:hAnsi="Times New Roman" w:eastAsia="宋体" w:cs="Times New Roman"/>
                <w:color w:val="auto"/>
                <w:spacing w:val="1"/>
                <w:sz w:val="24"/>
                <w:szCs w:val="24"/>
                <w:highlight w:val="none"/>
              </w:rPr>
              <w:t>合格产品集中收集后回用于生产，废包装材料集中收集后外售；废活性</w:t>
            </w:r>
            <w:r>
              <w:rPr>
                <w:rFonts w:hint="default" w:ascii="Times New Roman" w:hAnsi="Times New Roman" w:eastAsia="宋体" w:cs="Times New Roman"/>
                <w:color w:val="auto"/>
                <w:sz w:val="24"/>
                <w:szCs w:val="24"/>
                <w:highlight w:val="none"/>
              </w:rPr>
              <w:t>炭、</w:t>
            </w:r>
            <w:r>
              <w:rPr>
                <w:rFonts w:hint="default" w:ascii="Times New Roman" w:hAnsi="Times New Roman" w:eastAsia="宋体" w:cs="Times New Roman"/>
                <w:color w:val="auto"/>
                <w:spacing w:val="1"/>
                <w:sz w:val="24"/>
                <w:szCs w:val="24"/>
                <w:highlight w:val="none"/>
              </w:rPr>
              <w:t>废催化剂</w:t>
            </w:r>
            <w:r>
              <w:rPr>
                <w:rFonts w:hint="default" w:ascii="Times New Roman" w:hAnsi="Times New Roman" w:eastAsia="宋体" w:cs="Times New Roman"/>
                <w:color w:val="auto"/>
                <w:spacing w:val="-5"/>
                <w:sz w:val="24"/>
                <w:szCs w:val="24"/>
                <w:highlight w:val="none"/>
              </w:rPr>
              <w:t>定期委托危废</w:t>
            </w:r>
            <w:r>
              <w:rPr>
                <w:rFonts w:hint="default" w:ascii="Times New Roman" w:hAnsi="Times New Roman" w:cs="Times New Roman"/>
                <w:color w:val="auto"/>
                <w:spacing w:val="-5"/>
                <w:sz w:val="24"/>
                <w:szCs w:val="24"/>
                <w:highlight w:val="none"/>
                <w:lang w:val="en-US" w:eastAsia="zh-CN"/>
              </w:rPr>
              <w:t>资质单位处置</w:t>
            </w:r>
            <w:r>
              <w:rPr>
                <w:rFonts w:hint="default" w:ascii="Times New Roman" w:hAnsi="Times New Roman" w:eastAsia="宋体" w:cs="Times New Roman"/>
                <w:color w:val="auto"/>
                <w:spacing w:val="1"/>
                <w:sz w:val="24"/>
                <w:szCs w:val="24"/>
                <w:highlight w:val="none"/>
              </w:rPr>
              <w:t>，废机油</w:t>
            </w:r>
            <w:r>
              <w:rPr>
                <w:rFonts w:hint="default" w:ascii="Times New Roman" w:hAnsi="Times New Roman" w:eastAsia="宋体" w:cs="Times New Roman"/>
                <w:color w:val="auto"/>
                <w:sz w:val="24"/>
                <w:szCs w:val="24"/>
                <w:highlight w:val="none"/>
              </w:rPr>
              <w:t>集中</w:t>
            </w:r>
            <w:r>
              <w:rPr>
                <w:rFonts w:hint="default" w:ascii="Times New Roman" w:hAnsi="Times New Roman" w:eastAsia="宋体" w:cs="Times New Roman"/>
                <w:color w:val="auto"/>
                <w:spacing w:val="-1"/>
                <w:sz w:val="24"/>
                <w:szCs w:val="24"/>
                <w:highlight w:val="none"/>
              </w:rPr>
              <w:t>收集至</w:t>
            </w:r>
            <w:r>
              <w:rPr>
                <w:rFonts w:hint="default" w:ascii="Times New Roman" w:hAnsi="Times New Roman" w:cs="Times New Roman"/>
                <w:color w:val="auto"/>
                <w:spacing w:val="-1"/>
                <w:sz w:val="24"/>
                <w:szCs w:val="24"/>
                <w:highlight w:val="none"/>
                <w:lang w:eastAsia="zh-CN"/>
              </w:rPr>
              <w:t>危废暂存点</w:t>
            </w:r>
            <w:r>
              <w:rPr>
                <w:rFonts w:hint="default" w:ascii="Times New Roman" w:hAnsi="Times New Roman" w:eastAsia="宋体" w:cs="Times New Roman"/>
                <w:color w:val="auto"/>
                <w:spacing w:val="-1"/>
                <w:sz w:val="24"/>
                <w:szCs w:val="24"/>
                <w:highlight w:val="none"/>
              </w:rPr>
              <w:t>后，定期委托有相关资质的单位统一处置。综上，项目固体废物可得到合理处置，对外环境影响较小。</w:t>
            </w:r>
          </w:p>
          <w:p w14:paraId="65ECE0E3">
            <w:pPr>
              <w:spacing w:line="360" w:lineRule="auto"/>
              <w:ind w:firstLine="480" w:firstLineChars="200"/>
              <w:textAlignment w:val="baseline"/>
              <w:rPr>
                <w:rFonts w:hint="default" w:eastAsia="宋体"/>
                <w:color w:val="auto"/>
                <w:kern w:val="0"/>
                <w:sz w:val="24"/>
                <w:highlight w:val="none"/>
                <w:lang w:val="en-US" w:eastAsia="zh-CN"/>
              </w:rPr>
            </w:pPr>
            <w:r>
              <w:rPr>
                <w:color w:val="auto"/>
                <w:kern w:val="0"/>
                <w:sz w:val="24"/>
                <w:highlight w:val="none"/>
              </w:rPr>
              <w:t>本项目</w:t>
            </w:r>
            <w:r>
              <w:rPr>
                <w:rFonts w:hint="eastAsia"/>
                <w:color w:val="auto"/>
                <w:kern w:val="0"/>
                <w:sz w:val="24"/>
                <w:highlight w:val="none"/>
              </w:rPr>
              <w:t>产生的危险废物依托原有工程</w:t>
            </w:r>
            <w:r>
              <w:rPr>
                <w:rFonts w:hint="eastAsia"/>
                <w:color w:val="auto"/>
                <w:kern w:val="0"/>
                <w:sz w:val="24"/>
                <w:highlight w:val="none"/>
                <w:lang w:eastAsia="zh-CN"/>
              </w:rPr>
              <w:t>危废贮存点</w:t>
            </w:r>
            <w:r>
              <w:rPr>
                <w:rFonts w:hint="eastAsia"/>
                <w:color w:val="auto"/>
                <w:kern w:val="0"/>
                <w:sz w:val="24"/>
                <w:highlight w:val="none"/>
              </w:rPr>
              <w:t>，原有工程建设有1座占地面积为10m</w:t>
            </w:r>
            <w:r>
              <w:rPr>
                <w:rFonts w:hint="eastAsia"/>
                <w:color w:val="auto"/>
                <w:kern w:val="0"/>
                <w:sz w:val="24"/>
                <w:highlight w:val="none"/>
                <w:vertAlign w:val="superscript"/>
              </w:rPr>
              <w:t>2</w:t>
            </w:r>
            <w:r>
              <w:rPr>
                <w:rFonts w:hint="eastAsia"/>
                <w:color w:val="auto"/>
                <w:kern w:val="0"/>
                <w:sz w:val="24"/>
                <w:highlight w:val="none"/>
              </w:rPr>
              <w:t>的</w:t>
            </w:r>
            <w:r>
              <w:rPr>
                <w:rFonts w:hint="eastAsia"/>
                <w:color w:val="auto"/>
                <w:kern w:val="0"/>
                <w:sz w:val="24"/>
                <w:highlight w:val="none"/>
                <w:lang w:eastAsia="zh-CN"/>
              </w:rPr>
              <w:t>危废贮存点</w:t>
            </w:r>
            <w:r>
              <w:rPr>
                <w:rFonts w:hint="eastAsia"/>
                <w:color w:val="auto"/>
                <w:kern w:val="0"/>
                <w:sz w:val="24"/>
                <w:highlight w:val="none"/>
              </w:rPr>
              <w:t>，</w:t>
            </w:r>
            <w:r>
              <w:rPr>
                <w:rFonts w:hint="eastAsia"/>
                <w:color w:val="auto"/>
                <w:kern w:val="0"/>
                <w:sz w:val="24"/>
                <w:highlight w:val="none"/>
                <w:lang w:val="en-US" w:eastAsia="zh-CN"/>
              </w:rPr>
              <w:t>设计最大贮存量为2t，</w:t>
            </w:r>
            <w:r>
              <w:rPr>
                <w:rFonts w:hint="eastAsia"/>
                <w:color w:val="auto"/>
                <w:kern w:val="0"/>
                <w:sz w:val="24"/>
                <w:highlight w:val="none"/>
              </w:rPr>
              <w:t>用于贮存危险废物，原有工程</w:t>
            </w:r>
            <w:r>
              <w:rPr>
                <w:rFonts w:hint="eastAsia"/>
                <w:color w:val="auto"/>
                <w:kern w:val="0"/>
                <w:sz w:val="24"/>
                <w:highlight w:val="none"/>
                <w:lang w:eastAsia="zh-CN"/>
              </w:rPr>
              <w:t>危废贮存点</w:t>
            </w:r>
            <w:r>
              <w:rPr>
                <w:rFonts w:hint="eastAsia"/>
                <w:color w:val="auto"/>
                <w:kern w:val="0"/>
                <w:sz w:val="24"/>
                <w:highlight w:val="none"/>
                <w:lang w:val="en-US" w:eastAsia="zh-CN"/>
              </w:rPr>
              <w:t>容量</w:t>
            </w:r>
            <w:r>
              <w:rPr>
                <w:rFonts w:hint="eastAsia"/>
                <w:color w:val="auto"/>
                <w:kern w:val="0"/>
                <w:sz w:val="24"/>
                <w:highlight w:val="none"/>
              </w:rPr>
              <w:t>可以容纳本项目产生的危废</w:t>
            </w:r>
            <w:r>
              <w:rPr>
                <w:rFonts w:hint="eastAsia"/>
                <w:color w:val="auto"/>
                <w:kern w:val="0"/>
                <w:sz w:val="24"/>
                <w:highlight w:val="none"/>
                <w:lang w:eastAsia="zh-CN"/>
              </w:rPr>
              <w:t>，</w:t>
            </w:r>
            <w:r>
              <w:rPr>
                <w:rFonts w:hint="eastAsia"/>
                <w:color w:val="auto"/>
                <w:kern w:val="0"/>
                <w:sz w:val="24"/>
                <w:highlight w:val="none"/>
                <w:lang w:val="en-US" w:eastAsia="zh-CN"/>
              </w:rPr>
              <w:t>依托可行。</w:t>
            </w:r>
          </w:p>
          <w:p w14:paraId="44F53AA7">
            <w:pPr>
              <w:spacing w:line="360" w:lineRule="auto"/>
              <w:ind w:firstLine="480" w:firstLineChars="200"/>
              <w:textAlignment w:val="baseline"/>
              <w:rPr>
                <w:rFonts w:hint="eastAsia"/>
                <w:color w:val="auto"/>
                <w:kern w:val="0"/>
                <w:sz w:val="24"/>
                <w:highlight w:val="none"/>
                <w:lang w:val="en-US" w:eastAsia="zh-CN"/>
              </w:rPr>
            </w:pPr>
            <w:r>
              <w:rPr>
                <w:rFonts w:hint="eastAsia"/>
                <w:color w:val="auto"/>
                <w:kern w:val="0"/>
                <w:sz w:val="24"/>
                <w:highlight w:val="none"/>
                <w:lang w:val="en-US" w:eastAsia="zh-CN"/>
              </w:rPr>
              <w:t>根据</w:t>
            </w:r>
            <w:r>
              <w:rPr>
                <w:color w:val="auto"/>
                <w:kern w:val="0"/>
                <w:sz w:val="24"/>
                <w:highlight w:val="none"/>
              </w:rPr>
              <w:t>《危险废物贮存污染控制标准》（GB18597-2023）</w:t>
            </w:r>
            <w:r>
              <w:rPr>
                <w:rFonts w:hint="eastAsia"/>
                <w:color w:val="auto"/>
                <w:kern w:val="0"/>
                <w:sz w:val="24"/>
                <w:highlight w:val="none"/>
                <w:lang w:eastAsia="zh-CN"/>
              </w:rPr>
              <w:t>，</w:t>
            </w:r>
            <w:r>
              <w:rPr>
                <w:rFonts w:hint="eastAsia"/>
                <w:color w:val="auto"/>
                <w:kern w:val="0"/>
                <w:sz w:val="24"/>
                <w:highlight w:val="none"/>
              </w:rPr>
              <w:t>原有工程</w:t>
            </w:r>
            <w:r>
              <w:rPr>
                <w:rFonts w:hint="eastAsia"/>
                <w:color w:val="auto"/>
                <w:kern w:val="0"/>
                <w:sz w:val="24"/>
                <w:highlight w:val="none"/>
                <w:lang w:eastAsia="zh-CN"/>
              </w:rPr>
              <w:t>危废贮存点</w:t>
            </w:r>
            <w:r>
              <w:rPr>
                <w:rFonts w:hint="eastAsia"/>
                <w:color w:val="auto"/>
                <w:kern w:val="0"/>
                <w:sz w:val="24"/>
                <w:highlight w:val="none"/>
                <w:lang w:val="en-US" w:eastAsia="zh-CN"/>
              </w:rPr>
              <w:t>在独立区域单独建设，具备</w:t>
            </w:r>
            <w:r>
              <w:rPr>
                <w:rFonts w:ascii="宋体" w:hAnsi="宋体" w:eastAsia="宋体" w:cs="宋体"/>
                <w:color w:val="auto"/>
                <w:sz w:val="24"/>
                <w:szCs w:val="24"/>
                <w:highlight w:val="none"/>
              </w:rPr>
              <w:t>防风、防晒、防雨、防漏、防渗、防腐</w:t>
            </w:r>
            <w:r>
              <w:rPr>
                <w:rFonts w:hint="eastAsia" w:ascii="宋体" w:hAnsi="宋体" w:eastAsia="宋体" w:cs="宋体"/>
                <w:color w:val="auto"/>
                <w:sz w:val="24"/>
                <w:szCs w:val="24"/>
                <w:highlight w:val="none"/>
                <w:lang w:val="en-US" w:eastAsia="zh-CN"/>
              </w:rPr>
              <w:t>等要求。危废贮存点内已进行分区隔离，用于存放废灯管和废矿物油。危废贮存点</w:t>
            </w:r>
            <w:r>
              <w:rPr>
                <w:rFonts w:ascii="宋体" w:hAnsi="宋体" w:eastAsia="宋体" w:cs="宋体"/>
                <w:color w:val="auto"/>
                <w:sz w:val="24"/>
                <w:szCs w:val="24"/>
                <w:highlight w:val="none"/>
              </w:rPr>
              <w:t>内地面、墙面裙脚、隔板和墙体等表面无裂缝。</w:t>
            </w:r>
            <w:r>
              <w:rPr>
                <w:color w:val="auto"/>
                <w:kern w:val="0"/>
                <w:sz w:val="24"/>
                <w:highlight w:val="none"/>
              </w:rPr>
              <w:t>在醒目位置</w:t>
            </w:r>
            <w:r>
              <w:rPr>
                <w:rFonts w:hint="eastAsia"/>
                <w:color w:val="auto"/>
                <w:kern w:val="0"/>
                <w:sz w:val="24"/>
                <w:highlight w:val="none"/>
              </w:rPr>
              <w:t>张贴</w:t>
            </w:r>
            <w:r>
              <w:rPr>
                <w:rFonts w:hint="eastAsia"/>
                <w:color w:val="auto"/>
                <w:kern w:val="0"/>
                <w:sz w:val="24"/>
                <w:highlight w:val="none"/>
                <w:lang w:val="en-US" w:eastAsia="zh-CN"/>
              </w:rPr>
              <w:t>有</w:t>
            </w:r>
            <w:r>
              <w:rPr>
                <w:color w:val="auto"/>
                <w:kern w:val="0"/>
                <w:sz w:val="24"/>
                <w:highlight w:val="none"/>
              </w:rPr>
              <w:t>危废标识牌</w:t>
            </w:r>
            <w:r>
              <w:rPr>
                <w:rFonts w:hint="eastAsia"/>
                <w:color w:val="auto"/>
                <w:kern w:val="0"/>
                <w:sz w:val="24"/>
                <w:highlight w:val="none"/>
                <w:lang w:val="en-US" w:eastAsia="zh-CN"/>
              </w:rPr>
              <w:t>。</w:t>
            </w:r>
          </w:p>
          <w:p w14:paraId="548AB560">
            <w:pPr>
              <w:spacing w:line="360" w:lineRule="auto"/>
              <w:ind w:firstLine="480" w:firstLineChars="200"/>
              <w:textAlignment w:val="baseline"/>
              <w:rPr>
                <w:rFonts w:hint="default"/>
                <w:color w:val="auto"/>
                <w:highlight w:val="none"/>
                <w:lang w:val="en-US" w:eastAsia="zh-CN"/>
              </w:rPr>
            </w:pPr>
            <w:r>
              <w:rPr>
                <w:rFonts w:hint="eastAsia"/>
                <w:color w:val="auto"/>
                <w:kern w:val="0"/>
                <w:sz w:val="24"/>
                <w:highlight w:val="none"/>
                <w:lang w:val="en-US" w:eastAsia="zh-CN"/>
              </w:rPr>
              <w:t>根据现场勘察，</w:t>
            </w:r>
            <w:r>
              <w:rPr>
                <w:rFonts w:hint="eastAsia" w:ascii="Times New Roman" w:hAnsi="Times New Roman" w:eastAsia="宋体" w:cs="Times New Roman"/>
                <w:color w:val="auto"/>
                <w:kern w:val="0"/>
                <w:sz w:val="24"/>
                <w:highlight w:val="none"/>
                <w:lang w:val="en-US" w:eastAsia="zh-CN"/>
              </w:rPr>
              <w:t>原有危废贮存点内无液体导流和收集设施，本次评价要求建设单位对危废贮存点进行改造，在危废贮存点内</w:t>
            </w:r>
            <w:r>
              <w:rPr>
                <w:rFonts w:ascii="宋体" w:hAnsi="宋体" w:cs="宋体"/>
                <w:color w:val="auto"/>
                <w:kern w:val="0"/>
                <w:sz w:val="24"/>
                <w:highlight w:val="none"/>
                <w:lang w:bidi="ar"/>
              </w:rPr>
              <w:t>废矿物油</w:t>
            </w:r>
            <w:r>
              <w:rPr>
                <w:rFonts w:hint="eastAsia" w:ascii="宋体" w:hAnsi="宋体" w:cs="宋体"/>
                <w:color w:val="auto"/>
                <w:kern w:val="0"/>
                <w:sz w:val="24"/>
                <w:highlight w:val="none"/>
                <w:lang w:val="en-US" w:eastAsia="zh-CN" w:bidi="ar"/>
              </w:rPr>
              <w:t>贮存区域设置导流沟并建设收集池，收集池</w:t>
            </w:r>
            <w:r>
              <w:rPr>
                <w:rFonts w:ascii="宋体" w:hAnsi="宋体" w:eastAsia="宋体" w:cs="宋体"/>
                <w:color w:val="auto"/>
                <w:sz w:val="24"/>
                <w:szCs w:val="24"/>
                <w:highlight w:val="none"/>
              </w:rPr>
              <w:t>最小容积不应低于对应贮存区域最大液态废物容器容积或液态废物总储量1/10（二者取较大者）</w:t>
            </w:r>
            <w:r>
              <w:rPr>
                <w:rFonts w:hint="eastAsia" w:ascii="宋体" w:hAnsi="宋体" w:eastAsia="宋体" w:cs="宋体"/>
                <w:color w:val="auto"/>
                <w:sz w:val="24"/>
                <w:szCs w:val="24"/>
                <w:highlight w:val="none"/>
                <w:lang w:eastAsia="zh-CN"/>
              </w:rPr>
              <w:t>，</w:t>
            </w:r>
            <w:r>
              <w:rPr>
                <w:rFonts w:hint="eastAsia" w:ascii="宋体" w:hAnsi="宋体" w:cs="宋体"/>
                <w:color w:val="auto"/>
                <w:kern w:val="0"/>
                <w:sz w:val="24"/>
                <w:highlight w:val="none"/>
                <w:lang w:val="en-US" w:eastAsia="zh-CN" w:bidi="ar"/>
              </w:rPr>
              <w:t>用于防止废矿物油贮存期间因事故泄露导致环境污染。</w:t>
            </w:r>
          </w:p>
          <w:p w14:paraId="5C82C109">
            <w:pPr>
              <w:spacing w:line="360" w:lineRule="auto"/>
              <w:ind w:firstLine="480" w:firstLineChars="200"/>
              <w:textAlignment w:val="baseline"/>
              <w:rPr>
                <w:rFonts w:hint="default" w:ascii="Times New Roman" w:hAnsi="Times New Roman" w:eastAsia="宋体" w:cs="Times New Roman"/>
                <w:color w:val="auto"/>
                <w:spacing w:val="-2"/>
                <w:sz w:val="24"/>
                <w:szCs w:val="24"/>
                <w:highlight w:val="none"/>
              </w:rPr>
            </w:pPr>
            <w:r>
              <w:rPr>
                <w:color w:val="auto"/>
                <w:sz w:val="24"/>
                <w:highlight w:val="none"/>
              </w:rPr>
              <w:t>本项目运行后，</w:t>
            </w:r>
            <w:r>
              <w:rPr>
                <w:rFonts w:hint="eastAsia"/>
                <w:color w:val="auto"/>
                <w:sz w:val="24"/>
                <w:highlight w:val="none"/>
              </w:rPr>
              <w:t>在</w:t>
            </w:r>
            <w:r>
              <w:rPr>
                <w:color w:val="auto"/>
                <w:sz w:val="24"/>
                <w:highlight w:val="none"/>
              </w:rPr>
              <w:t>危废</w:t>
            </w:r>
            <w:r>
              <w:rPr>
                <w:rFonts w:hint="eastAsia"/>
                <w:color w:val="auto"/>
                <w:sz w:val="24"/>
                <w:highlight w:val="none"/>
              </w:rPr>
              <w:t>转移</w:t>
            </w:r>
            <w:r>
              <w:rPr>
                <w:color w:val="auto"/>
                <w:sz w:val="24"/>
                <w:highlight w:val="none"/>
              </w:rPr>
              <w:t>处理前（危废在厂内暂存时间不得超过一年），应提供与具有危险废物处置资质的单位签订委托处置协议，落实危废处置去向。</w:t>
            </w:r>
            <w:r>
              <w:rPr>
                <w:rFonts w:hint="eastAsia"/>
                <w:color w:val="auto"/>
                <w:kern w:val="0"/>
                <w:sz w:val="24"/>
                <w:highlight w:val="none"/>
              </w:rPr>
              <w:t>同时按照《危险废物管理计划和管理台账制定技术导则》制定危废管理计划，建立危废管理台账。</w:t>
            </w:r>
          </w:p>
          <w:p w14:paraId="65F56AC0">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2</w:t>
            </w:r>
            <w:r>
              <w:rPr>
                <w:rFonts w:hint="default" w:ascii="Times New Roman" w:hAnsi="Times New Roman" w:eastAsia="宋体" w:cs="Times New Roman"/>
                <w:color w:val="auto"/>
                <w:spacing w:val="-2"/>
                <w:sz w:val="24"/>
                <w:szCs w:val="24"/>
                <w:highlight w:val="none"/>
              </w:rPr>
              <w:t>）一般固废暂存要求</w:t>
            </w:r>
          </w:p>
          <w:p w14:paraId="3A65F791">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cs="Times New Roman"/>
                <w:color w:val="auto"/>
                <w:spacing w:val="1"/>
                <w:sz w:val="24"/>
                <w:szCs w:val="24"/>
                <w:highlight w:val="none"/>
                <w:lang w:val="en-US" w:eastAsia="zh-CN"/>
              </w:rPr>
              <w:t>建设单位已建设</w:t>
            </w:r>
            <w:r>
              <w:rPr>
                <w:rFonts w:hint="default" w:ascii="Times New Roman" w:hAnsi="Times New Roman" w:eastAsia="宋体" w:cs="Times New Roman"/>
                <w:b/>
                <w:bCs/>
                <w:color w:val="auto"/>
                <w:kern w:val="0"/>
                <w:sz w:val="24"/>
                <w:szCs w:val="24"/>
                <w:highlight w:val="none"/>
                <w:lang w:val="en-US" w:eastAsia="zh-CN" w:bidi="ar"/>
              </w:rPr>
              <w:t>一</w:t>
            </w:r>
            <w:r>
              <w:rPr>
                <w:rFonts w:hint="default" w:ascii="Times New Roman" w:hAnsi="Times New Roman" w:eastAsia="宋体" w:cs="Times New Roman"/>
                <w:b w:val="0"/>
                <w:bCs w:val="0"/>
                <w:color w:val="auto"/>
                <w:kern w:val="0"/>
                <w:sz w:val="24"/>
                <w:szCs w:val="24"/>
                <w:highlight w:val="none"/>
                <w:lang w:val="en-US" w:eastAsia="zh-CN" w:bidi="ar"/>
              </w:rPr>
              <w:t>般固废贮存区，占地400m</w:t>
            </w:r>
            <w:r>
              <w:rPr>
                <w:rFonts w:hint="default" w:ascii="Times New Roman" w:hAnsi="Times New Roman" w:eastAsia="宋体" w:cs="Times New Roman"/>
                <w:b w:val="0"/>
                <w:bCs w:val="0"/>
                <w:color w:val="auto"/>
                <w:kern w:val="0"/>
                <w:sz w:val="24"/>
                <w:szCs w:val="24"/>
                <w:highlight w:val="none"/>
                <w:vertAlign w:val="superscript"/>
                <w:lang w:val="en-US" w:eastAsia="zh-CN" w:bidi="ar"/>
              </w:rPr>
              <w:t>2</w:t>
            </w:r>
            <w:r>
              <w:rPr>
                <w:rFonts w:hint="default" w:ascii="Times New Roman" w:hAnsi="Times New Roman" w:eastAsia="宋体" w:cs="Times New Roman"/>
                <w:b w:val="0"/>
                <w:bCs w:val="0"/>
                <w:color w:val="auto"/>
                <w:kern w:val="0"/>
                <w:sz w:val="24"/>
                <w:szCs w:val="24"/>
                <w:highlight w:val="none"/>
                <w:lang w:val="en-US" w:eastAsia="zh-CN" w:bidi="ar"/>
              </w:rPr>
              <w:t>；</w:t>
            </w:r>
            <w:r>
              <w:rPr>
                <w:rFonts w:hint="default" w:ascii="Times New Roman" w:hAnsi="Times New Roman" w:eastAsia="宋体" w:cs="Times New Roman"/>
                <w:b w:val="0"/>
                <w:bCs w:val="0"/>
                <w:color w:val="auto"/>
                <w:spacing w:val="1"/>
                <w:sz w:val="24"/>
                <w:szCs w:val="24"/>
                <w:highlight w:val="none"/>
              </w:rPr>
              <w:t>根据</w:t>
            </w:r>
            <w:r>
              <w:rPr>
                <w:rFonts w:hint="default" w:ascii="Times New Roman" w:hAnsi="Times New Roman" w:eastAsia="宋体" w:cs="Times New Roman"/>
                <w:color w:val="auto"/>
                <w:spacing w:val="1"/>
                <w:sz w:val="24"/>
                <w:szCs w:val="24"/>
                <w:highlight w:val="none"/>
              </w:rPr>
              <w:t>一般固废种类进行分类收集，分类贮存，贮存场所设置挡风、挡雨和防渗措施，可有效防止扬尘、渗滤液对周围环境造成影响。</w:t>
            </w:r>
          </w:p>
          <w:p w14:paraId="614FC973">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pacing w:val="1"/>
                <w:sz w:val="24"/>
                <w:szCs w:val="24"/>
                <w:highlight w:val="none"/>
                <w:lang w:val="en-US" w:eastAsia="zh-CN"/>
              </w:rPr>
              <w:t>本次环评要求建设单位对</w:t>
            </w:r>
            <w:r>
              <w:rPr>
                <w:rFonts w:hint="default" w:ascii="Times New Roman" w:hAnsi="Times New Roman" w:eastAsia="宋体" w:cs="Times New Roman"/>
                <w:color w:val="auto"/>
                <w:spacing w:val="1"/>
                <w:sz w:val="24"/>
                <w:szCs w:val="24"/>
                <w:highlight w:val="none"/>
              </w:rPr>
              <w:t>一般固</w:t>
            </w:r>
            <w:r>
              <w:rPr>
                <w:rFonts w:hint="default" w:ascii="Times New Roman" w:hAnsi="Times New Roman" w:eastAsia="宋体" w:cs="Times New Roman"/>
                <w:color w:val="auto"/>
                <w:sz w:val="24"/>
                <w:szCs w:val="24"/>
                <w:highlight w:val="none"/>
              </w:rPr>
              <w:t>废临时</w:t>
            </w:r>
            <w:r>
              <w:rPr>
                <w:rFonts w:hint="default" w:ascii="Times New Roman" w:hAnsi="Times New Roman" w:eastAsia="宋体" w:cs="Times New Roman"/>
                <w:color w:val="auto"/>
                <w:spacing w:val="-6"/>
                <w:sz w:val="24"/>
                <w:szCs w:val="24"/>
                <w:highlight w:val="none"/>
              </w:rPr>
              <w:t>暂存场所按照《一般工业固体废物贮存和填埋污染</w:t>
            </w:r>
            <w:r>
              <w:rPr>
                <w:rFonts w:hint="default" w:ascii="Times New Roman" w:hAnsi="Times New Roman" w:eastAsia="宋体" w:cs="Times New Roman"/>
                <w:color w:val="auto"/>
                <w:spacing w:val="-7"/>
                <w:sz w:val="24"/>
                <w:szCs w:val="24"/>
                <w:highlight w:val="none"/>
              </w:rPr>
              <w:t>控制标准》</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GB18599-2020</w:t>
            </w:r>
            <w:r>
              <w:rPr>
                <w:rFonts w:hint="default" w:ascii="Times New Roman" w:hAnsi="Times New Roman" w:eastAsia="宋体" w:cs="Times New Roman"/>
                <w:color w:val="auto"/>
                <w:spacing w:val="-1"/>
                <w:sz w:val="24"/>
                <w:szCs w:val="24"/>
                <w:highlight w:val="none"/>
              </w:rPr>
              <w:t>）的相关要求进行</w:t>
            </w:r>
            <w:r>
              <w:rPr>
                <w:rFonts w:hint="default" w:ascii="Times New Roman" w:hAnsi="Times New Roman" w:cs="Times New Roman"/>
                <w:color w:val="auto"/>
                <w:spacing w:val="-1"/>
                <w:sz w:val="24"/>
                <w:szCs w:val="24"/>
                <w:highlight w:val="none"/>
                <w:lang w:eastAsia="zh-CN"/>
              </w:rPr>
              <w:t>设置</w:t>
            </w:r>
            <w:r>
              <w:rPr>
                <w:rFonts w:hint="default" w:ascii="Times New Roman" w:hAnsi="Times New Roman" w:cs="Times New Roman"/>
                <w:color w:val="auto"/>
                <w:spacing w:val="-1"/>
                <w:sz w:val="24"/>
                <w:szCs w:val="24"/>
                <w:highlight w:val="none"/>
                <w:lang w:val="en-US" w:eastAsia="zh-CN"/>
              </w:rPr>
              <w:t>并完善建设的不足</w:t>
            </w:r>
            <w:r>
              <w:rPr>
                <w:rFonts w:hint="default" w:ascii="Times New Roman" w:hAnsi="Times New Roman" w:eastAsia="宋体" w:cs="Times New Roman"/>
                <w:color w:val="auto"/>
                <w:spacing w:val="-1"/>
                <w:sz w:val="24"/>
                <w:szCs w:val="24"/>
                <w:highlight w:val="none"/>
              </w:rPr>
              <w:t>。同时，根据《一般工业固体废物管</w:t>
            </w:r>
            <w:r>
              <w:rPr>
                <w:rFonts w:hint="default" w:ascii="Times New Roman" w:hAnsi="Times New Roman" w:eastAsia="宋体" w:cs="Times New Roman"/>
                <w:color w:val="auto"/>
                <w:spacing w:val="1"/>
                <w:sz w:val="24"/>
                <w:szCs w:val="24"/>
                <w:highlight w:val="none"/>
              </w:rPr>
              <w:t>理台账制定指南（试行）》，建立一般工业固体废物管理台账，一般</w:t>
            </w:r>
            <w:r>
              <w:rPr>
                <w:rFonts w:hint="default" w:ascii="Times New Roman" w:hAnsi="Times New Roman" w:eastAsia="宋体" w:cs="Times New Roman"/>
                <w:color w:val="auto"/>
                <w:sz w:val="24"/>
                <w:szCs w:val="24"/>
                <w:highlight w:val="none"/>
              </w:rPr>
              <w:t>工业固</w:t>
            </w:r>
            <w:r>
              <w:rPr>
                <w:rFonts w:hint="default" w:ascii="Times New Roman" w:hAnsi="Times New Roman" w:eastAsia="宋体" w:cs="Times New Roman"/>
                <w:color w:val="auto"/>
                <w:spacing w:val="1"/>
                <w:sz w:val="24"/>
                <w:szCs w:val="24"/>
                <w:highlight w:val="none"/>
              </w:rPr>
              <w:t>体废物管理台账实施分级管理，主要用于记录固体废物的基础信息及</w:t>
            </w:r>
            <w:r>
              <w:rPr>
                <w:rFonts w:hint="default" w:ascii="Times New Roman" w:hAnsi="Times New Roman" w:eastAsia="宋体" w:cs="Times New Roman"/>
                <w:color w:val="auto"/>
                <w:sz w:val="24"/>
                <w:szCs w:val="24"/>
                <w:highlight w:val="none"/>
              </w:rPr>
              <w:t>流向信</w:t>
            </w:r>
            <w:r>
              <w:rPr>
                <w:rFonts w:hint="default" w:ascii="Times New Roman" w:hAnsi="Times New Roman" w:eastAsia="宋体" w:cs="Times New Roman"/>
                <w:color w:val="auto"/>
                <w:spacing w:val="1"/>
                <w:sz w:val="24"/>
                <w:szCs w:val="24"/>
                <w:highlight w:val="none"/>
              </w:rPr>
              <w:t>息，每一批次固体废物的出厂以及转移信息均应当如实记录。企业应</w:t>
            </w:r>
            <w:r>
              <w:rPr>
                <w:rFonts w:hint="default" w:ascii="Times New Roman" w:hAnsi="Times New Roman" w:eastAsia="宋体" w:cs="Times New Roman"/>
                <w:color w:val="auto"/>
                <w:sz w:val="24"/>
                <w:szCs w:val="24"/>
                <w:highlight w:val="none"/>
              </w:rPr>
              <w:t>设置专</w:t>
            </w:r>
            <w:r>
              <w:rPr>
                <w:rFonts w:hint="default" w:ascii="Times New Roman" w:hAnsi="Times New Roman" w:eastAsia="宋体" w:cs="Times New Roman"/>
                <w:color w:val="auto"/>
                <w:spacing w:val="-2"/>
                <w:sz w:val="24"/>
                <w:szCs w:val="24"/>
                <w:highlight w:val="none"/>
              </w:rPr>
              <w:t>人负责台账的管理与归档，一般工业固体废物管理台账保存期限不少于</w:t>
            </w:r>
            <w:r>
              <w:rPr>
                <w:rFonts w:hint="default" w:ascii="Times New Roman" w:hAnsi="Times New Roman" w:eastAsia="Times New Roman" w:cs="Times New Roman"/>
                <w:color w:val="auto"/>
                <w:spacing w:val="-2"/>
                <w:sz w:val="24"/>
                <w:szCs w:val="24"/>
                <w:highlight w:val="none"/>
              </w:rPr>
              <w:t>5</w:t>
            </w:r>
            <w:r>
              <w:rPr>
                <w:rFonts w:hint="default" w:ascii="Times New Roman" w:hAnsi="Times New Roman" w:eastAsia="宋体" w:cs="Times New Roman"/>
                <w:color w:val="auto"/>
                <w:spacing w:val="-2"/>
                <w:sz w:val="24"/>
                <w:szCs w:val="24"/>
                <w:highlight w:val="none"/>
              </w:rPr>
              <w:t>年，</w:t>
            </w:r>
            <w:r>
              <w:rPr>
                <w:rFonts w:hint="default" w:ascii="Times New Roman" w:hAnsi="Times New Roman" w:eastAsia="宋体" w:cs="Times New Roman"/>
                <w:color w:val="auto"/>
                <w:sz w:val="24"/>
                <w:szCs w:val="24"/>
                <w:highlight w:val="none"/>
              </w:rPr>
              <w:t>台账记录的负责人要对各表单记录信息的真实性</w:t>
            </w:r>
            <w:r>
              <w:rPr>
                <w:rFonts w:hint="default" w:ascii="Times New Roman" w:hAnsi="Times New Roman" w:eastAsia="宋体" w:cs="Times New Roman"/>
                <w:color w:val="auto"/>
                <w:spacing w:val="-1"/>
                <w:sz w:val="24"/>
                <w:szCs w:val="24"/>
                <w:highlight w:val="none"/>
              </w:rPr>
              <w:t>、完整性和规范性负责。</w:t>
            </w:r>
          </w:p>
          <w:p w14:paraId="0A1DFA73">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3</w:t>
            </w:r>
            <w:r>
              <w:rPr>
                <w:rFonts w:hint="default" w:ascii="Times New Roman" w:hAnsi="Times New Roman" w:eastAsia="宋体" w:cs="Times New Roman"/>
                <w:color w:val="auto"/>
                <w:spacing w:val="-2"/>
                <w:sz w:val="24"/>
                <w:szCs w:val="24"/>
                <w:highlight w:val="none"/>
              </w:rPr>
              <w:t>）危废管理基本要求</w:t>
            </w:r>
          </w:p>
          <w:p w14:paraId="1624E28C">
            <w:pPr>
              <w:keepNext w:val="0"/>
              <w:keepLines w:val="0"/>
              <w:pageBreakBefore w:val="0"/>
              <w:widowControl/>
              <w:kinsoku w:val="0"/>
              <w:wordWrap/>
              <w:overflowPunct/>
              <w:topLinePunct w:val="0"/>
              <w:autoSpaceDE w:val="0"/>
              <w:autoSpaceDN w:val="0"/>
              <w:bidi w:val="0"/>
              <w:snapToGrid w:val="0"/>
              <w:spacing w:line="360" w:lineRule="auto"/>
              <w:ind w:left="0" w:right="0" w:firstLine="64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2"/>
                <w:sz w:val="24"/>
                <w:szCs w:val="24"/>
                <w:highlight w:val="none"/>
              </w:rPr>
              <w:t>本项目</w:t>
            </w:r>
            <w:r>
              <w:rPr>
                <w:rFonts w:hint="default" w:ascii="Times New Roman" w:hAnsi="Times New Roman" w:cs="Times New Roman"/>
                <w:color w:val="auto"/>
                <w:spacing w:val="42"/>
                <w:sz w:val="24"/>
                <w:szCs w:val="24"/>
                <w:highlight w:val="none"/>
                <w:lang w:eastAsia="zh-CN"/>
              </w:rPr>
              <w:t>危废暂存点</w:t>
            </w:r>
            <w:r>
              <w:rPr>
                <w:rFonts w:hint="default" w:ascii="Times New Roman" w:hAnsi="Times New Roman" w:cs="Times New Roman"/>
                <w:color w:val="auto"/>
                <w:spacing w:val="42"/>
                <w:sz w:val="24"/>
                <w:szCs w:val="24"/>
                <w:highlight w:val="none"/>
                <w:lang w:val="en-US" w:eastAsia="zh-CN"/>
              </w:rPr>
              <w:t>已建设完成，并</w:t>
            </w:r>
            <w:r>
              <w:rPr>
                <w:rFonts w:hint="default" w:ascii="Times New Roman" w:hAnsi="Times New Roman" w:eastAsia="宋体" w:cs="Times New Roman"/>
                <w:color w:val="auto"/>
                <w:spacing w:val="42"/>
                <w:sz w:val="24"/>
                <w:szCs w:val="24"/>
                <w:highlight w:val="none"/>
              </w:rPr>
              <w:t>按照《危险废物贮存</w:t>
            </w:r>
            <w:r>
              <w:rPr>
                <w:rFonts w:hint="default" w:ascii="Times New Roman" w:hAnsi="Times New Roman" w:eastAsia="宋体" w:cs="Times New Roman"/>
                <w:color w:val="auto"/>
                <w:spacing w:val="41"/>
                <w:sz w:val="24"/>
                <w:szCs w:val="24"/>
                <w:highlight w:val="none"/>
              </w:rPr>
              <w:t>污染控制标准》</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GB18597-2023</w:t>
            </w:r>
            <w:r>
              <w:rPr>
                <w:rFonts w:hint="default" w:ascii="Times New Roman" w:hAnsi="Times New Roman" w:eastAsia="宋体" w:cs="Times New Roman"/>
                <w:color w:val="auto"/>
                <w:spacing w:val="-1"/>
                <w:sz w:val="24"/>
                <w:szCs w:val="24"/>
                <w:highlight w:val="none"/>
              </w:rPr>
              <w:t>）和《危险废物收集贮存运输技术规范》</w:t>
            </w:r>
            <w:r>
              <w:rPr>
                <w:rFonts w:hint="default" w:ascii="Times New Roman" w:hAnsi="Times New Roman" w:eastAsia="Times New Roman" w:cs="Times New Roman"/>
                <w:color w:val="auto"/>
                <w:spacing w:val="-1"/>
                <w:sz w:val="24"/>
                <w:szCs w:val="24"/>
                <w:highlight w:val="none"/>
              </w:rPr>
              <w:t>(HJ2025-2</w:t>
            </w:r>
            <w:r>
              <w:rPr>
                <w:rFonts w:hint="default" w:ascii="Times New Roman" w:hAnsi="Times New Roman" w:eastAsia="Times New Roman" w:cs="Times New Roman"/>
                <w:color w:val="auto"/>
                <w:spacing w:val="-2"/>
                <w:sz w:val="24"/>
                <w:szCs w:val="24"/>
                <w:highlight w:val="none"/>
              </w:rPr>
              <w:t>012)</w:t>
            </w:r>
            <w:r>
              <w:rPr>
                <w:rFonts w:hint="default" w:ascii="Times New Roman" w:hAnsi="Times New Roman" w:eastAsia="宋体" w:cs="Times New Roman"/>
                <w:color w:val="auto"/>
                <w:spacing w:val="-2"/>
                <w:sz w:val="24"/>
                <w:szCs w:val="24"/>
                <w:highlight w:val="none"/>
              </w:rPr>
              <w:t>的要</w:t>
            </w:r>
            <w:r>
              <w:rPr>
                <w:rFonts w:hint="default" w:ascii="Times New Roman" w:hAnsi="Times New Roman" w:eastAsia="宋体" w:cs="Times New Roman"/>
                <w:color w:val="auto"/>
                <w:spacing w:val="1"/>
                <w:sz w:val="24"/>
                <w:szCs w:val="24"/>
                <w:highlight w:val="none"/>
              </w:rPr>
              <w:t>求</w:t>
            </w:r>
            <w:r>
              <w:rPr>
                <w:rFonts w:hint="default" w:ascii="Times New Roman" w:hAnsi="Times New Roman" w:cs="Times New Roman"/>
                <w:color w:val="auto"/>
                <w:spacing w:val="1"/>
                <w:sz w:val="24"/>
                <w:szCs w:val="24"/>
                <w:highlight w:val="none"/>
                <w:lang w:val="en-US" w:eastAsia="zh-CN"/>
              </w:rPr>
              <w:t>进行整改</w:t>
            </w:r>
            <w:r>
              <w:rPr>
                <w:rFonts w:hint="default" w:ascii="Times New Roman" w:hAnsi="Times New Roman" w:eastAsia="宋体" w:cs="Times New Roman"/>
                <w:color w:val="auto"/>
                <w:spacing w:val="1"/>
                <w:sz w:val="24"/>
                <w:szCs w:val="24"/>
                <w:highlight w:val="none"/>
              </w:rPr>
              <w:t>。现将本次</w:t>
            </w:r>
            <w:r>
              <w:rPr>
                <w:rFonts w:hint="default" w:ascii="Times New Roman" w:hAnsi="Times New Roman" w:cs="Times New Roman"/>
                <w:color w:val="auto"/>
                <w:spacing w:val="1"/>
                <w:sz w:val="24"/>
                <w:szCs w:val="24"/>
                <w:highlight w:val="none"/>
                <w:lang w:eastAsia="zh-CN"/>
              </w:rPr>
              <w:t>危废暂存点</w:t>
            </w:r>
            <w:r>
              <w:rPr>
                <w:rFonts w:hint="default" w:ascii="Times New Roman" w:hAnsi="Times New Roman" w:eastAsia="宋体" w:cs="Times New Roman"/>
                <w:color w:val="auto"/>
                <w:spacing w:val="1"/>
                <w:sz w:val="24"/>
                <w:szCs w:val="24"/>
                <w:highlight w:val="none"/>
              </w:rPr>
              <w:t>设计、建设和运行阶段应采取的污</w:t>
            </w:r>
            <w:r>
              <w:rPr>
                <w:rFonts w:hint="default" w:ascii="Times New Roman" w:hAnsi="Times New Roman" w:eastAsia="宋体" w:cs="Times New Roman"/>
                <w:color w:val="auto"/>
                <w:sz w:val="24"/>
                <w:szCs w:val="24"/>
                <w:highlight w:val="none"/>
              </w:rPr>
              <w:t>染防治措施</w:t>
            </w:r>
            <w:r>
              <w:rPr>
                <w:rFonts w:hint="default" w:ascii="Times New Roman" w:hAnsi="Times New Roman" w:eastAsia="宋体" w:cs="Times New Roman"/>
                <w:color w:val="auto"/>
                <w:spacing w:val="-3"/>
                <w:sz w:val="24"/>
                <w:szCs w:val="24"/>
                <w:highlight w:val="none"/>
              </w:rPr>
              <w:t>说明如下：</w:t>
            </w:r>
          </w:p>
          <w:p w14:paraId="11B2B7F5">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3"/>
                <w:sz w:val="24"/>
                <w:szCs w:val="24"/>
                <w:highlight w:val="none"/>
              </w:rPr>
              <w:t>1</w:t>
            </w:r>
            <w:r>
              <w:rPr>
                <w:rFonts w:hint="default" w:ascii="Times New Roman" w:hAnsi="Times New Roman" w:eastAsia="宋体" w:cs="Times New Roman"/>
                <w:color w:val="auto"/>
                <w:spacing w:val="-3"/>
                <w:sz w:val="24"/>
                <w:szCs w:val="24"/>
                <w:highlight w:val="none"/>
              </w:rPr>
              <w:t>）</w:t>
            </w:r>
            <w:r>
              <w:rPr>
                <w:rFonts w:hint="default" w:ascii="Times New Roman" w:hAnsi="Times New Roman" w:cs="Times New Roman"/>
                <w:color w:val="auto"/>
                <w:spacing w:val="-3"/>
                <w:sz w:val="24"/>
                <w:szCs w:val="24"/>
                <w:highlight w:val="none"/>
                <w:lang w:eastAsia="zh-CN"/>
              </w:rPr>
              <w:t>危废暂存点</w:t>
            </w:r>
            <w:r>
              <w:rPr>
                <w:rFonts w:hint="default" w:ascii="Times New Roman" w:hAnsi="Times New Roman" w:eastAsia="宋体" w:cs="Times New Roman"/>
                <w:color w:val="auto"/>
                <w:spacing w:val="-3"/>
                <w:sz w:val="24"/>
                <w:szCs w:val="24"/>
                <w:highlight w:val="none"/>
              </w:rPr>
              <w:t>设计原则</w:t>
            </w:r>
          </w:p>
          <w:p w14:paraId="286D49D4">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①</w:t>
            </w:r>
            <w:r>
              <w:rPr>
                <w:rFonts w:hint="default" w:ascii="Times New Roman" w:hAnsi="Times New Roman" w:cs="Times New Roman"/>
                <w:color w:val="auto"/>
                <w:spacing w:val="1"/>
                <w:sz w:val="24"/>
                <w:szCs w:val="24"/>
                <w:highlight w:val="none"/>
                <w:lang w:eastAsia="zh-CN"/>
              </w:rPr>
              <w:t>危废暂存点</w:t>
            </w:r>
            <w:r>
              <w:rPr>
                <w:rFonts w:hint="default" w:ascii="Times New Roman" w:hAnsi="Times New Roman" w:eastAsia="宋体" w:cs="Times New Roman"/>
                <w:color w:val="auto"/>
                <w:spacing w:val="1"/>
                <w:sz w:val="24"/>
                <w:szCs w:val="24"/>
                <w:highlight w:val="none"/>
              </w:rPr>
              <w:t>地面与裙脚用坚固、防渗的材料建造，建筑材料必须与危</w:t>
            </w:r>
            <w:r>
              <w:rPr>
                <w:rFonts w:hint="default" w:ascii="Times New Roman" w:hAnsi="Times New Roman" w:eastAsia="宋体" w:cs="Times New Roman"/>
                <w:color w:val="auto"/>
                <w:spacing w:val="2"/>
                <w:sz w:val="24"/>
                <w:szCs w:val="24"/>
                <w:highlight w:val="none"/>
              </w:rPr>
              <w:t>险废物相容。地基承载力特征值</w:t>
            </w:r>
            <w:r>
              <w:rPr>
                <w:rFonts w:hint="default" w:ascii="Times New Roman" w:hAnsi="Times New Roman" w:eastAsia="Times New Roman" w:cs="Times New Roman"/>
                <w:color w:val="auto"/>
                <w:sz w:val="24"/>
                <w:szCs w:val="24"/>
                <w:highlight w:val="none"/>
              </w:rPr>
              <w:t>fak</w:t>
            </w:r>
            <w:r>
              <w:rPr>
                <w:rFonts w:hint="default" w:ascii="Times New Roman" w:hAnsi="Times New Roman" w:eastAsia="Times New Roman" w:cs="Times New Roman"/>
                <w:color w:val="auto"/>
                <w:spacing w:val="2"/>
                <w:sz w:val="24"/>
                <w:szCs w:val="24"/>
                <w:highlight w:val="none"/>
              </w:rPr>
              <w:t>≥200</w:t>
            </w:r>
            <w:r>
              <w:rPr>
                <w:rFonts w:hint="default" w:ascii="Times New Roman" w:hAnsi="Times New Roman" w:eastAsia="Times New Roman" w:cs="Times New Roman"/>
                <w:color w:val="auto"/>
                <w:sz w:val="24"/>
                <w:szCs w:val="24"/>
                <w:highlight w:val="none"/>
              </w:rPr>
              <w:t>kPa</w:t>
            </w:r>
            <w:r>
              <w:rPr>
                <w:rFonts w:hint="default" w:ascii="Times New Roman" w:hAnsi="Times New Roman" w:eastAsia="宋体" w:cs="Times New Roman"/>
                <w:color w:val="auto"/>
                <w:spacing w:val="2"/>
                <w:sz w:val="24"/>
                <w:szCs w:val="24"/>
                <w:highlight w:val="none"/>
              </w:rPr>
              <w:t>；墙裙角防渗处理高度同挡土墙</w:t>
            </w:r>
            <w:r>
              <w:rPr>
                <w:rFonts w:hint="default" w:ascii="Times New Roman" w:hAnsi="Times New Roman" w:eastAsia="宋体" w:cs="Times New Roman"/>
                <w:color w:val="auto"/>
                <w:spacing w:val="-6"/>
                <w:sz w:val="24"/>
                <w:szCs w:val="24"/>
                <w:highlight w:val="none"/>
              </w:rPr>
              <w:t>高度。</w:t>
            </w:r>
          </w:p>
          <w:p w14:paraId="2048D0D2">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②设施内要有安全照明设施和观察窗口。</w:t>
            </w:r>
          </w:p>
          <w:p w14:paraId="0EFD821B">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③防渗衬里要能够覆盖危险废物或其溶出物可能</w:t>
            </w:r>
            <w:r>
              <w:rPr>
                <w:rFonts w:hint="default" w:ascii="Times New Roman" w:hAnsi="Times New Roman" w:cs="Times New Roman"/>
                <w:color w:val="auto"/>
                <w:spacing w:val="1"/>
                <w:sz w:val="24"/>
                <w:szCs w:val="24"/>
                <w:highlight w:val="none"/>
                <w:lang w:eastAsia="zh-CN"/>
              </w:rPr>
              <w:t>涉及</w:t>
            </w:r>
            <w:r>
              <w:rPr>
                <w:rFonts w:hint="default" w:ascii="Times New Roman" w:hAnsi="Times New Roman" w:eastAsia="宋体" w:cs="Times New Roman"/>
                <w:color w:val="auto"/>
                <w:spacing w:val="1"/>
                <w:sz w:val="24"/>
                <w:szCs w:val="24"/>
                <w:highlight w:val="none"/>
              </w:rPr>
              <w:t>的范围。衬里材</w:t>
            </w:r>
            <w:r>
              <w:rPr>
                <w:rFonts w:hint="default" w:ascii="Times New Roman" w:hAnsi="Times New Roman" w:eastAsia="宋体" w:cs="Times New Roman"/>
                <w:color w:val="auto"/>
                <w:spacing w:val="-1"/>
                <w:sz w:val="24"/>
                <w:szCs w:val="24"/>
                <w:highlight w:val="none"/>
              </w:rPr>
              <w:t>料与堆放危险废物相容。</w:t>
            </w:r>
          </w:p>
          <w:p w14:paraId="33CC532F">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2</w:t>
            </w:r>
            <w:r>
              <w:rPr>
                <w:rFonts w:hint="default" w:ascii="Times New Roman" w:hAnsi="Times New Roman" w:eastAsia="宋体" w:cs="Times New Roman"/>
                <w:color w:val="auto"/>
                <w:spacing w:val="-1"/>
                <w:sz w:val="24"/>
                <w:szCs w:val="24"/>
                <w:highlight w:val="none"/>
              </w:rPr>
              <w:t>）</w:t>
            </w:r>
            <w:r>
              <w:rPr>
                <w:rFonts w:hint="default" w:ascii="Times New Roman" w:hAnsi="Times New Roman" w:cs="Times New Roman"/>
                <w:color w:val="auto"/>
                <w:spacing w:val="-1"/>
                <w:sz w:val="24"/>
                <w:szCs w:val="24"/>
                <w:highlight w:val="none"/>
                <w:lang w:eastAsia="zh-CN"/>
              </w:rPr>
              <w:t>危废暂存点</w:t>
            </w:r>
            <w:r>
              <w:rPr>
                <w:rFonts w:hint="default" w:ascii="Times New Roman" w:hAnsi="Times New Roman" w:eastAsia="宋体" w:cs="Times New Roman"/>
                <w:color w:val="auto"/>
                <w:spacing w:val="-1"/>
                <w:sz w:val="24"/>
                <w:szCs w:val="24"/>
                <w:highlight w:val="none"/>
              </w:rPr>
              <w:t>运行与管理</w:t>
            </w:r>
          </w:p>
          <w:p w14:paraId="41D59E76">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①危险废物转移过程应按《危险废物转移管理办法》执行。</w:t>
            </w:r>
          </w:p>
          <w:p w14:paraId="7776F3F8">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②废机油入暂存间贮存前应进行检验，并登记注册。建立档案制度，在废机油的收集、贮存、转运及处理过程中，实行</w:t>
            </w:r>
            <w:r>
              <w:rPr>
                <w:rFonts w:hint="default" w:ascii="Times New Roman" w:hAnsi="Times New Roman" w:eastAsia="Times New Roman" w:cs="Times New Roman"/>
                <w:color w:val="auto"/>
                <w:spacing w:val="1"/>
                <w:sz w:val="24"/>
                <w:szCs w:val="24"/>
                <w:highlight w:val="none"/>
              </w:rPr>
              <w:t>“</w:t>
            </w:r>
            <w:r>
              <w:rPr>
                <w:rFonts w:hint="default" w:ascii="Times New Roman" w:hAnsi="Times New Roman" w:eastAsia="宋体" w:cs="Times New Roman"/>
                <w:color w:val="auto"/>
                <w:spacing w:val="1"/>
                <w:sz w:val="24"/>
                <w:szCs w:val="24"/>
                <w:highlight w:val="none"/>
              </w:rPr>
              <w:t>转移联</w:t>
            </w:r>
            <w:r>
              <w:rPr>
                <w:rFonts w:hint="default" w:ascii="Times New Roman" w:hAnsi="Times New Roman" w:eastAsia="宋体" w:cs="Times New Roman"/>
                <w:color w:val="auto"/>
                <w:sz w:val="24"/>
                <w:szCs w:val="24"/>
                <w:highlight w:val="none"/>
              </w:rPr>
              <w:t>单制度</w:t>
            </w:r>
            <w:r>
              <w:rPr>
                <w:rFonts w:hint="default" w:ascii="Times New Roman" w:hAnsi="Times New Roman" w:eastAsia="Times New Roman" w:cs="Times New Roman"/>
                <w:color w:val="auto"/>
                <w:sz w:val="24"/>
                <w:szCs w:val="24"/>
                <w:highlight w:val="none"/>
              </w:rPr>
              <w:t>”</w:t>
            </w:r>
            <w:r>
              <w:rPr>
                <w:rFonts w:hint="default" w:ascii="Times New Roman" w:hAnsi="Times New Roman" w:eastAsia="宋体" w:cs="Times New Roman"/>
                <w:color w:val="auto"/>
                <w:sz w:val="24"/>
                <w:szCs w:val="24"/>
                <w:highlight w:val="none"/>
              </w:rPr>
              <w:t>，对暂存的</w:t>
            </w:r>
            <w:r>
              <w:rPr>
                <w:rFonts w:hint="default" w:ascii="Times New Roman" w:hAnsi="Times New Roman" w:eastAsia="宋体" w:cs="Times New Roman"/>
                <w:color w:val="auto"/>
                <w:spacing w:val="1"/>
                <w:sz w:val="24"/>
                <w:szCs w:val="24"/>
                <w:highlight w:val="none"/>
              </w:rPr>
              <w:t>废机油数量、存放库位、存入日期、运出日期等详细记录在案并长期保</w:t>
            </w:r>
            <w:r>
              <w:rPr>
                <w:rFonts w:hint="default" w:ascii="Times New Roman" w:hAnsi="Times New Roman" w:eastAsia="宋体" w:cs="Times New Roman"/>
                <w:color w:val="auto"/>
                <w:sz w:val="24"/>
                <w:szCs w:val="24"/>
                <w:highlight w:val="none"/>
              </w:rPr>
              <w:t>存。</w:t>
            </w:r>
            <w:r>
              <w:rPr>
                <w:rFonts w:hint="default" w:ascii="Times New Roman" w:hAnsi="Times New Roman" w:eastAsia="宋体" w:cs="Times New Roman"/>
                <w:color w:val="auto"/>
                <w:spacing w:val="-1"/>
                <w:sz w:val="24"/>
                <w:szCs w:val="24"/>
                <w:highlight w:val="none"/>
              </w:rPr>
              <w:t>建立定期巡查、维护制度。</w:t>
            </w:r>
          </w:p>
          <w:p w14:paraId="11C166B7">
            <w:pPr>
              <w:keepNext w:val="0"/>
              <w:keepLines w:val="0"/>
              <w:pageBreakBefore w:val="0"/>
              <w:widowControl/>
              <w:kinsoku w:val="0"/>
              <w:wordWrap/>
              <w:overflowPunct/>
              <w:topLinePunct w:val="0"/>
              <w:autoSpaceDE w:val="0"/>
              <w:autoSpaceDN w:val="0"/>
              <w:bidi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③根据《危险废物管理计划和管理台账制定技术导则》（</w:t>
            </w:r>
            <w:r>
              <w:rPr>
                <w:rFonts w:hint="default" w:ascii="Times New Roman" w:hAnsi="Times New Roman" w:eastAsia="Times New Roman" w:cs="Times New Roman"/>
                <w:color w:val="auto"/>
                <w:sz w:val="24"/>
                <w:szCs w:val="24"/>
                <w:highlight w:val="none"/>
              </w:rPr>
              <w:t>HJ</w:t>
            </w:r>
            <w:r>
              <w:rPr>
                <w:rFonts w:hint="default" w:ascii="Times New Roman" w:hAnsi="Times New Roman" w:eastAsia="Times New Roman" w:cs="Times New Roman"/>
                <w:color w:val="auto"/>
                <w:spacing w:val="-1"/>
                <w:sz w:val="24"/>
                <w:szCs w:val="24"/>
                <w:highlight w:val="none"/>
              </w:rPr>
              <w:t>1259-2022</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4"/>
                <w:sz w:val="24"/>
                <w:szCs w:val="24"/>
                <w:highlight w:val="none"/>
              </w:rPr>
              <w:t>要求，建立危险废物管理台账，对转移的危险废物进行计量称重，如实记录、</w:t>
            </w:r>
            <w:r>
              <w:rPr>
                <w:rFonts w:hint="default" w:ascii="Times New Roman" w:hAnsi="Times New Roman" w:eastAsia="宋体" w:cs="Times New Roman"/>
                <w:color w:val="auto"/>
                <w:spacing w:val="2"/>
                <w:sz w:val="24"/>
                <w:szCs w:val="24"/>
                <w:highlight w:val="none"/>
              </w:rPr>
              <w:t>妥善保管转移危险废物的种类、重量（数量）和</w:t>
            </w:r>
            <w:r>
              <w:rPr>
                <w:rFonts w:hint="default" w:ascii="Times New Roman" w:hAnsi="Times New Roman" w:cs="Times New Roman"/>
                <w:color w:val="auto"/>
                <w:spacing w:val="2"/>
                <w:sz w:val="24"/>
                <w:szCs w:val="24"/>
                <w:highlight w:val="none"/>
                <w:lang w:eastAsia="zh-CN"/>
              </w:rPr>
              <w:t>接收人</w:t>
            </w:r>
            <w:r>
              <w:rPr>
                <w:rFonts w:hint="default" w:ascii="Times New Roman" w:hAnsi="Times New Roman" w:eastAsia="宋体" w:cs="Times New Roman"/>
                <w:color w:val="auto"/>
                <w:spacing w:val="1"/>
                <w:sz w:val="24"/>
                <w:szCs w:val="24"/>
                <w:highlight w:val="none"/>
              </w:rPr>
              <w:t>等相关信息。填写、</w:t>
            </w:r>
            <w:r>
              <w:rPr>
                <w:rFonts w:hint="default" w:ascii="Times New Roman" w:hAnsi="Times New Roman" w:eastAsia="宋体" w:cs="Times New Roman"/>
                <w:color w:val="auto"/>
                <w:spacing w:val="2"/>
                <w:sz w:val="24"/>
                <w:szCs w:val="24"/>
                <w:highlight w:val="none"/>
              </w:rPr>
              <w:t>运行危险废物转移联单，在危险废物转移联单中如实填</w:t>
            </w:r>
            <w:r>
              <w:rPr>
                <w:rFonts w:hint="default" w:ascii="Times New Roman" w:hAnsi="Times New Roman" w:eastAsia="宋体" w:cs="Times New Roman"/>
                <w:color w:val="auto"/>
                <w:spacing w:val="1"/>
                <w:sz w:val="24"/>
                <w:szCs w:val="24"/>
                <w:highlight w:val="none"/>
              </w:rPr>
              <w:t>写移出人、承运人、</w:t>
            </w:r>
            <w:r>
              <w:rPr>
                <w:rFonts w:hint="default" w:ascii="Times New Roman" w:hAnsi="Times New Roman" w:cs="Times New Roman"/>
                <w:color w:val="auto"/>
                <w:spacing w:val="1"/>
                <w:sz w:val="24"/>
                <w:szCs w:val="24"/>
                <w:highlight w:val="none"/>
                <w:lang w:eastAsia="zh-CN"/>
              </w:rPr>
              <w:t>接收</w:t>
            </w:r>
            <w:r>
              <w:rPr>
                <w:rFonts w:hint="default" w:ascii="Times New Roman" w:hAnsi="Times New Roman" w:eastAsia="宋体" w:cs="Times New Roman"/>
                <w:color w:val="auto"/>
                <w:spacing w:val="1"/>
                <w:sz w:val="24"/>
                <w:szCs w:val="24"/>
                <w:highlight w:val="none"/>
              </w:rPr>
              <w:t>人信息，转移危险废物的种类、重量（数量）、危险特性等信息，</w:t>
            </w:r>
            <w:r>
              <w:rPr>
                <w:rFonts w:hint="default" w:ascii="Times New Roman" w:hAnsi="Times New Roman" w:eastAsia="宋体" w:cs="Times New Roman"/>
                <w:color w:val="auto"/>
                <w:sz w:val="24"/>
                <w:szCs w:val="24"/>
                <w:highlight w:val="none"/>
              </w:rPr>
              <w:t>以及</w:t>
            </w:r>
            <w:r>
              <w:rPr>
                <w:rFonts w:hint="default" w:ascii="Times New Roman" w:hAnsi="Times New Roman" w:eastAsia="宋体" w:cs="Times New Roman"/>
                <w:color w:val="auto"/>
                <w:spacing w:val="-1"/>
                <w:sz w:val="24"/>
                <w:szCs w:val="24"/>
                <w:highlight w:val="none"/>
              </w:rPr>
              <w:t>突发环境事件的防范措施等。</w:t>
            </w:r>
          </w:p>
          <w:p w14:paraId="467D2C7B">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④必须定期对所贮存的危险废物包装容器及贮存设施进行检查，发现破</w:t>
            </w:r>
            <w:r>
              <w:rPr>
                <w:rFonts w:hint="default" w:ascii="Times New Roman" w:hAnsi="Times New Roman" w:eastAsia="宋体" w:cs="Times New Roman"/>
                <w:color w:val="auto"/>
                <w:spacing w:val="-1"/>
                <w:sz w:val="24"/>
                <w:szCs w:val="24"/>
                <w:highlight w:val="none"/>
              </w:rPr>
              <w:t>损，应及时采取措施清理更换。</w:t>
            </w:r>
          </w:p>
          <w:p w14:paraId="20FDEB61">
            <w:pPr>
              <w:keepNext w:val="0"/>
              <w:keepLines w:val="0"/>
              <w:pageBreakBefore w:val="0"/>
              <w:widowControl/>
              <w:kinsoku w:val="0"/>
              <w:wordWrap/>
              <w:overflowPunct/>
              <w:topLinePunct w:val="0"/>
              <w:autoSpaceDE w:val="0"/>
              <w:autoSpaceDN w:val="0"/>
              <w:bidi w:val="0"/>
              <w:snapToGrid w:val="0"/>
              <w:spacing w:line="360" w:lineRule="auto"/>
              <w:ind w:left="0" w:right="0" w:firstLine="5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6"/>
                <w:sz w:val="24"/>
                <w:szCs w:val="24"/>
                <w:highlight w:val="none"/>
              </w:rPr>
              <w:t>⑤危险废物贮存设施必须按《危险废物识别标志设置技术规范》</w:t>
            </w:r>
            <w:r>
              <w:rPr>
                <w:rFonts w:hint="default" w:ascii="Times New Roman" w:hAnsi="Times New Roman" w:eastAsia="宋体" w:cs="Times New Roman"/>
                <w:color w:val="auto"/>
                <w:spacing w:val="10"/>
                <w:sz w:val="24"/>
                <w:szCs w:val="24"/>
                <w:highlight w:val="none"/>
              </w:rPr>
              <w:t>（</w:t>
            </w:r>
            <w:r>
              <w:rPr>
                <w:rFonts w:hint="default" w:ascii="Times New Roman" w:hAnsi="Times New Roman" w:eastAsia="Times New Roman" w:cs="Times New Roman"/>
                <w:color w:val="auto"/>
                <w:sz w:val="24"/>
                <w:szCs w:val="24"/>
                <w:highlight w:val="none"/>
              </w:rPr>
              <w:t>HJ</w:t>
            </w:r>
            <w:r>
              <w:rPr>
                <w:rFonts w:hint="default" w:ascii="Times New Roman" w:hAnsi="Times New Roman" w:eastAsia="Times New Roman" w:cs="Times New Roman"/>
                <w:color w:val="auto"/>
                <w:spacing w:val="10"/>
                <w:sz w:val="24"/>
                <w:szCs w:val="24"/>
                <w:highlight w:val="none"/>
              </w:rPr>
              <w:t>1276-2022</w:t>
            </w:r>
            <w:r>
              <w:rPr>
                <w:rFonts w:hint="default" w:ascii="Times New Roman" w:hAnsi="Times New Roman" w:eastAsia="宋体" w:cs="Times New Roman"/>
                <w:color w:val="auto"/>
                <w:spacing w:val="10"/>
                <w:sz w:val="24"/>
                <w:szCs w:val="24"/>
                <w:highlight w:val="none"/>
              </w:rPr>
              <w:t>）及《环境保护图形标志</w:t>
            </w:r>
            <w:r>
              <w:rPr>
                <w:rFonts w:hint="default" w:ascii="Times New Roman" w:hAnsi="Times New Roman" w:eastAsia="Times New Roman" w:cs="Times New Roman"/>
                <w:color w:val="auto"/>
                <w:spacing w:val="10"/>
                <w:sz w:val="24"/>
                <w:szCs w:val="24"/>
                <w:highlight w:val="none"/>
              </w:rPr>
              <w:t>-</w:t>
            </w:r>
            <w:r>
              <w:rPr>
                <w:rFonts w:hint="default" w:ascii="Times New Roman" w:hAnsi="Times New Roman" w:eastAsia="宋体" w:cs="Times New Roman"/>
                <w:color w:val="auto"/>
                <w:spacing w:val="10"/>
                <w:sz w:val="24"/>
                <w:szCs w:val="24"/>
                <w:highlight w:val="none"/>
              </w:rPr>
              <w:t>固体废物贮存</w:t>
            </w:r>
            <w:r>
              <w:rPr>
                <w:rFonts w:hint="default" w:ascii="Times New Roman" w:hAnsi="Times New Roman" w:eastAsia="宋体" w:cs="Times New Roman"/>
                <w:color w:val="auto"/>
                <w:spacing w:val="9"/>
                <w:sz w:val="24"/>
                <w:szCs w:val="24"/>
                <w:highlight w:val="none"/>
              </w:rPr>
              <w:t>（处置）场》</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GB15562.2-1995</w:t>
            </w:r>
            <w:r>
              <w:rPr>
                <w:rFonts w:hint="default" w:ascii="Times New Roman" w:hAnsi="Times New Roman" w:eastAsia="宋体" w:cs="Times New Roman"/>
                <w:color w:val="auto"/>
                <w:spacing w:val="-1"/>
                <w:sz w:val="24"/>
                <w:szCs w:val="24"/>
                <w:highlight w:val="none"/>
              </w:rPr>
              <w:t>）修改单的规定设置警示标志。</w:t>
            </w:r>
          </w:p>
          <w:p w14:paraId="1A6450B4">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⑥危险废物贮存期限应符合《中华人民共和国固体废</w:t>
            </w:r>
            <w:r>
              <w:rPr>
                <w:rFonts w:hint="default" w:ascii="Times New Roman" w:hAnsi="Times New Roman" w:eastAsia="宋体" w:cs="Times New Roman"/>
                <w:color w:val="auto"/>
                <w:spacing w:val="-4"/>
                <w:sz w:val="24"/>
                <w:szCs w:val="24"/>
                <w:highlight w:val="none"/>
              </w:rPr>
              <w:t>物污染环境防治法》</w:t>
            </w:r>
            <w:r>
              <w:rPr>
                <w:rFonts w:hint="default" w:ascii="Times New Roman" w:hAnsi="Times New Roman" w:eastAsia="宋体" w:cs="Times New Roman"/>
                <w:color w:val="auto"/>
                <w:spacing w:val="-5"/>
                <w:sz w:val="24"/>
                <w:szCs w:val="24"/>
                <w:highlight w:val="none"/>
              </w:rPr>
              <w:t>的有关规定，不得超过</w:t>
            </w:r>
            <w:r>
              <w:rPr>
                <w:rFonts w:hint="default" w:ascii="Times New Roman" w:hAnsi="Times New Roman" w:eastAsia="Times New Roman" w:cs="Times New Roman"/>
                <w:color w:val="auto"/>
                <w:spacing w:val="-5"/>
                <w:sz w:val="24"/>
                <w:szCs w:val="24"/>
                <w:highlight w:val="none"/>
              </w:rPr>
              <w:t>1</w:t>
            </w:r>
            <w:r>
              <w:rPr>
                <w:rFonts w:hint="default" w:ascii="Times New Roman" w:hAnsi="Times New Roman" w:eastAsia="宋体" w:cs="Times New Roman"/>
                <w:color w:val="auto"/>
                <w:spacing w:val="-5"/>
                <w:sz w:val="24"/>
                <w:szCs w:val="24"/>
                <w:highlight w:val="none"/>
              </w:rPr>
              <w:t>年。</w:t>
            </w:r>
          </w:p>
          <w:p w14:paraId="4CFE323B">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⑦应建立规范的管理和技术人员培训制度，定期</w:t>
            </w:r>
            <w:r>
              <w:rPr>
                <w:rFonts w:hint="default" w:ascii="Times New Roman" w:hAnsi="Times New Roman" w:cs="Times New Roman"/>
                <w:color w:val="auto"/>
                <w:spacing w:val="1"/>
                <w:sz w:val="24"/>
                <w:szCs w:val="24"/>
                <w:highlight w:val="none"/>
                <w:lang w:eastAsia="zh-CN"/>
              </w:rPr>
              <w:t>对</w:t>
            </w:r>
            <w:r>
              <w:rPr>
                <w:rFonts w:hint="default" w:ascii="Times New Roman" w:hAnsi="Times New Roman" w:eastAsia="宋体" w:cs="Times New Roman"/>
                <w:color w:val="auto"/>
                <w:spacing w:val="1"/>
                <w:sz w:val="24"/>
                <w:szCs w:val="24"/>
                <w:highlight w:val="none"/>
              </w:rPr>
              <w:t>管理和技术人员进行培训。培训内容至少应包括危险废物鉴别要求、危险废物</w:t>
            </w:r>
            <w:r>
              <w:rPr>
                <w:rFonts w:hint="default" w:ascii="Times New Roman" w:hAnsi="Times New Roman" w:eastAsia="宋体" w:cs="Times New Roman"/>
                <w:color w:val="auto"/>
                <w:sz w:val="24"/>
                <w:szCs w:val="24"/>
                <w:highlight w:val="none"/>
              </w:rPr>
              <w:t>转移联单管理、</w:t>
            </w:r>
            <w:r>
              <w:rPr>
                <w:rFonts w:hint="default" w:ascii="Times New Roman" w:hAnsi="Times New Roman" w:eastAsia="宋体" w:cs="Times New Roman"/>
                <w:color w:val="auto"/>
                <w:spacing w:val="-1"/>
                <w:sz w:val="24"/>
                <w:szCs w:val="24"/>
                <w:highlight w:val="none"/>
              </w:rPr>
              <w:t>危险废物包装和标识、危险废物运输要求、危险废物事故应急方法。</w:t>
            </w:r>
          </w:p>
          <w:p w14:paraId="60919404">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pacing w:val="-2"/>
                <w:sz w:val="24"/>
                <w:szCs w:val="24"/>
                <w:highlight w:val="none"/>
              </w:rPr>
            </w:pPr>
            <w:r>
              <w:rPr>
                <w:rFonts w:hint="default" w:ascii="Times New Roman" w:hAnsi="Times New Roman" w:eastAsia="宋体" w:cs="Times New Roman"/>
                <w:color w:val="auto"/>
                <w:spacing w:val="-1"/>
                <w:sz w:val="24"/>
                <w:szCs w:val="24"/>
                <w:highlight w:val="none"/>
              </w:rPr>
              <w:t>⑧危险废物暂存间设置安全照明设施和观察窗口。</w:t>
            </w:r>
          </w:p>
          <w:p w14:paraId="746EF132">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Times New Roman" w:cs="Times New Roman"/>
                <w:color w:val="auto"/>
                <w:spacing w:val="-1"/>
                <w:sz w:val="24"/>
                <w:szCs w:val="24"/>
                <w:highlight w:val="none"/>
              </w:rPr>
            </w:pPr>
            <w:r>
              <w:rPr>
                <w:rFonts w:hint="default" w:ascii="Times New Roman" w:hAnsi="Times New Roman" w:eastAsia="Times New Roman" w:cs="Times New Roman"/>
                <w:color w:val="auto"/>
                <w:spacing w:val="-1"/>
                <w:sz w:val="24"/>
                <w:szCs w:val="24"/>
                <w:highlight w:val="none"/>
              </w:rPr>
              <w:t>（3）</w:t>
            </w:r>
            <w:r>
              <w:rPr>
                <w:rFonts w:hint="default" w:ascii="Times New Roman" w:hAnsi="Times New Roman" w:eastAsia="Times New Roman" w:cs="Times New Roman"/>
                <w:color w:val="auto"/>
                <w:spacing w:val="-1"/>
                <w:sz w:val="24"/>
                <w:szCs w:val="24"/>
                <w:highlight w:val="none"/>
                <w:lang w:val="en-US" w:eastAsia="zh-CN"/>
              </w:rPr>
              <w:t>贮存点环境管理要求</w:t>
            </w:r>
          </w:p>
          <w:p w14:paraId="1FC46E09">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Times New Roman" w:cs="Times New Roman"/>
                <w:color w:val="auto"/>
                <w:spacing w:val="-1"/>
                <w:sz w:val="24"/>
                <w:szCs w:val="24"/>
                <w:highlight w:val="none"/>
              </w:rPr>
            </w:pPr>
            <w:r>
              <w:rPr>
                <w:rFonts w:hint="default" w:ascii="Times New Roman" w:hAnsi="Times New Roman" w:eastAsia="Times New Roman" w:cs="Times New Roman"/>
                <w:color w:val="auto"/>
                <w:spacing w:val="-1"/>
                <w:sz w:val="24"/>
                <w:szCs w:val="24"/>
                <w:highlight w:val="none"/>
                <w:lang w:val="en-US" w:eastAsia="zh-CN"/>
              </w:rPr>
              <w:t>①</w:t>
            </w:r>
            <w:r>
              <w:rPr>
                <w:rFonts w:hint="default" w:ascii="Times New Roman" w:hAnsi="Times New Roman" w:eastAsia="Times New Roman" w:cs="Times New Roman"/>
                <w:color w:val="auto"/>
                <w:spacing w:val="-1"/>
                <w:sz w:val="24"/>
                <w:szCs w:val="24"/>
                <w:highlight w:val="none"/>
              </w:rPr>
              <w:t>贮存点应具有固定的区域边界，并应采取与其他区域进行隔离的措施。</w:t>
            </w:r>
          </w:p>
          <w:p w14:paraId="492D8ABB">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Times New Roman" w:cs="Times New Roman"/>
                <w:color w:val="auto"/>
                <w:spacing w:val="-1"/>
                <w:sz w:val="24"/>
                <w:szCs w:val="24"/>
                <w:highlight w:val="none"/>
              </w:rPr>
            </w:pPr>
            <w:r>
              <w:rPr>
                <w:rFonts w:hint="default" w:ascii="Times New Roman" w:hAnsi="Times New Roman" w:eastAsia="Times New Roman" w:cs="Times New Roman"/>
                <w:color w:val="auto"/>
                <w:spacing w:val="-1"/>
                <w:sz w:val="24"/>
                <w:szCs w:val="24"/>
                <w:highlight w:val="none"/>
                <w:lang w:val="en-US" w:eastAsia="zh-CN"/>
              </w:rPr>
              <w:t>②</w:t>
            </w:r>
            <w:r>
              <w:rPr>
                <w:rFonts w:hint="default" w:ascii="Times New Roman" w:hAnsi="Times New Roman" w:eastAsia="Times New Roman" w:cs="Times New Roman"/>
                <w:color w:val="auto"/>
                <w:spacing w:val="-1"/>
                <w:sz w:val="24"/>
                <w:szCs w:val="24"/>
                <w:highlight w:val="none"/>
              </w:rPr>
              <w:t>贮存点应采取防风、防雨、防晒和防止危险废物流失、扬散等措施。</w:t>
            </w:r>
          </w:p>
          <w:p w14:paraId="32AF5C11">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Times New Roman" w:cs="Times New Roman"/>
                <w:color w:val="auto"/>
                <w:spacing w:val="-1"/>
                <w:sz w:val="24"/>
                <w:szCs w:val="24"/>
                <w:highlight w:val="none"/>
              </w:rPr>
            </w:pPr>
            <w:r>
              <w:rPr>
                <w:rFonts w:hint="default" w:ascii="Times New Roman" w:hAnsi="Times New Roman" w:eastAsia="Times New Roman" w:cs="Times New Roman"/>
                <w:color w:val="auto"/>
                <w:spacing w:val="-1"/>
                <w:sz w:val="24"/>
                <w:szCs w:val="24"/>
                <w:highlight w:val="none"/>
                <w:lang w:val="en-US" w:eastAsia="zh-CN"/>
              </w:rPr>
              <w:t>③</w:t>
            </w:r>
            <w:r>
              <w:rPr>
                <w:rFonts w:hint="default" w:ascii="Times New Roman" w:hAnsi="Times New Roman" w:eastAsia="Times New Roman" w:cs="Times New Roman"/>
                <w:color w:val="auto"/>
                <w:spacing w:val="-1"/>
                <w:sz w:val="24"/>
                <w:szCs w:val="24"/>
                <w:highlight w:val="none"/>
              </w:rPr>
              <w:t>贮存点贮存的危险废物应置于容器或包装物中，不应直接散堆。</w:t>
            </w:r>
          </w:p>
          <w:p w14:paraId="4223E08D">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Times New Roman" w:cs="Times New Roman"/>
                <w:color w:val="auto"/>
                <w:spacing w:val="-1"/>
                <w:sz w:val="24"/>
                <w:szCs w:val="24"/>
                <w:highlight w:val="none"/>
              </w:rPr>
            </w:pPr>
            <w:r>
              <w:rPr>
                <w:rFonts w:hint="default" w:ascii="Times New Roman" w:hAnsi="Times New Roman" w:eastAsia="Times New Roman" w:cs="Times New Roman"/>
                <w:color w:val="auto"/>
                <w:spacing w:val="-1"/>
                <w:sz w:val="24"/>
                <w:szCs w:val="24"/>
                <w:highlight w:val="none"/>
                <w:lang w:val="en-US" w:eastAsia="zh-CN"/>
              </w:rPr>
              <w:t>④</w:t>
            </w:r>
            <w:r>
              <w:rPr>
                <w:rFonts w:hint="default" w:ascii="Times New Roman" w:hAnsi="Times New Roman" w:eastAsia="Times New Roman" w:cs="Times New Roman"/>
                <w:color w:val="auto"/>
                <w:spacing w:val="-1"/>
                <w:sz w:val="24"/>
                <w:szCs w:val="24"/>
                <w:highlight w:val="none"/>
              </w:rPr>
              <w:t>贮存点应根据危险废物的形态、物理化学性质、包装形式等，采取防渗、防漏等污染防治措施或采用具有相应功能的装置。</w:t>
            </w:r>
          </w:p>
          <w:p w14:paraId="7FD4C86E">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Times New Roman" w:cs="Times New Roman"/>
                <w:color w:val="auto"/>
                <w:spacing w:val="-1"/>
                <w:sz w:val="24"/>
                <w:szCs w:val="24"/>
                <w:highlight w:val="none"/>
              </w:rPr>
            </w:pPr>
            <w:r>
              <w:rPr>
                <w:rFonts w:hint="default" w:ascii="Times New Roman" w:hAnsi="Times New Roman" w:eastAsia="Times New Roman" w:cs="Times New Roman"/>
                <w:color w:val="auto"/>
                <w:spacing w:val="-1"/>
                <w:sz w:val="24"/>
                <w:szCs w:val="24"/>
                <w:highlight w:val="none"/>
                <w:lang w:val="en-US" w:eastAsia="zh-CN"/>
              </w:rPr>
              <w:t>⑤</w:t>
            </w:r>
            <w:r>
              <w:rPr>
                <w:rFonts w:hint="default" w:ascii="Times New Roman" w:hAnsi="Times New Roman" w:eastAsia="Times New Roman" w:cs="Times New Roman"/>
                <w:color w:val="auto"/>
                <w:spacing w:val="-1"/>
                <w:sz w:val="24"/>
                <w:szCs w:val="24"/>
                <w:highlight w:val="none"/>
              </w:rPr>
              <w:t>贮存点应及时清运贮存的危险废物，实时贮存量不应超过3吨。</w:t>
            </w:r>
          </w:p>
          <w:p w14:paraId="67C7CE31">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4.3</w:t>
            </w:r>
            <w:r>
              <w:rPr>
                <w:rFonts w:hint="default" w:ascii="Times New Roman" w:hAnsi="Times New Roman" w:eastAsia="宋体" w:cs="Times New Roman"/>
                <w:b/>
                <w:bCs/>
                <w:color w:val="auto"/>
                <w:spacing w:val="-2"/>
                <w:sz w:val="24"/>
                <w:szCs w:val="24"/>
                <w:highlight w:val="none"/>
              </w:rPr>
              <w:t>固废治理措施及其可行性论证</w:t>
            </w:r>
          </w:p>
          <w:p w14:paraId="685E8B19">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项目产生的固体废物按要求进行分类收集、贮存、处置，固</w:t>
            </w:r>
            <w:r>
              <w:rPr>
                <w:rFonts w:hint="default" w:ascii="Times New Roman" w:hAnsi="Times New Roman" w:eastAsia="宋体" w:cs="Times New Roman"/>
                <w:color w:val="auto"/>
                <w:sz w:val="24"/>
                <w:szCs w:val="24"/>
                <w:highlight w:val="none"/>
              </w:rPr>
              <w:t>体废物按要</w:t>
            </w:r>
            <w:r>
              <w:rPr>
                <w:rFonts w:hint="default" w:ascii="Times New Roman" w:hAnsi="Times New Roman" w:eastAsia="宋体" w:cs="Times New Roman"/>
                <w:color w:val="auto"/>
                <w:spacing w:val="1"/>
                <w:sz w:val="24"/>
                <w:szCs w:val="24"/>
                <w:highlight w:val="none"/>
              </w:rPr>
              <w:t>求贮存后，贮存过程不会对环境空气、地下水、土壤产生不良影</w:t>
            </w:r>
            <w:r>
              <w:rPr>
                <w:rFonts w:hint="default" w:ascii="Times New Roman" w:hAnsi="Times New Roman" w:eastAsia="宋体" w:cs="Times New Roman"/>
                <w:color w:val="auto"/>
                <w:sz w:val="24"/>
                <w:szCs w:val="24"/>
                <w:highlight w:val="none"/>
              </w:rPr>
              <w:t>响。企业在</w:t>
            </w:r>
            <w:r>
              <w:rPr>
                <w:rFonts w:hint="default" w:ascii="Times New Roman" w:hAnsi="Times New Roman" w:eastAsia="宋体" w:cs="Times New Roman"/>
                <w:color w:val="auto"/>
                <w:spacing w:val="1"/>
                <w:sz w:val="24"/>
                <w:szCs w:val="24"/>
                <w:highlight w:val="none"/>
              </w:rPr>
              <w:t>落实各项固废处置措施后，项目产生的各类固废均能妥善处理处</w:t>
            </w:r>
            <w:r>
              <w:rPr>
                <w:rFonts w:hint="default" w:ascii="Times New Roman" w:hAnsi="Times New Roman" w:eastAsia="宋体" w:cs="Times New Roman"/>
                <w:color w:val="auto"/>
                <w:sz w:val="24"/>
                <w:szCs w:val="24"/>
                <w:highlight w:val="none"/>
              </w:rPr>
              <w:t>置，只要加强管理，则固废处置对周围环境不会造成二次</w:t>
            </w:r>
            <w:r>
              <w:rPr>
                <w:rFonts w:hint="default" w:ascii="Times New Roman" w:hAnsi="Times New Roman" w:eastAsia="宋体" w:cs="Times New Roman"/>
                <w:color w:val="auto"/>
                <w:spacing w:val="-1"/>
                <w:sz w:val="24"/>
                <w:szCs w:val="24"/>
                <w:highlight w:val="none"/>
              </w:rPr>
              <w:t>污染，对周围环境影响不大。</w:t>
            </w:r>
          </w:p>
          <w:p w14:paraId="0F8ACD7E">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综上所述，本项目产生的各类固废均得到合理处置，不会对环</w:t>
            </w:r>
            <w:r>
              <w:rPr>
                <w:rFonts w:hint="default" w:ascii="Times New Roman" w:hAnsi="Times New Roman" w:eastAsia="宋体" w:cs="Times New Roman"/>
                <w:color w:val="auto"/>
                <w:sz w:val="24"/>
                <w:szCs w:val="24"/>
                <w:highlight w:val="none"/>
              </w:rPr>
              <w:t>境产生不</w:t>
            </w:r>
            <w:r>
              <w:rPr>
                <w:rFonts w:hint="default" w:ascii="Times New Roman" w:hAnsi="Times New Roman" w:eastAsia="宋体" w:cs="Times New Roman"/>
                <w:color w:val="auto"/>
                <w:spacing w:val="-3"/>
                <w:sz w:val="24"/>
                <w:szCs w:val="24"/>
                <w:highlight w:val="none"/>
              </w:rPr>
              <w:t>利影响。</w:t>
            </w:r>
          </w:p>
          <w:p w14:paraId="4798D8B2">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5</w:t>
            </w:r>
            <w:r>
              <w:rPr>
                <w:rFonts w:hint="default" w:ascii="Times New Roman" w:hAnsi="Times New Roman" w:eastAsia="宋体" w:cs="Times New Roman"/>
                <w:b/>
                <w:bCs/>
                <w:color w:val="auto"/>
                <w:spacing w:val="-2"/>
                <w:sz w:val="24"/>
                <w:szCs w:val="24"/>
                <w:highlight w:val="none"/>
                <w:lang w:val="en-US" w:eastAsia="zh-CN"/>
              </w:rPr>
              <w:t>.</w:t>
            </w:r>
            <w:r>
              <w:rPr>
                <w:rFonts w:hint="default" w:ascii="Times New Roman" w:hAnsi="Times New Roman" w:eastAsia="宋体" w:cs="Times New Roman"/>
                <w:b/>
                <w:bCs/>
                <w:color w:val="auto"/>
                <w:spacing w:val="-2"/>
                <w:sz w:val="24"/>
                <w:szCs w:val="24"/>
                <w:highlight w:val="none"/>
              </w:rPr>
              <w:t>地下水、土壤环境影响及保护措施</w:t>
            </w:r>
          </w:p>
          <w:p w14:paraId="1499395C">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jc w:val="both"/>
              <w:textAlignment w:val="baseline"/>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2"/>
                <w:sz w:val="24"/>
                <w:szCs w:val="24"/>
                <w:highlight w:val="none"/>
              </w:rPr>
              <w:t>根据《建设项目环境影响报告表编制技术指南（污染影响类</w:t>
            </w:r>
            <w:r>
              <w:rPr>
                <w:rFonts w:hint="default" w:ascii="Times New Roman" w:hAnsi="Times New Roman" w:eastAsia="宋体" w:cs="Times New Roman"/>
                <w:color w:val="auto"/>
                <w:spacing w:val="-24"/>
                <w:sz w:val="24"/>
                <w:szCs w:val="24"/>
                <w:highlight w:val="none"/>
              </w:rPr>
              <w:t>）（</w:t>
            </w:r>
            <w:r>
              <w:rPr>
                <w:rFonts w:hint="default" w:ascii="Times New Roman" w:hAnsi="Times New Roman" w:eastAsia="宋体" w:cs="Times New Roman"/>
                <w:color w:val="auto"/>
                <w:spacing w:val="-2"/>
                <w:sz w:val="24"/>
                <w:szCs w:val="24"/>
                <w:highlight w:val="none"/>
              </w:rPr>
              <w:t>试行）》</w:t>
            </w:r>
            <w:r>
              <w:rPr>
                <w:rFonts w:hint="default" w:ascii="Times New Roman" w:hAnsi="Times New Roman" w:eastAsia="宋体" w:cs="Times New Roman"/>
                <w:color w:val="auto"/>
                <w:spacing w:val="-4"/>
                <w:sz w:val="24"/>
                <w:szCs w:val="24"/>
                <w:highlight w:val="none"/>
              </w:rPr>
              <w:t>要求：</w:t>
            </w:r>
          </w:p>
          <w:p w14:paraId="6392C6BA">
            <w:pPr>
              <w:keepNext w:val="0"/>
              <w:keepLines w:val="0"/>
              <w:pageBreakBefore w:val="0"/>
              <w:widowControl/>
              <w:kinsoku w:val="0"/>
              <w:wordWrap/>
              <w:overflowPunct/>
              <w:topLinePunct w:val="0"/>
              <w:autoSpaceDE w:val="0"/>
              <w:autoSpaceDN w:val="0"/>
              <w:bidi w:val="0"/>
              <w:snapToGrid w:val="0"/>
              <w:spacing w:line="360" w:lineRule="auto"/>
              <w:ind w:left="0" w:right="0" w:firstLine="46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4"/>
                <w:sz w:val="24"/>
                <w:szCs w:val="24"/>
                <w:highlight w:val="none"/>
              </w:rPr>
              <w:t>“5.</w:t>
            </w:r>
            <w:r>
              <w:rPr>
                <w:rFonts w:hint="default" w:ascii="Times New Roman" w:hAnsi="Times New Roman" w:eastAsia="宋体" w:cs="Times New Roman"/>
                <w:color w:val="auto"/>
                <w:spacing w:val="-4"/>
                <w:sz w:val="24"/>
                <w:szCs w:val="24"/>
                <w:highlight w:val="none"/>
              </w:rPr>
              <w:t>地下水、土壤。分析地下水、土壤污染源、</w:t>
            </w:r>
            <w:r>
              <w:rPr>
                <w:rFonts w:hint="default" w:ascii="Times New Roman" w:hAnsi="Times New Roman" w:eastAsia="宋体" w:cs="Times New Roman"/>
                <w:color w:val="auto"/>
                <w:spacing w:val="-5"/>
                <w:sz w:val="24"/>
                <w:szCs w:val="24"/>
                <w:highlight w:val="none"/>
              </w:rPr>
              <w:t>污染物类型和污染途径，</w:t>
            </w:r>
            <w:r>
              <w:rPr>
                <w:rFonts w:hint="default" w:ascii="Times New Roman" w:hAnsi="Times New Roman" w:eastAsia="宋体" w:cs="Times New Roman"/>
                <w:color w:val="auto"/>
                <w:spacing w:val="1"/>
                <w:sz w:val="24"/>
                <w:szCs w:val="24"/>
                <w:highlight w:val="none"/>
              </w:rPr>
              <w:t>按照分区防控要求提出相应的防控措施，并根据分析结果提</w:t>
            </w:r>
            <w:r>
              <w:rPr>
                <w:rFonts w:hint="default" w:ascii="Times New Roman" w:hAnsi="Times New Roman" w:eastAsia="宋体" w:cs="Times New Roman"/>
                <w:color w:val="auto"/>
                <w:sz w:val="24"/>
                <w:szCs w:val="24"/>
                <w:highlight w:val="none"/>
              </w:rPr>
              <w:t>出跟踪监测要求</w:t>
            </w:r>
            <w:r>
              <w:rPr>
                <w:rFonts w:hint="default" w:ascii="Times New Roman" w:hAnsi="Times New Roman" w:eastAsia="宋体" w:cs="Times New Roman"/>
                <w:color w:val="auto"/>
                <w:spacing w:val="-1"/>
                <w:sz w:val="24"/>
                <w:szCs w:val="24"/>
                <w:highlight w:val="none"/>
              </w:rPr>
              <w:t>（监测点位、监测因子、监测频次）。</w:t>
            </w:r>
          </w:p>
          <w:p w14:paraId="5A839727">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5.1</w:t>
            </w:r>
            <w:r>
              <w:rPr>
                <w:rFonts w:hint="default" w:ascii="Times New Roman" w:hAnsi="Times New Roman" w:eastAsia="宋体" w:cs="Times New Roman"/>
                <w:b/>
                <w:bCs/>
                <w:color w:val="auto"/>
                <w:spacing w:val="-2"/>
                <w:sz w:val="24"/>
                <w:szCs w:val="24"/>
                <w:highlight w:val="none"/>
              </w:rPr>
              <w:t>污染源分析</w:t>
            </w:r>
          </w:p>
          <w:p w14:paraId="4479FA8C">
            <w:pPr>
              <w:keepNext w:val="0"/>
              <w:keepLines w:val="0"/>
              <w:pageBreakBefore w:val="0"/>
              <w:widowControl/>
              <w:kinsoku w:val="0"/>
              <w:wordWrap/>
              <w:overflowPunct/>
              <w:topLinePunct w:val="0"/>
              <w:autoSpaceDE w:val="0"/>
              <w:autoSpaceDN w:val="0"/>
              <w:bidi w:val="0"/>
              <w:snapToGrid w:val="0"/>
              <w:spacing w:line="360" w:lineRule="auto"/>
              <w:ind w:left="0" w:right="0" w:firstLine="49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本项目地下水污染源主要为生活污水。其主要污染物为</w:t>
            </w:r>
            <w:r>
              <w:rPr>
                <w:rFonts w:hint="default" w:ascii="Times New Roman" w:hAnsi="Times New Roman" w:eastAsia="Times New Roman" w:cs="Times New Roman"/>
                <w:color w:val="auto"/>
                <w:sz w:val="24"/>
                <w:szCs w:val="24"/>
                <w:highlight w:val="none"/>
              </w:rPr>
              <w:t>SS</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Times New Roman" w:cs="Times New Roman"/>
                <w:color w:val="auto"/>
                <w:sz w:val="24"/>
                <w:szCs w:val="24"/>
                <w:highlight w:val="none"/>
              </w:rPr>
              <w:t>CODcr</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Times New Roman" w:cs="Times New Roman"/>
                <w:color w:val="auto"/>
                <w:spacing w:val="-3"/>
                <w:sz w:val="24"/>
                <w:szCs w:val="24"/>
                <w:highlight w:val="none"/>
              </w:rPr>
              <w:t>BOD</w:t>
            </w:r>
            <w:r>
              <w:rPr>
                <w:rFonts w:hint="default" w:ascii="Times New Roman" w:hAnsi="Times New Roman" w:eastAsia="Times New Roman" w:cs="Times New Roman"/>
                <w:color w:val="auto"/>
                <w:spacing w:val="-3"/>
                <w:position w:val="-1"/>
                <w:sz w:val="24"/>
                <w:szCs w:val="24"/>
                <w:highlight w:val="none"/>
              </w:rPr>
              <w:t>5</w:t>
            </w: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NH3-N</w:t>
            </w:r>
            <w:r>
              <w:rPr>
                <w:rFonts w:hint="default" w:ascii="Times New Roman" w:hAnsi="Times New Roman" w:eastAsia="宋体" w:cs="Times New Roman"/>
                <w:color w:val="auto"/>
                <w:spacing w:val="-3"/>
                <w:sz w:val="24"/>
                <w:szCs w:val="24"/>
                <w:highlight w:val="none"/>
              </w:rPr>
              <w:t>等。</w:t>
            </w:r>
          </w:p>
          <w:p w14:paraId="5CE8250A">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5.2</w:t>
            </w:r>
            <w:r>
              <w:rPr>
                <w:rFonts w:hint="default" w:ascii="Times New Roman" w:hAnsi="Times New Roman" w:eastAsia="宋体" w:cs="Times New Roman"/>
                <w:b/>
                <w:bCs/>
                <w:color w:val="auto"/>
                <w:spacing w:val="-2"/>
                <w:sz w:val="24"/>
                <w:szCs w:val="24"/>
                <w:highlight w:val="none"/>
              </w:rPr>
              <w:t>污染防控措施</w:t>
            </w:r>
          </w:p>
          <w:p w14:paraId="02792720">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生产废水经三级沉淀池处理后循环使用不外排，生活污水直排园</w:t>
            </w:r>
            <w:r>
              <w:rPr>
                <w:rFonts w:hint="default" w:ascii="Times New Roman" w:hAnsi="Times New Roman" w:eastAsia="宋体" w:cs="Times New Roman"/>
                <w:color w:val="auto"/>
                <w:sz w:val="24"/>
                <w:szCs w:val="24"/>
                <w:highlight w:val="none"/>
              </w:rPr>
              <w:t>区污水</w:t>
            </w:r>
            <w:r>
              <w:rPr>
                <w:rFonts w:hint="default" w:ascii="Times New Roman" w:hAnsi="Times New Roman" w:eastAsia="宋体" w:cs="Times New Roman"/>
                <w:color w:val="auto"/>
                <w:spacing w:val="-1"/>
                <w:sz w:val="24"/>
                <w:szCs w:val="24"/>
                <w:highlight w:val="none"/>
              </w:rPr>
              <w:t>管网，最终进入</w:t>
            </w:r>
            <w:r>
              <w:rPr>
                <w:rFonts w:hint="default" w:ascii="Times New Roman" w:hAnsi="Times New Roman" w:cs="Times New Roman"/>
                <w:color w:val="auto"/>
                <w:spacing w:val="-1"/>
                <w:sz w:val="24"/>
                <w:szCs w:val="24"/>
                <w:highlight w:val="none"/>
                <w:lang w:eastAsia="zh-CN"/>
              </w:rPr>
              <w:t>昌吉市第二</w:t>
            </w:r>
            <w:r>
              <w:rPr>
                <w:rFonts w:hint="default" w:ascii="Times New Roman" w:hAnsi="Times New Roman" w:eastAsia="宋体" w:cs="Times New Roman"/>
                <w:color w:val="auto"/>
                <w:spacing w:val="-1"/>
                <w:sz w:val="24"/>
                <w:szCs w:val="24"/>
                <w:highlight w:val="none"/>
              </w:rPr>
              <w:t>污水处理厂深度处理。</w:t>
            </w:r>
          </w:p>
          <w:p w14:paraId="1813B957">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5.3</w:t>
            </w:r>
            <w:r>
              <w:rPr>
                <w:rFonts w:hint="default" w:ascii="Times New Roman" w:hAnsi="Times New Roman" w:eastAsia="宋体" w:cs="Times New Roman"/>
                <w:b/>
                <w:bCs/>
                <w:color w:val="auto"/>
                <w:spacing w:val="-2"/>
                <w:sz w:val="24"/>
                <w:szCs w:val="24"/>
                <w:highlight w:val="none"/>
              </w:rPr>
              <w:t>分区防渗要求</w:t>
            </w:r>
          </w:p>
          <w:p w14:paraId="6C2745A4">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根据可能泄漏至地面的污染物的性质和生产单元的构建方式，结合项目总平面布置情况，本项目为农用地膜生产项目，生产车间为一般防渗区</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危废暂存点</w:t>
            </w:r>
            <w:r>
              <w:rPr>
                <w:rFonts w:hint="default" w:ascii="Times New Roman" w:hAnsi="Times New Roman" w:eastAsia="宋体" w:cs="Times New Roman"/>
                <w:color w:val="auto"/>
                <w:spacing w:val="1"/>
                <w:sz w:val="24"/>
                <w:szCs w:val="24"/>
                <w:highlight w:val="none"/>
              </w:rPr>
              <w:t>为重点防渗区。对厂区可能泄漏污染物的地面进行防渗处理，</w:t>
            </w:r>
            <w:r>
              <w:rPr>
                <w:rFonts w:hint="default" w:ascii="Times New Roman" w:hAnsi="Times New Roman" w:eastAsia="宋体" w:cs="Times New Roman"/>
                <w:color w:val="auto"/>
                <w:sz w:val="24"/>
                <w:szCs w:val="24"/>
                <w:highlight w:val="none"/>
              </w:rPr>
              <w:t>可有</w:t>
            </w:r>
            <w:r>
              <w:rPr>
                <w:rFonts w:hint="default" w:ascii="Times New Roman" w:hAnsi="Times New Roman" w:eastAsia="宋体" w:cs="Times New Roman"/>
                <w:color w:val="auto"/>
                <w:spacing w:val="6"/>
                <w:sz w:val="24"/>
                <w:szCs w:val="24"/>
                <w:highlight w:val="none"/>
              </w:rPr>
              <w:t>效防止污染物渗入地下，并及时地将泄漏</w:t>
            </w:r>
            <w:r>
              <w:rPr>
                <w:rFonts w:hint="default" w:ascii="Times New Roman" w:hAnsi="Times New Roman" w:eastAsia="Times New Roman" w:cs="Times New Roman"/>
                <w:color w:val="auto"/>
                <w:spacing w:val="6"/>
                <w:sz w:val="24"/>
                <w:szCs w:val="24"/>
                <w:highlight w:val="none"/>
              </w:rPr>
              <w:t>/</w:t>
            </w:r>
            <w:r>
              <w:rPr>
                <w:rFonts w:hint="default" w:ascii="Times New Roman" w:hAnsi="Times New Roman" w:eastAsia="宋体" w:cs="Times New Roman"/>
                <w:color w:val="auto"/>
                <w:spacing w:val="6"/>
                <w:sz w:val="24"/>
                <w:szCs w:val="24"/>
                <w:highlight w:val="none"/>
              </w:rPr>
              <w:t>渗漏的污染物收集并进行集中处</w:t>
            </w:r>
            <w:r>
              <w:rPr>
                <w:rFonts w:hint="default" w:ascii="Times New Roman" w:hAnsi="Times New Roman" w:eastAsia="宋体" w:cs="Times New Roman"/>
                <w:color w:val="auto"/>
                <w:spacing w:val="-5"/>
                <w:sz w:val="24"/>
                <w:szCs w:val="24"/>
                <w:highlight w:val="none"/>
              </w:rPr>
              <w:t>理。</w:t>
            </w:r>
          </w:p>
          <w:p w14:paraId="02DD0838">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一般防渗结构区主要为生产车间，地面硬化处理，并按照相</w:t>
            </w:r>
            <w:r>
              <w:rPr>
                <w:rFonts w:hint="default" w:ascii="Times New Roman" w:hAnsi="Times New Roman" w:eastAsia="宋体" w:cs="Times New Roman"/>
                <w:color w:val="auto"/>
                <w:sz w:val="24"/>
                <w:szCs w:val="24"/>
                <w:highlight w:val="none"/>
              </w:rPr>
              <w:t>关要求设置</w:t>
            </w:r>
            <w:r>
              <w:rPr>
                <w:rFonts w:hint="default" w:ascii="Times New Roman" w:hAnsi="Times New Roman" w:eastAsia="宋体" w:cs="Times New Roman"/>
                <w:color w:val="auto"/>
                <w:spacing w:val="-8"/>
                <w:sz w:val="24"/>
                <w:szCs w:val="24"/>
                <w:highlight w:val="none"/>
              </w:rPr>
              <w:t>防渗层，可选用天然或人工材料构筑防渗层，防渗层的防渗性能不应低于</w:t>
            </w:r>
            <w:r>
              <w:rPr>
                <w:rFonts w:hint="default" w:ascii="Times New Roman" w:hAnsi="Times New Roman" w:eastAsia="Times New Roman" w:cs="Times New Roman"/>
                <w:color w:val="auto"/>
                <w:spacing w:val="-8"/>
                <w:sz w:val="24"/>
                <w:szCs w:val="24"/>
                <w:highlight w:val="none"/>
              </w:rPr>
              <w:t>1.5m</w:t>
            </w:r>
            <w:r>
              <w:rPr>
                <w:rFonts w:hint="default" w:ascii="Times New Roman" w:hAnsi="Times New Roman" w:eastAsia="宋体" w:cs="Times New Roman"/>
                <w:color w:val="auto"/>
                <w:spacing w:val="-2"/>
                <w:sz w:val="24"/>
                <w:szCs w:val="24"/>
                <w:highlight w:val="none"/>
              </w:rPr>
              <w:t>厚渗透系数为</w:t>
            </w:r>
            <w:r>
              <w:rPr>
                <w:rFonts w:hint="default" w:ascii="Times New Roman" w:hAnsi="Times New Roman" w:eastAsia="Times New Roman" w:cs="Times New Roman"/>
                <w:color w:val="auto"/>
                <w:spacing w:val="-2"/>
                <w:sz w:val="24"/>
                <w:szCs w:val="24"/>
                <w:highlight w:val="none"/>
              </w:rPr>
              <w:t>1.0×10</w:t>
            </w:r>
            <w:r>
              <w:rPr>
                <w:rFonts w:hint="default" w:ascii="Times New Roman" w:hAnsi="Times New Roman" w:eastAsia="宋体" w:cs="Times New Roman"/>
                <w:color w:val="auto"/>
                <w:spacing w:val="-2"/>
                <w:position w:val="8"/>
                <w:sz w:val="24"/>
                <w:szCs w:val="24"/>
                <w:highlight w:val="none"/>
                <w:vertAlign w:val="superscript"/>
                <w:lang w:val="en-US" w:eastAsia="zh-CN"/>
              </w:rPr>
              <w:t>-7</w:t>
            </w:r>
            <w:r>
              <w:rPr>
                <w:rFonts w:hint="default" w:ascii="Times New Roman" w:hAnsi="Times New Roman" w:eastAsia="Times New Roman" w:cs="Times New Roman"/>
                <w:color w:val="auto"/>
                <w:spacing w:val="-2"/>
                <w:sz w:val="24"/>
                <w:szCs w:val="24"/>
                <w:highlight w:val="none"/>
              </w:rPr>
              <w:t>cm/s</w:t>
            </w:r>
            <w:r>
              <w:rPr>
                <w:rFonts w:hint="default" w:ascii="Times New Roman" w:hAnsi="Times New Roman" w:eastAsia="宋体" w:cs="Times New Roman"/>
                <w:color w:val="auto"/>
                <w:spacing w:val="-2"/>
                <w:sz w:val="24"/>
                <w:szCs w:val="24"/>
                <w:highlight w:val="none"/>
              </w:rPr>
              <w:t>的等</w:t>
            </w:r>
            <w:r>
              <w:rPr>
                <w:rFonts w:hint="default" w:ascii="Times New Roman" w:hAnsi="Times New Roman" w:eastAsia="宋体" w:cs="Times New Roman"/>
                <w:color w:val="auto"/>
                <w:spacing w:val="-3"/>
                <w:sz w:val="24"/>
                <w:szCs w:val="24"/>
                <w:highlight w:val="none"/>
              </w:rPr>
              <w:t>效黏土层的防渗性能。</w:t>
            </w:r>
          </w:p>
          <w:p w14:paraId="6957BD57">
            <w:pPr>
              <w:keepNext w:val="0"/>
              <w:keepLines w:val="0"/>
              <w:pageBreakBefore w:val="0"/>
              <w:widowControl/>
              <w:kinsoku w:val="0"/>
              <w:wordWrap/>
              <w:overflowPunct/>
              <w:topLinePunct w:val="0"/>
              <w:autoSpaceDE w:val="0"/>
              <w:autoSpaceDN w:val="0"/>
              <w:bidi w:val="0"/>
              <w:snapToGrid w:val="0"/>
              <w:spacing w:line="360" w:lineRule="auto"/>
              <w:ind w:left="0" w:right="0" w:firstLine="51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pacing w:val="9"/>
                <w:sz w:val="24"/>
                <w:szCs w:val="24"/>
                <w:highlight w:val="none"/>
                <w:lang w:eastAsia="zh-CN"/>
              </w:rPr>
              <w:t>危废暂存点</w:t>
            </w:r>
            <w:r>
              <w:rPr>
                <w:rFonts w:hint="default" w:ascii="Times New Roman" w:hAnsi="Times New Roman" w:eastAsia="宋体" w:cs="Times New Roman"/>
                <w:color w:val="auto"/>
                <w:spacing w:val="9"/>
                <w:sz w:val="24"/>
                <w:szCs w:val="24"/>
                <w:highlight w:val="none"/>
              </w:rPr>
              <w:t>为重点防渗区，重点防渗区防渗技术要求等效黏土</w:t>
            </w:r>
            <w:r>
              <w:rPr>
                <w:rFonts w:hint="default" w:ascii="Times New Roman" w:hAnsi="Times New Roman" w:eastAsia="宋体" w:cs="Times New Roman"/>
                <w:color w:val="auto"/>
                <w:spacing w:val="8"/>
                <w:sz w:val="24"/>
                <w:szCs w:val="24"/>
                <w:highlight w:val="none"/>
              </w:rPr>
              <w:t>防渗层</w:t>
            </w:r>
            <w:r>
              <w:rPr>
                <w:rFonts w:hint="default" w:ascii="Times New Roman" w:hAnsi="Times New Roman" w:eastAsia="Times New Roman" w:cs="Times New Roman"/>
                <w:color w:val="auto"/>
                <w:spacing w:val="-2"/>
                <w:sz w:val="24"/>
                <w:szCs w:val="24"/>
                <w:highlight w:val="none"/>
              </w:rPr>
              <w:t>Mb≥6.0m</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K≤1×10</w:t>
            </w:r>
            <w:r>
              <w:rPr>
                <w:rFonts w:hint="default" w:ascii="Times New Roman" w:hAnsi="Times New Roman" w:eastAsia="宋体" w:cs="Times New Roman"/>
                <w:color w:val="auto"/>
                <w:spacing w:val="-2"/>
                <w:sz w:val="24"/>
                <w:szCs w:val="24"/>
                <w:highlight w:val="none"/>
                <w:vertAlign w:val="superscript"/>
                <w:lang w:val="en-US" w:eastAsia="zh-CN"/>
              </w:rPr>
              <w:t>-7</w:t>
            </w:r>
            <w:r>
              <w:rPr>
                <w:rFonts w:hint="default" w:ascii="Times New Roman" w:hAnsi="Times New Roman" w:eastAsia="Times New Roman" w:cs="Times New Roman"/>
                <w:color w:val="auto"/>
                <w:spacing w:val="-2"/>
                <w:sz w:val="24"/>
                <w:szCs w:val="24"/>
                <w:highlight w:val="none"/>
              </w:rPr>
              <w:t>cm/s</w:t>
            </w:r>
            <w:r>
              <w:rPr>
                <w:rFonts w:hint="default" w:ascii="Times New Roman" w:hAnsi="Times New Roman" w:eastAsia="宋体" w:cs="Times New Roman"/>
                <w:color w:val="auto"/>
                <w:spacing w:val="-2"/>
                <w:sz w:val="24"/>
                <w:szCs w:val="24"/>
                <w:highlight w:val="none"/>
              </w:rPr>
              <w:t>。</w:t>
            </w:r>
          </w:p>
          <w:p w14:paraId="7B6BDDB0">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除上述区域外的场区，按常规建筑结构要求进行地面处理。</w:t>
            </w:r>
            <w:r>
              <w:rPr>
                <w:rFonts w:hint="default" w:ascii="Times New Roman" w:hAnsi="Times New Roman" w:eastAsia="宋体" w:cs="Times New Roman"/>
                <w:color w:val="auto"/>
                <w:spacing w:val="-2"/>
                <w:sz w:val="24"/>
                <w:szCs w:val="24"/>
                <w:highlight w:val="none"/>
              </w:rPr>
              <w:t>本项目全厂污染防治分区情况详见表</w:t>
            </w:r>
            <w:r>
              <w:rPr>
                <w:rFonts w:hint="default" w:ascii="Times New Roman" w:hAnsi="Times New Roman" w:eastAsia="Times New Roman" w:cs="Times New Roman"/>
                <w:color w:val="auto"/>
                <w:spacing w:val="-2"/>
                <w:sz w:val="24"/>
                <w:szCs w:val="24"/>
                <w:highlight w:val="none"/>
              </w:rPr>
              <w:t>4-1</w:t>
            </w:r>
            <w:r>
              <w:rPr>
                <w:rFonts w:hint="default" w:ascii="Times New Roman" w:hAnsi="Times New Roman" w:eastAsia="宋体" w:cs="Times New Roman"/>
                <w:color w:val="auto"/>
                <w:spacing w:val="-2"/>
                <w:sz w:val="24"/>
                <w:szCs w:val="24"/>
                <w:highlight w:val="none"/>
                <w:lang w:val="en-US" w:eastAsia="zh-CN"/>
              </w:rPr>
              <w:t>0</w:t>
            </w:r>
            <w:r>
              <w:rPr>
                <w:rFonts w:hint="default" w:ascii="Times New Roman" w:hAnsi="Times New Roman" w:eastAsia="宋体" w:cs="Times New Roman"/>
                <w:color w:val="auto"/>
                <w:spacing w:val="-2"/>
                <w:sz w:val="24"/>
                <w:szCs w:val="24"/>
                <w:highlight w:val="none"/>
              </w:rPr>
              <w:t>。</w:t>
            </w:r>
          </w:p>
          <w:p w14:paraId="3FB9951A">
            <w:pPr>
              <w:keepNext w:val="0"/>
              <w:keepLines w:val="0"/>
              <w:pageBreakBefore w:val="0"/>
              <w:widowControl/>
              <w:kinsoku w:val="0"/>
              <w:wordWrap/>
              <w:overflowPunct/>
              <w:topLinePunct w:val="0"/>
              <w:autoSpaceDE w:val="0"/>
              <w:autoSpaceDN w:val="0"/>
              <w:bidi w:val="0"/>
              <w:snapToGrid w:val="0"/>
              <w:spacing w:line="240" w:lineRule="auto"/>
              <w:ind w:left="0" w:right="0" w:firstLine="450" w:firstLineChars="20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表</w:t>
            </w:r>
            <w:r>
              <w:rPr>
                <w:rFonts w:hint="default" w:ascii="Times New Roman" w:hAnsi="Times New Roman" w:eastAsia="Times New Roman" w:cs="Times New Roman"/>
                <w:color w:val="auto"/>
                <w:spacing w:val="7"/>
                <w:sz w:val="21"/>
                <w:szCs w:val="21"/>
                <w:highlight w:val="none"/>
              </w:rPr>
              <w:t>4-1</w:t>
            </w:r>
            <w:r>
              <w:rPr>
                <w:rFonts w:hint="default" w:ascii="Times New Roman" w:hAnsi="Times New Roman" w:eastAsia="宋体" w:cs="Times New Roman"/>
                <w:color w:val="auto"/>
                <w:spacing w:val="7"/>
                <w:sz w:val="21"/>
                <w:szCs w:val="21"/>
                <w:highlight w:val="none"/>
                <w:lang w:val="en-US" w:eastAsia="zh-CN"/>
              </w:rPr>
              <w:t>0</w:t>
            </w:r>
            <w:r>
              <w:rPr>
                <w:rFonts w:hint="default" w:ascii="Times New Roman" w:hAnsi="Times New Roman" w:eastAsia="宋体" w:cs="Times New Roman"/>
                <w:b/>
                <w:bCs/>
                <w:color w:val="auto"/>
                <w:spacing w:val="7"/>
                <w:sz w:val="21"/>
                <w:szCs w:val="21"/>
                <w:highlight w:val="none"/>
              </w:rPr>
              <w:t>本项目地下水污染防治分区情况表</w:t>
            </w:r>
          </w:p>
          <w:tbl>
            <w:tblPr>
              <w:tblStyle w:val="54"/>
              <w:tblW w:w="4941"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0"/>
              <w:gridCol w:w="4924"/>
            </w:tblGrid>
            <w:tr w14:paraId="1697D5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442" w:type="dxa"/>
                  <w:tcBorders>
                    <w:top w:val="single" w:color="000000" w:sz="10" w:space="0"/>
                    <w:left w:val="nil"/>
                  </w:tcBorders>
                  <w:vAlign w:val="center"/>
                </w:tcPr>
                <w:p w14:paraId="3FDB80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名称</w:t>
                  </w:r>
                </w:p>
              </w:tc>
              <w:tc>
                <w:tcPr>
                  <w:tcW w:w="4928" w:type="dxa"/>
                  <w:tcBorders>
                    <w:top w:val="single" w:color="000000" w:sz="10" w:space="0"/>
                    <w:right w:val="nil"/>
                  </w:tcBorders>
                  <w:vAlign w:val="center"/>
                </w:tcPr>
                <w:p w14:paraId="403A838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范围</w:t>
                  </w:r>
                </w:p>
              </w:tc>
            </w:tr>
            <w:tr w14:paraId="43D1AC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442" w:type="dxa"/>
                  <w:tcBorders>
                    <w:left w:val="nil"/>
                  </w:tcBorders>
                  <w:vAlign w:val="center"/>
                </w:tcPr>
                <w:p w14:paraId="291A4E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重点防渗区</w:t>
                  </w:r>
                </w:p>
              </w:tc>
              <w:tc>
                <w:tcPr>
                  <w:tcW w:w="4928" w:type="dxa"/>
                  <w:tcBorders>
                    <w:right w:val="nil"/>
                  </w:tcBorders>
                  <w:vAlign w:val="center"/>
                </w:tcPr>
                <w:p w14:paraId="1F6C17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pacing w:val="7"/>
                      <w:sz w:val="21"/>
                      <w:szCs w:val="21"/>
                      <w:highlight w:val="none"/>
                      <w:lang w:eastAsia="zh-CN"/>
                    </w:rPr>
                    <w:t>危废暂存点</w:t>
                  </w:r>
                </w:p>
              </w:tc>
            </w:tr>
            <w:tr w14:paraId="51BBF1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442" w:type="dxa"/>
                  <w:tcBorders>
                    <w:left w:val="nil"/>
                  </w:tcBorders>
                  <w:vAlign w:val="center"/>
                </w:tcPr>
                <w:p w14:paraId="554A601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一般防渗区</w:t>
                  </w:r>
                </w:p>
              </w:tc>
              <w:tc>
                <w:tcPr>
                  <w:tcW w:w="4928" w:type="dxa"/>
                  <w:tcBorders>
                    <w:right w:val="nil"/>
                  </w:tcBorders>
                  <w:vAlign w:val="center"/>
                </w:tcPr>
                <w:p w14:paraId="0D793E0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生产车间</w:t>
                  </w:r>
                </w:p>
              </w:tc>
            </w:tr>
            <w:tr w14:paraId="377FB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 w:hRule="atLeast"/>
                <w:jc w:val="center"/>
              </w:trPr>
              <w:tc>
                <w:tcPr>
                  <w:tcW w:w="2442" w:type="dxa"/>
                  <w:tcBorders>
                    <w:left w:val="nil"/>
                    <w:bottom w:val="single" w:color="000000" w:sz="10" w:space="0"/>
                  </w:tcBorders>
                  <w:vAlign w:val="center"/>
                </w:tcPr>
                <w:p w14:paraId="1DBDDA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简单防渗区</w:t>
                  </w:r>
                </w:p>
              </w:tc>
              <w:tc>
                <w:tcPr>
                  <w:tcW w:w="4928" w:type="dxa"/>
                  <w:tcBorders>
                    <w:bottom w:val="single" w:color="000000" w:sz="10" w:space="0"/>
                    <w:right w:val="nil"/>
                  </w:tcBorders>
                  <w:vAlign w:val="center"/>
                </w:tcPr>
                <w:p w14:paraId="16B259D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其他区域</w:t>
                  </w:r>
                </w:p>
              </w:tc>
            </w:tr>
          </w:tbl>
          <w:p w14:paraId="5E79990A">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此外要加强管理，提高操作人员技术水平，完善管理机制，建立严</w:t>
            </w:r>
            <w:r>
              <w:rPr>
                <w:rFonts w:hint="default" w:ascii="Times New Roman" w:hAnsi="Times New Roman" w:eastAsia="宋体" w:cs="Times New Roman"/>
                <w:color w:val="auto"/>
                <w:sz w:val="24"/>
                <w:szCs w:val="24"/>
                <w:highlight w:val="none"/>
              </w:rPr>
              <w:t>格的</w:t>
            </w:r>
            <w:r>
              <w:rPr>
                <w:rFonts w:hint="default" w:ascii="Times New Roman" w:hAnsi="Times New Roman" w:eastAsia="宋体" w:cs="Times New Roman"/>
                <w:color w:val="auto"/>
                <w:spacing w:val="1"/>
                <w:sz w:val="24"/>
                <w:szCs w:val="24"/>
                <w:highlight w:val="none"/>
              </w:rPr>
              <w:t>生产管理制度，遵守操作规程。采取以上措施后，能最大限度地</w:t>
            </w:r>
            <w:r>
              <w:rPr>
                <w:rFonts w:hint="default" w:ascii="Times New Roman" w:hAnsi="Times New Roman" w:eastAsia="宋体" w:cs="Times New Roman"/>
                <w:color w:val="auto"/>
                <w:sz w:val="24"/>
                <w:szCs w:val="24"/>
                <w:highlight w:val="none"/>
              </w:rPr>
              <w:t>减少项目污</w:t>
            </w:r>
            <w:r>
              <w:rPr>
                <w:rFonts w:hint="default" w:ascii="Times New Roman" w:hAnsi="Times New Roman" w:eastAsia="宋体" w:cs="Times New Roman"/>
                <w:color w:val="auto"/>
                <w:spacing w:val="1"/>
                <w:sz w:val="24"/>
                <w:szCs w:val="24"/>
                <w:highlight w:val="none"/>
              </w:rPr>
              <w:t>染物的排放对土壤和地下水的影响。建议企业做好废气、废水污</w:t>
            </w:r>
            <w:r>
              <w:rPr>
                <w:rFonts w:hint="default" w:ascii="Times New Roman" w:hAnsi="Times New Roman" w:eastAsia="宋体" w:cs="Times New Roman"/>
                <w:color w:val="auto"/>
                <w:sz w:val="24"/>
                <w:szCs w:val="24"/>
                <w:highlight w:val="none"/>
              </w:rPr>
              <w:t>染防治设施</w:t>
            </w:r>
            <w:r>
              <w:rPr>
                <w:rFonts w:hint="default" w:ascii="Times New Roman" w:hAnsi="Times New Roman" w:eastAsia="宋体" w:cs="Times New Roman"/>
                <w:color w:val="auto"/>
                <w:spacing w:val="-4"/>
                <w:sz w:val="24"/>
                <w:szCs w:val="24"/>
                <w:highlight w:val="none"/>
              </w:rPr>
              <w:t>的维护及检修；严格做好分区防渗措施。故本项目对地下水和土壤影响不大。</w:t>
            </w:r>
          </w:p>
          <w:p w14:paraId="6646975B">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3"/>
                <w:sz w:val="24"/>
                <w:szCs w:val="24"/>
                <w:highlight w:val="none"/>
              </w:rPr>
              <w:t>6.</w:t>
            </w:r>
            <w:r>
              <w:rPr>
                <w:rFonts w:hint="default" w:ascii="Times New Roman" w:hAnsi="Times New Roman" w:eastAsia="宋体" w:cs="Times New Roman"/>
                <w:b/>
                <w:bCs/>
                <w:color w:val="auto"/>
                <w:spacing w:val="-3"/>
                <w:sz w:val="24"/>
                <w:szCs w:val="24"/>
                <w:highlight w:val="none"/>
              </w:rPr>
              <w:t>环境风险分析</w:t>
            </w:r>
          </w:p>
          <w:p w14:paraId="4B01DE7E">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6.1</w:t>
            </w:r>
            <w:r>
              <w:rPr>
                <w:rFonts w:hint="default" w:ascii="Times New Roman" w:hAnsi="Times New Roman" w:eastAsia="宋体" w:cs="Times New Roman"/>
                <w:b/>
                <w:bCs/>
                <w:color w:val="auto"/>
                <w:spacing w:val="-2"/>
                <w:sz w:val="24"/>
                <w:szCs w:val="24"/>
                <w:highlight w:val="none"/>
              </w:rPr>
              <w:t>环境风险评价目的</w:t>
            </w:r>
          </w:p>
          <w:p w14:paraId="37218232">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本环境风险评价的目的是分析和预测建设项目存在的潜在危险、有</w:t>
            </w:r>
            <w:r>
              <w:rPr>
                <w:rFonts w:hint="default" w:ascii="Times New Roman" w:hAnsi="Times New Roman" w:eastAsia="宋体" w:cs="Times New Roman"/>
                <w:color w:val="auto"/>
                <w:sz w:val="24"/>
                <w:szCs w:val="24"/>
                <w:highlight w:val="none"/>
              </w:rPr>
              <w:t>害因</w:t>
            </w:r>
            <w:r>
              <w:rPr>
                <w:rFonts w:hint="default" w:ascii="Times New Roman" w:hAnsi="Times New Roman" w:eastAsia="宋体" w:cs="Times New Roman"/>
                <w:color w:val="auto"/>
                <w:spacing w:val="1"/>
                <w:sz w:val="24"/>
                <w:szCs w:val="24"/>
                <w:highlight w:val="none"/>
              </w:rPr>
              <w:t>素、建设项目建设和生产运行期间可能发生的突发性事件或事故（一</w:t>
            </w:r>
            <w:r>
              <w:rPr>
                <w:rFonts w:hint="default" w:ascii="Times New Roman" w:hAnsi="Times New Roman" w:eastAsia="宋体" w:cs="Times New Roman"/>
                <w:color w:val="auto"/>
                <w:sz w:val="24"/>
                <w:szCs w:val="24"/>
                <w:highlight w:val="none"/>
              </w:rPr>
              <w:t>般不包</w:t>
            </w:r>
            <w:r>
              <w:rPr>
                <w:rFonts w:hint="default" w:ascii="Times New Roman" w:hAnsi="Times New Roman" w:eastAsia="宋体" w:cs="Times New Roman"/>
                <w:color w:val="auto"/>
                <w:spacing w:val="1"/>
                <w:sz w:val="24"/>
                <w:szCs w:val="24"/>
                <w:highlight w:val="none"/>
              </w:rPr>
              <w:t>括人为破坏及自然灾害）引起易燃易爆等物质燃烧爆炸，所造成的人</w:t>
            </w:r>
            <w:r>
              <w:rPr>
                <w:rFonts w:hint="default" w:ascii="Times New Roman" w:hAnsi="Times New Roman" w:eastAsia="宋体" w:cs="Times New Roman"/>
                <w:color w:val="auto"/>
                <w:sz w:val="24"/>
                <w:szCs w:val="24"/>
                <w:highlight w:val="none"/>
              </w:rPr>
              <w:t>身安全</w:t>
            </w:r>
            <w:r>
              <w:rPr>
                <w:rFonts w:hint="default" w:ascii="Times New Roman" w:hAnsi="Times New Roman" w:eastAsia="宋体" w:cs="Times New Roman"/>
                <w:color w:val="auto"/>
                <w:spacing w:val="1"/>
                <w:sz w:val="24"/>
                <w:szCs w:val="24"/>
                <w:highlight w:val="none"/>
              </w:rPr>
              <w:t>与环境影响和损害程度，提出合理可行的防范、应急与减缓措施，以</w:t>
            </w:r>
            <w:r>
              <w:rPr>
                <w:rFonts w:hint="default" w:ascii="Times New Roman" w:hAnsi="Times New Roman" w:eastAsia="宋体" w:cs="Times New Roman"/>
                <w:color w:val="auto"/>
                <w:sz w:val="24"/>
                <w:szCs w:val="24"/>
                <w:highlight w:val="none"/>
              </w:rPr>
              <w:t>使建设</w:t>
            </w:r>
            <w:r>
              <w:rPr>
                <w:rFonts w:hint="default" w:ascii="Times New Roman" w:hAnsi="Times New Roman" w:eastAsia="宋体" w:cs="Times New Roman"/>
                <w:color w:val="auto"/>
                <w:spacing w:val="-1"/>
                <w:sz w:val="24"/>
                <w:szCs w:val="24"/>
                <w:highlight w:val="none"/>
              </w:rPr>
              <w:t>项目事故率、损失和环境影响达到可接受水平。</w:t>
            </w:r>
          </w:p>
          <w:p w14:paraId="1A4AA371">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6.2</w:t>
            </w:r>
            <w:r>
              <w:rPr>
                <w:rFonts w:hint="default" w:ascii="Times New Roman" w:hAnsi="Times New Roman" w:eastAsia="宋体" w:cs="Times New Roman"/>
                <w:b/>
                <w:bCs/>
                <w:color w:val="auto"/>
                <w:spacing w:val="-2"/>
                <w:sz w:val="24"/>
                <w:szCs w:val="24"/>
                <w:highlight w:val="none"/>
              </w:rPr>
              <w:t>风险调查</w:t>
            </w:r>
          </w:p>
          <w:p w14:paraId="3E286DD2">
            <w:pPr>
              <w:keepNext w:val="0"/>
              <w:keepLines w:val="0"/>
              <w:pageBreakBefore w:val="0"/>
              <w:widowControl/>
              <w:kinsoku w:val="0"/>
              <w:wordWrap/>
              <w:overflowPunct/>
              <w:topLinePunct w:val="0"/>
              <w:autoSpaceDE w:val="0"/>
              <w:autoSpaceDN w:val="0"/>
              <w:bidi w:val="0"/>
              <w:snapToGrid w:val="0"/>
              <w:spacing w:line="360" w:lineRule="auto"/>
              <w:ind w:left="0" w:right="0" w:firstLine="44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9"/>
                <w:sz w:val="24"/>
                <w:szCs w:val="24"/>
                <w:highlight w:val="none"/>
              </w:rPr>
              <w:t>根据《建设项目环境风险评价技术导则》（</w:t>
            </w:r>
            <w:r>
              <w:rPr>
                <w:rFonts w:hint="default" w:ascii="Times New Roman" w:hAnsi="Times New Roman" w:eastAsia="Times New Roman" w:cs="Times New Roman"/>
                <w:color w:val="auto"/>
                <w:spacing w:val="-9"/>
                <w:sz w:val="24"/>
                <w:szCs w:val="24"/>
                <w:highlight w:val="none"/>
              </w:rPr>
              <w:t>HJ169-2018</w:t>
            </w:r>
            <w:r>
              <w:rPr>
                <w:rFonts w:hint="default" w:ascii="Times New Roman" w:hAnsi="Times New Roman" w:eastAsia="宋体" w:cs="Times New Roman"/>
                <w:color w:val="auto"/>
                <w:spacing w:val="-9"/>
                <w:sz w:val="24"/>
                <w:szCs w:val="24"/>
                <w:highlight w:val="none"/>
              </w:rPr>
              <w:t>）附录</w:t>
            </w:r>
            <w:r>
              <w:rPr>
                <w:rFonts w:hint="default" w:ascii="Times New Roman" w:hAnsi="Times New Roman" w:eastAsia="Times New Roman" w:cs="Times New Roman"/>
                <w:color w:val="auto"/>
                <w:spacing w:val="-9"/>
                <w:sz w:val="24"/>
                <w:szCs w:val="24"/>
                <w:highlight w:val="none"/>
              </w:rPr>
              <w:t>B</w:t>
            </w:r>
            <w:r>
              <w:rPr>
                <w:rFonts w:hint="default" w:ascii="Times New Roman" w:hAnsi="Times New Roman" w:eastAsia="宋体" w:cs="Times New Roman"/>
                <w:color w:val="auto"/>
                <w:spacing w:val="-9"/>
                <w:sz w:val="24"/>
                <w:szCs w:val="24"/>
                <w:highlight w:val="none"/>
              </w:rPr>
              <w:t>中规定，</w:t>
            </w:r>
            <w:r>
              <w:rPr>
                <w:rFonts w:hint="default" w:ascii="Times New Roman" w:hAnsi="Times New Roman" w:eastAsia="宋体" w:cs="Times New Roman"/>
                <w:color w:val="auto"/>
                <w:spacing w:val="-1"/>
                <w:sz w:val="24"/>
                <w:szCs w:val="24"/>
                <w:highlight w:val="none"/>
              </w:rPr>
              <w:t>本项目风险物质为油类物质废机油。</w:t>
            </w:r>
          </w:p>
          <w:p w14:paraId="53130162">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6.3</w:t>
            </w:r>
            <w:r>
              <w:rPr>
                <w:rFonts w:hint="default" w:ascii="Times New Roman" w:hAnsi="Times New Roman" w:eastAsia="宋体" w:cs="Times New Roman"/>
                <w:b/>
                <w:bCs/>
                <w:color w:val="auto"/>
                <w:spacing w:val="-2"/>
                <w:sz w:val="24"/>
                <w:szCs w:val="24"/>
                <w:highlight w:val="none"/>
              </w:rPr>
              <w:t>环境风险潜势初判</w:t>
            </w:r>
          </w:p>
          <w:p w14:paraId="6BA3BA94">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eastAsia="宋体" w:cs="Times New Roman"/>
                <w:color w:val="auto"/>
                <w:spacing w:val="-2"/>
                <w:sz w:val="24"/>
                <w:szCs w:val="24"/>
                <w:highlight w:val="none"/>
              </w:rPr>
              <w:t>）危险物质数量与临界量比值（</w:t>
            </w:r>
            <w:r>
              <w:rPr>
                <w:rFonts w:hint="default" w:ascii="Times New Roman" w:hAnsi="Times New Roman" w:eastAsia="Times New Roman" w:cs="Times New Roman"/>
                <w:color w:val="auto"/>
                <w:spacing w:val="-2"/>
                <w:sz w:val="24"/>
                <w:szCs w:val="24"/>
                <w:highlight w:val="none"/>
              </w:rPr>
              <w:t>Q</w:t>
            </w:r>
            <w:r>
              <w:rPr>
                <w:rFonts w:hint="default" w:ascii="Times New Roman" w:hAnsi="Times New Roman" w:eastAsia="宋体" w:cs="Times New Roman"/>
                <w:color w:val="auto"/>
                <w:spacing w:val="-2"/>
                <w:sz w:val="24"/>
                <w:szCs w:val="24"/>
                <w:highlight w:val="none"/>
              </w:rPr>
              <w:t>）</w:t>
            </w:r>
          </w:p>
          <w:p w14:paraId="74BC76C3">
            <w:pPr>
              <w:keepNext w:val="0"/>
              <w:keepLines w:val="0"/>
              <w:pageBreakBefore w:val="0"/>
              <w:widowControl/>
              <w:kinsoku w:val="0"/>
              <w:wordWrap/>
              <w:overflowPunct/>
              <w:topLinePunct w:val="0"/>
              <w:autoSpaceDE w:val="0"/>
              <w:autoSpaceDN w:val="0"/>
              <w:bidi w:val="0"/>
              <w:snapToGrid w:val="0"/>
              <w:spacing w:line="360" w:lineRule="auto"/>
              <w:ind w:left="0" w:right="0" w:firstLine="480" w:firstLineChars="200"/>
              <w:jc w:val="left"/>
              <w:textAlignment w:val="baseline"/>
              <w:rPr>
                <w:rFonts w:hint="default" w:ascii="Times New Roman" w:hAnsi="Times New Roman" w:eastAsia="宋体" w:cs="Times New Roman"/>
                <w:color w:val="auto"/>
                <w:spacing w:val="-1"/>
                <w:sz w:val="24"/>
                <w:szCs w:val="24"/>
                <w:highlight w:val="none"/>
              </w:rPr>
            </w:pPr>
            <w:r>
              <w:rPr>
                <w:rFonts w:hint="default" w:ascii="Times New Roman" w:hAnsi="Times New Roman" w:eastAsia="宋体" w:cs="Times New Roman"/>
                <w:color w:val="auto"/>
                <w:sz w:val="24"/>
                <w:szCs w:val="24"/>
                <w:highlight w:val="none"/>
              </w:rPr>
              <w:t>根据《建设项目环境风险评价技术导则》（</w:t>
            </w:r>
            <w:r>
              <w:rPr>
                <w:rFonts w:hint="default" w:ascii="Times New Roman" w:hAnsi="Times New Roman" w:eastAsia="Times New Roman" w:cs="Times New Roman"/>
                <w:color w:val="auto"/>
                <w:sz w:val="24"/>
                <w:szCs w:val="24"/>
                <w:highlight w:val="none"/>
              </w:rPr>
              <w:t>HJ169</w:t>
            </w:r>
            <w:r>
              <w:rPr>
                <w:rFonts w:hint="default" w:ascii="Times New Roman" w:hAnsi="Times New Roman" w:eastAsia="Times New Roman" w:cs="Times New Roman"/>
                <w:color w:val="auto"/>
                <w:spacing w:val="-1"/>
                <w:sz w:val="24"/>
                <w:szCs w:val="24"/>
                <w:highlight w:val="none"/>
              </w:rPr>
              <w:t>-2018</w:t>
            </w:r>
            <w:r>
              <w:rPr>
                <w:rFonts w:hint="default" w:ascii="Times New Roman" w:hAnsi="Times New Roman" w:eastAsia="宋体" w:cs="Times New Roman"/>
                <w:color w:val="auto"/>
                <w:spacing w:val="-1"/>
                <w:sz w:val="24"/>
                <w:szCs w:val="24"/>
                <w:highlight w:val="none"/>
              </w:rPr>
              <w:t>）和《危险化学</w:t>
            </w:r>
            <w:r>
              <w:rPr>
                <w:rFonts w:hint="default" w:ascii="Times New Roman" w:hAnsi="Times New Roman" w:eastAsia="宋体" w:cs="Times New Roman"/>
                <w:color w:val="auto"/>
                <w:spacing w:val="-2"/>
                <w:sz w:val="24"/>
                <w:szCs w:val="24"/>
                <w:highlight w:val="none"/>
              </w:rPr>
              <w:t>品重大危险源辨识》（</w:t>
            </w:r>
            <w:r>
              <w:rPr>
                <w:rFonts w:hint="default" w:ascii="Times New Roman" w:hAnsi="Times New Roman" w:eastAsia="Times New Roman" w:cs="Times New Roman"/>
                <w:color w:val="auto"/>
                <w:spacing w:val="-2"/>
                <w:sz w:val="24"/>
                <w:szCs w:val="24"/>
                <w:highlight w:val="none"/>
              </w:rPr>
              <w:t>GB18218-2018</w:t>
            </w:r>
            <w:r>
              <w:rPr>
                <w:rFonts w:hint="default" w:ascii="Times New Roman" w:hAnsi="Times New Roman" w:eastAsia="宋体" w:cs="Times New Roman"/>
                <w:color w:val="auto"/>
                <w:spacing w:val="-23"/>
                <w:sz w:val="24"/>
                <w:szCs w:val="24"/>
                <w:highlight w:val="none"/>
              </w:rPr>
              <w:t>），</w:t>
            </w:r>
            <w:r>
              <w:rPr>
                <w:rFonts w:hint="default" w:ascii="Times New Roman" w:hAnsi="Times New Roman" w:eastAsia="宋体" w:cs="Times New Roman"/>
                <w:color w:val="auto"/>
                <w:spacing w:val="-2"/>
                <w:sz w:val="24"/>
                <w:szCs w:val="24"/>
                <w:highlight w:val="none"/>
              </w:rPr>
              <w:t>危险化学品重大危</w:t>
            </w:r>
            <w:r>
              <w:rPr>
                <w:rFonts w:hint="default" w:ascii="Times New Roman" w:hAnsi="Times New Roman" w:eastAsia="宋体" w:cs="Times New Roman"/>
                <w:color w:val="auto"/>
                <w:spacing w:val="-3"/>
                <w:sz w:val="24"/>
                <w:szCs w:val="24"/>
                <w:highlight w:val="none"/>
              </w:rPr>
              <w:t>险源是指</w:t>
            </w:r>
            <w:r>
              <w:rPr>
                <w:rFonts w:hint="default" w:ascii="Times New Roman" w:hAnsi="Times New Roman" w:eastAsia="Times New Roman" w:cs="Times New Roman"/>
                <w:color w:val="auto"/>
                <w:spacing w:val="-3"/>
                <w:sz w:val="24"/>
                <w:szCs w:val="24"/>
                <w:highlight w:val="none"/>
              </w:rPr>
              <w:t>“</w:t>
            </w:r>
            <w:r>
              <w:rPr>
                <w:rFonts w:hint="default" w:ascii="Times New Roman" w:hAnsi="Times New Roman" w:eastAsia="宋体" w:cs="Times New Roman"/>
                <w:color w:val="auto"/>
                <w:spacing w:val="-3"/>
                <w:sz w:val="24"/>
                <w:szCs w:val="24"/>
                <w:highlight w:val="none"/>
              </w:rPr>
              <w:t>长期地</w:t>
            </w:r>
            <w:r>
              <w:rPr>
                <w:rFonts w:hint="default" w:ascii="Times New Roman" w:hAnsi="Times New Roman" w:eastAsia="宋体" w:cs="Times New Roman"/>
                <w:color w:val="auto"/>
                <w:sz w:val="24"/>
                <w:szCs w:val="24"/>
                <w:highlight w:val="none"/>
              </w:rPr>
              <w:t>或临时地生产、加工、搬运、使用或储存危险化学品</w:t>
            </w:r>
            <w:r>
              <w:rPr>
                <w:rFonts w:hint="default" w:ascii="Times New Roman" w:hAnsi="Times New Roman" w:eastAsia="宋体" w:cs="Times New Roman"/>
                <w:color w:val="auto"/>
                <w:spacing w:val="-1"/>
                <w:sz w:val="24"/>
                <w:szCs w:val="24"/>
                <w:highlight w:val="none"/>
              </w:rPr>
              <w:t>，且危险化学品的数量</w:t>
            </w:r>
            <w:r>
              <w:rPr>
                <w:rFonts w:hint="default" w:ascii="Times New Roman" w:hAnsi="Times New Roman" w:eastAsia="宋体" w:cs="Times New Roman"/>
                <w:color w:val="auto"/>
                <w:spacing w:val="-2"/>
                <w:sz w:val="24"/>
                <w:szCs w:val="24"/>
                <w:highlight w:val="none"/>
              </w:rPr>
              <w:t>等于或超过临界量的单元</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rPr>
              <w:t>。计算所涉及的每种危险物质在</w:t>
            </w:r>
            <w:r>
              <w:rPr>
                <w:rFonts w:hint="default" w:ascii="Times New Roman" w:hAnsi="Times New Roman" w:eastAsia="宋体" w:cs="Times New Roman"/>
                <w:color w:val="auto"/>
                <w:spacing w:val="-3"/>
                <w:sz w:val="24"/>
                <w:szCs w:val="24"/>
                <w:highlight w:val="none"/>
              </w:rPr>
              <w:t>厂界内的最大存在总量与其在附录</w:t>
            </w:r>
            <w:r>
              <w:rPr>
                <w:rFonts w:hint="default" w:ascii="Times New Roman" w:hAnsi="Times New Roman" w:eastAsia="Times New Roman" w:cs="Times New Roman"/>
                <w:color w:val="auto"/>
                <w:spacing w:val="-3"/>
                <w:sz w:val="24"/>
                <w:szCs w:val="24"/>
                <w:highlight w:val="none"/>
              </w:rPr>
              <w:t>B</w:t>
            </w:r>
            <w:r>
              <w:rPr>
                <w:rFonts w:hint="default" w:ascii="Times New Roman" w:hAnsi="Times New Roman" w:eastAsia="宋体" w:cs="Times New Roman"/>
                <w:color w:val="auto"/>
                <w:spacing w:val="-3"/>
                <w:sz w:val="24"/>
                <w:szCs w:val="24"/>
                <w:highlight w:val="none"/>
              </w:rPr>
              <w:t>中对应临界量的比值</w:t>
            </w:r>
            <w:r>
              <w:rPr>
                <w:rFonts w:hint="default" w:ascii="Times New Roman" w:hAnsi="Times New Roman" w:eastAsia="Times New Roman" w:cs="Times New Roman"/>
                <w:color w:val="auto"/>
                <w:spacing w:val="-3"/>
                <w:sz w:val="24"/>
                <w:szCs w:val="24"/>
                <w:highlight w:val="none"/>
              </w:rPr>
              <w:t>Q</w:t>
            </w:r>
            <w:r>
              <w:rPr>
                <w:rFonts w:hint="default" w:ascii="Times New Roman" w:hAnsi="Times New Roman" w:eastAsia="宋体" w:cs="Times New Roman"/>
                <w:color w:val="auto"/>
                <w:spacing w:val="-3"/>
                <w:sz w:val="24"/>
                <w:szCs w:val="24"/>
                <w:highlight w:val="none"/>
              </w:rPr>
              <w:t>。在不同厂区的同一种物质，按其</w:t>
            </w:r>
            <w:r>
              <w:rPr>
                <w:rFonts w:hint="default" w:ascii="Times New Roman" w:hAnsi="Times New Roman" w:eastAsia="宋体" w:cs="Times New Roman"/>
                <w:color w:val="auto"/>
                <w:sz w:val="24"/>
                <w:szCs w:val="24"/>
                <w:highlight w:val="none"/>
              </w:rPr>
              <w:t>在厂界内的最大存在总量计算。单元内存在的危险化</w:t>
            </w:r>
            <w:r>
              <w:rPr>
                <w:rFonts w:hint="default" w:ascii="Times New Roman" w:hAnsi="Times New Roman" w:eastAsia="宋体" w:cs="Times New Roman"/>
                <w:color w:val="auto"/>
                <w:spacing w:val="-1"/>
                <w:sz w:val="24"/>
                <w:szCs w:val="24"/>
                <w:highlight w:val="none"/>
              </w:rPr>
              <w:t>学品的数量根据处理危险化学品的多少，区分为以下两种情况：</w:t>
            </w:r>
          </w:p>
          <w:p w14:paraId="5EF9E450">
            <w:pPr>
              <w:keepNext w:val="0"/>
              <w:keepLines w:val="0"/>
              <w:pageBreakBefore w:val="0"/>
              <w:widowControl/>
              <w:kinsoku w:val="0"/>
              <w:wordWrap/>
              <w:overflowPunct/>
              <w:topLinePunct w:val="0"/>
              <w:autoSpaceDE w:val="0"/>
              <w:autoSpaceDN w:val="0"/>
              <w:bidi w:val="0"/>
              <w:snapToGrid w:val="0"/>
              <w:spacing w:line="360" w:lineRule="auto"/>
              <w:ind w:left="0" w:right="0" w:firstLine="480" w:firstLineChars="200"/>
              <w:jc w:val="left"/>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①当只涉及一种危险物质时，计算该物质的总量</w:t>
            </w:r>
            <w:r>
              <w:rPr>
                <w:rFonts w:hint="default" w:ascii="Times New Roman" w:hAnsi="Times New Roman" w:eastAsia="宋体" w:cs="Times New Roman"/>
                <w:color w:val="auto"/>
                <w:spacing w:val="-1"/>
                <w:sz w:val="24"/>
                <w:szCs w:val="24"/>
                <w:highlight w:val="none"/>
              </w:rPr>
              <w:t>与其临界量比值，即为</w:t>
            </w:r>
            <w:r>
              <w:rPr>
                <w:rFonts w:hint="default" w:ascii="Times New Roman" w:hAnsi="Times New Roman" w:eastAsia="Times New Roman" w:cs="Times New Roman"/>
                <w:color w:val="auto"/>
                <w:spacing w:val="-5"/>
                <w:sz w:val="24"/>
                <w:szCs w:val="24"/>
                <w:highlight w:val="none"/>
              </w:rPr>
              <w:t>Q</w:t>
            </w:r>
            <w:r>
              <w:rPr>
                <w:rFonts w:hint="default" w:ascii="Times New Roman" w:hAnsi="Times New Roman" w:eastAsia="宋体" w:cs="Times New Roman"/>
                <w:color w:val="auto"/>
                <w:spacing w:val="-5"/>
                <w:sz w:val="24"/>
                <w:szCs w:val="24"/>
                <w:highlight w:val="none"/>
              </w:rPr>
              <w:t>；</w:t>
            </w:r>
          </w:p>
          <w:p w14:paraId="157C6198">
            <w:pPr>
              <w:keepNext w:val="0"/>
              <w:keepLines w:val="0"/>
              <w:pageBreakBefore w:val="0"/>
              <w:widowControl/>
              <w:kinsoku w:val="0"/>
              <w:wordWrap/>
              <w:overflowPunct/>
              <w:topLinePunct w:val="0"/>
              <w:autoSpaceDE w:val="0"/>
              <w:autoSpaceDN w:val="0"/>
              <w:bidi w:val="0"/>
              <w:snapToGrid w:val="0"/>
              <w:spacing w:line="360" w:lineRule="auto"/>
              <w:ind w:left="0" w:right="0" w:firstLine="460" w:firstLineChars="200"/>
              <w:jc w:val="left"/>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sz w:val="24"/>
                <w:szCs w:val="24"/>
                <w:highlight w:val="none"/>
              </w:rPr>
              <w:t>②当存在多种危险物质时，则按下式计算物质总量与其临界量比值（</w:t>
            </w:r>
            <w:r>
              <w:rPr>
                <w:rFonts w:hint="default" w:ascii="Times New Roman" w:hAnsi="Times New Roman" w:eastAsia="Times New Roman" w:cs="Times New Roman"/>
                <w:color w:val="auto"/>
                <w:spacing w:val="-5"/>
                <w:sz w:val="24"/>
                <w:szCs w:val="24"/>
                <w:highlight w:val="none"/>
              </w:rPr>
              <w:t>Q</w:t>
            </w:r>
            <w:r>
              <w:rPr>
                <w:rFonts w:hint="default" w:ascii="Times New Roman" w:hAnsi="Times New Roman" w:eastAsia="宋体" w:cs="Times New Roman"/>
                <w:color w:val="auto"/>
                <w:spacing w:val="-56"/>
                <w:w w:val="88"/>
                <w:sz w:val="24"/>
                <w:szCs w:val="24"/>
                <w:highlight w:val="none"/>
              </w:rPr>
              <w:t>）：</w:t>
            </w:r>
          </w:p>
          <w:p w14:paraId="4343E150">
            <w:pPr>
              <w:keepNext w:val="0"/>
              <w:keepLines w:val="0"/>
              <w:pageBreakBefore w:val="0"/>
              <w:widowControl/>
              <w:kinsoku w:val="0"/>
              <w:wordWrap/>
              <w:overflowPunct/>
              <w:topLinePunct w:val="0"/>
              <w:autoSpaceDE w:val="0"/>
              <w:autoSpaceDN w:val="0"/>
              <w:bidi w:val="0"/>
              <w:snapToGrid w:val="0"/>
              <w:spacing w:line="360" w:lineRule="auto"/>
              <w:ind w:left="0" w:right="0" w:firstLine="480" w:firstLineChars="200"/>
              <w:jc w:val="center"/>
              <w:textAlignment w:val="baseline"/>
              <w:rPr>
                <w:rFonts w:hint="default" w:ascii="Times New Roman" w:hAnsi="Times New Roman" w:cs="Times New Roman"/>
                <w:color w:val="auto"/>
                <w:sz w:val="24"/>
                <w:szCs w:val="24"/>
                <w:highlight w:val="none"/>
              </w:rPr>
            </w:pPr>
            <w:r>
              <w:rPr>
                <w:rFonts w:hint="default" w:ascii="Times New Roman" w:hAnsi="Times New Roman" w:cs="Times New Roman"/>
                <w:color w:val="auto"/>
                <w:position w:val="-13"/>
                <w:sz w:val="24"/>
                <w:szCs w:val="24"/>
                <w:highlight w:val="none"/>
              </w:rPr>
              <w:drawing>
                <wp:inline distT="0" distB="0" distL="0" distR="0">
                  <wp:extent cx="1417320" cy="441325"/>
                  <wp:effectExtent l="0" t="0" r="11430" b="15875"/>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33"/>
                          <a:stretch>
                            <a:fillRect/>
                          </a:stretch>
                        </pic:blipFill>
                        <pic:spPr>
                          <a:xfrm>
                            <a:off x="0" y="0"/>
                            <a:ext cx="1417320" cy="441959"/>
                          </a:xfrm>
                          <a:prstGeom prst="rect">
                            <a:avLst/>
                          </a:prstGeom>
                        </pic:spPr>
                      </pic:pic>
                    </a:graphicData>
                  </a:graphic>
                </wp:inline>
              </w:drawing>
            </w:r>
          </w:p>
          <w:p w14:paraId="1EFCDF94">
            <w:pPr>
              <w:keepNext w:val="0"/>
              <w:keepLines w:val="0"/>
              <w:pageBreakBefore w:val="0"/>
              <w:widowControl/>
              <w:kinsoku w:val="0"/>
              <w:wordWrap/>
              <w:overflowPunct/>
              <w:topLinePunct w:val="0"/>
              <w:autoSpaceDE w:val="0"/>
              <w:autoSpaceDN w:val="0"/>
              <w:bidi w:val="0"/>
              <w:snapToGrid w:val="0"/>
              <w:spacing w:line="360" w:lineRule="auto"/>
              <w:ind w:left="0" w:right="0" w:firstLine="46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5"/>
                <w:sz w:val="24"/>
                <w:szCs w:val="24"/>
                <w:highlight w:val="none"/>
              </w:rPr>
              <w:t>式中：</w:t>
            </w:r>
            <w:r>
              <w:rPr>
                <w:rFonts w:hint="default" w:ascii="Times New Roman" w:hAnsi="Times New Roman" w:eastAsia="Times New Roman" w:cs="Times New Roman"/>
                <w:color w:val="auto"/>
                <w:spacing w:val="-5"/>
                <w:sz w:val="24"/>
                <w:szCs w:val="24"/>
                <w:highlight w:val="none"/>
              </w:rPr>
              <w:t>q1</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Times New Roman" w:cs="Times New Roman"/>
                <w:color w:val="auto"/>
                <w:spacing w:val="-5"/>
                <w:sz w:val="24"/>
                <w:szCs w:val="24"/>
                <w:highlight w:val="none"/>
              </w:rPr>
              <w:t>q2</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Times New Roman" w:cs="Times New Roman"/>
                <w:color w:val="auto"/>
                <w:spacing w:val="-5"/>
                <w:sz w:val="24"/>
                <w:szCs w:val="24"/>
                <w:highlight w:val="none"/>
              </w:rPr>
              <w:t>...</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Times New Roman" w:cs="Times New Roman"/>
                <w:color w:val="auto"/>
                <w:spacing w:val="-5"/>
                <w:sz w:val="24"/>
                <w:szCs w:val="24"/>
                <w:highlight w:val="none"/>
              </w:rPr>
              <w:t>qn——</w:t>
            </w:r>
            <w:r>
              <w:rPr>
                <w:rFonts w:hint="default" w:ascii="Times New Roman" w:hAnsi="Times New Roman" w:eastAsia="宋体" w:cs="Times New Roman"/>
                <w:color w:val="auto"/>
                <w:spacing w:val="-5"/>
                <w:sz w:val="24"/>
                <w:szCs w:val="24"/>
                <w:highlight w:val="none"/>
              </w:rPr>
              <w:t>每种危险物质的最大总存在量，</w:t>
            </w:r>
            <w:r>
              <w:rPr>
                <w:rFonts w:hint="default" w:ascii="Times New Roman" w:hAnsi="Times New Roman" w:eastAsia="Times New Roman" w:cs="Times New Roman"/>
                <w:color w:val="auto"/>
                <w:spacing w:val="-5"/>
                <w:sz w:val="24"/>
                <w:szCs w:val="24"/>
                <w:highlight w:val="none"/>
              </w:rPr>
              <w:t>t</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Times New Roman" w:cs="Times New Roman"/>
                <w:color w:val="auto"/>
                <w:spacing w:val="-3"/>
                <w:sz w:val="24"/>
                <w:szCs w:val="24"/>
                <w:highlight w:val="none"/>
              </w:rPr>
              <w:t>Q1</w:t>
            </w:r>
            <w:r>
              <w:rPr>
                <w:rFonts w:hint="default" w:ascii="Times New Roman" w:hAnsi="Times New Roman" w:eastAsia="宋体" w:cs="Times New Roman"/>
                <w:color w:val="auto"/>
                <w:spacing w:val="-15"/>
                <w:sz w:val="24"/>
                <w:szCs w:val="24"/>
                <w:highlight w:val="none"/>
              </w:rPr>
              <w:t>，</w:t>
            </w:r>
            <w:r>
              <w:rPr>
                <w:rFonts w:hint="default" w:ascii="Times New Roman" w:hAnsi="Times New Roman" w:eastAsia="Times New Roman" w:cs="Times New Roman"/>
                <w:color w:val="auto"/>
                <w:spacing w:val="-15"/>
                <w:sz w:val="24"/>
                <w:szCs w:val="24"/>
                <w:highlight w:val="none"/>
              </w:rPr>
              <w:t>Q</w:t>
            </w:r>
            <w:r>
              <w:rPr>
                <w:rFonts w:hint="default" w:ascii="Times New Roman" w:hAnsi="Times New Roman" w:eastAsia="Times New Roman" w:cs="Times New Roman"/>
                <w:color w:val="auto"/>
                <w:spacing w:val="-4"/>
                <w:sz w:val="24"/>
                <w:szCs w:val="24"/>
                <w:highlight w:val="none"/>
              </w:rPr>
              <w:t>2</w:t>
            </w:r>
            <w:r>
              <w:rPr>
                <w:rFonts w:hint="default" w:ascii="Times New Roman" w:hAnsi="Times New Roman" w:eastAsia="宋体" w:cs="Times New Roman"/>
                <w:color w:val="auto"/>
                <w:spacing w:val="-4"/>
                <w:sz w:val="24"/>
                <w:szCs w:val="24"/>
                <w:highlight w:val="none"/>
              </w:rPr>
              <w:t>，</w:t>
            </w:r>
            <w:r>
              <w:rPr>
                <w:rFonts w:hint="default" w:ascii="Times New Roman" w:hAnsi="Times New Roman" w:eastAsia="Times New Roman" w:cs="Times New Roman"/>
                <w:color w:val="auto"/>
                <w:spacing w:val="-9"/>
                <w:sz w:val="24"/>
                <w:szCs w:val="24"/>
                <w:highlight w:val="none"/>
              </w:rPr>
              <w:t>...</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Times New Roman" w:cs="Times New Roman"/>
                <w:color w:val="auto"/>
                <w:spacing w:val="-9"/>
                <w:sz w:val="24"/>
                <w:szCs w:val="24"/>
                <w:highlight w:val="none"/>
              </w:rPr>
              <w:t>Q</w:t>
            </w:r>
            <w:r>
              <w:rPr>
                <w:rFonts w:hint="default" w:ascii="Times New Roman" w:hAnsi="Times New Roman" w:eastAsia="Times New Roman" w:cs="Times New Roman"/>
                <w:color w:val="auto"/>
                <w:sz w:val="24"/>
                <w:szCs w:val="24"/>
                <w:highlight w:val="none"/>
              </w:rPr>
              <w:t>n——</w:t>
            </w:r>
            <w:r>
              <w:rPr>
                <w:rFonts w:hint="default" w:ascii="Times New Roman" w:hAnsi="Times New Roman" w:eastAsia="宋体" w:cs="Times New Roman"/>
                <w:color w:val="auto"/>
                <w:sz w:val="24"/>
                <w:szCs w:val="24"/>
                <w:highlight w:val="none"/>
              </w:rPr>
              <w:t>每种危险物质的临界量，</w:t>
            </w:r>
            <w:r>
              <w:rPr>
                <w:rFonts w:hint="default" w:ascii="Times New Roman" w:hAnsi="Times New Roman" w:eastAsia="Times New Roman" w:cs="Times New Roman"/>
                <w:color w:val="auto"/>
                <w:sz w:val="24"/>
                <w:szCs w:val="24"/>
                <w:highlight w:val="none"/>
              </w:rPr>
              <w:t>t</w:t>
            </w:r>
            <w:r>
              <w:rPr>
                <w:rFonts w:hint="default" w:ascii="Times New Roman" w:hAnsi="Times New Roman" w:eastAsia="宋体" w:cs="Times New Roman"/>
                <w:color w:val="auto"/>
                <w:sz w:val="24"/>
                <w:szCs w:val="24"/>
                <w:highlight w:val="none"/>
              </w:rPr>
              <w:t>；</w:t>
            </w:r>
          </w:p>
          <w:p w14:paraId="533BE3BD">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当</w:t>
            </w:r>
            <w:r>
              <w:rPr>
                <w:rFonts w:hint="default" w:ascii="Times New Roman" w:hAnsi="Times New Roman" w:eastAsia="Times New Roman" w:cs="Times New Roman"/>
                <w:color w:val="auto"/>
                <w:spacing w:val="-2"/>
                <w:sz w:val="24"/>
                <w:szCs w:val="24"/>
                <w:highlight w:val="none"/>
              </w:rPr>
              <w:t>Q</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eastAsia="宋体" w:cs="Times New Roman"/>
                <w:color w:val="auto"/>
                <w:spacing w:val="-2"/>
                <w:sz w:val="24"/>
                <w:szCs w:val="24"/>
                <w:highlight w:val="none"/>
              </w:rPr>
              <w:t>时，该项目环境风险潜势为</w:t>
            </w:r>
            <w:r>
              <w:rPr>
                <w:rFonts w:hint="default" w:ascii="Times New Roman" w:hAnsi="Times New Roman" w:eastAsia="Times New Roman" w:cs="Times New Roman"/>
                <w:color w:val="auto"/>
                <w:spacing w:val="-2"/>
                <w:sz w:val="24"/>
                <w:szCs w:val="24"/>
                <w:highlight w:val="none"/>
              </w:rPr>
              <w:t>Ⅰ</w:t>
            </w:r>
            <w:r>
              <w:rPr>
                <w:rFonts w:hint="default" w:ascii="Times New Roman" w:hAnsi="Times New Roman" w:eastAsia="宋体" w:cs="Times New Roman"/>
                <w:color w:val="auto"/>
                <w:spacing w:val="-2"/>
                <w:sz w:val="24"/>
                <w:szCs w:val="24"/>
                <w:highlight w:val="none"/>
              </w:rPr>
              <w:t>;</w:t>
            </w:r>
          </w:p>
          <w:p w14:paraId="39AF9852">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当</w:t>
            </w:r>
            <w:r>
              <w:rPr>
                <w:rFonts w:hint="default" w:ascii="Times New Roman" w:hAnsi="Times New Roman" w:eastAsia="Times New Roman" w:cs="Times New Roman"/>
                <w:color w:val="auto"/>
                <w:spacing w:val="-2"/>
                <w:sz w:val="24"/>
                <w:szCs w:val="24"/>
                <w:highlight w:val="none"/>
              </w:rPr>
              <w:t>Q≥1</w:t>
            </w:r>
            <w:r>
              <w:rPr>
                <w:rFonts w:hint="default" w:ascii="Times New Roman" w:hAnsi="Times New Roman" w:eastAsia="宋体" w:cs="Times New Roman"/>
                <w:color w:val="auto"/>
                <w:spacing w:val="-2"/>
                <w:sz w:val="24"/>
                <w:szCs w:val="24"/>
                <w:highlight w:val="none"/>
              </w:rPr>
              <w:t>时，将</w:t>
            </w:r>
            <w:r>
              <w:rPr>
                <w:rFonts w:hint="default" w:ascii="Times New Roman" w:hAnsi="Times New Roman" w:eastAsia="Times New Roman" w:cs="Times New Roman"/>
                <w:color w:val="auto"/>
                <w:spacing w:val="-2"/>
                <w:sz w:val="24"/>
                <w:szCs w:val="24"/>
                <w:highlight w:val="none"/>
              </w:rPr>
              <w:t>Q</w:t>
            </w:r>
            <w:r>
              <w:rPr>
                <w:rFonts w:hint="default" w:ascii="Times New Roman" w:hAnsi="Times New Roman" w:eastAsia="宋体" w:cs="Times New Roman"/>
                <w:color w:val="auto"/>
                <w:spacing w:val="-2"/>
                <w:sz w:val="24"/>
                <w:szCs w:val="24"/>
                <w:highlight w:val="none"/>
              </w:rPr>
              <w:t>值划分为：</w:t>
            </w:r>
            <w:r>
              <w:rPr>
                <w:rFonts w:hint="default" w:ascii="Times New Roman" w:hAnsi="Times New Roman" w:eastAsia="Times New Roman" w:cs="Times New Roman"/>
                <w:color w:val="auto"/>
                <w:spacing w:val="-2"/>
                <w:sz w:val="24"/>
                <w:szCs w:val="24"/>
                <w:highlight w:val="none"/>
              </w:rPr>
              <w:t>1≤Q</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10</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10≤Q</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100</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Q≥100</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宋体" w:cs="Times New Roman"/>
                <w:color w:val="auto"/>
                <w:spacing w:val="-1"/>
                <w:sz w:val="24"/>
                <w:szCs w:val="24"/>
                <w:highlight w:val="none"/>
              </w:rPr>
              <w:t>本项目涉及的危险物质存在量与临界量比值见表</w:t>
            </w:r>
            <w:r>
              <w:rPr>
                <w:rFonts w:hint="default" w:ascii="Times New Roman" w:hAnsi="Times New Roman" w:eastAsia="Times New Roman" w:cs="Times New Roman"/>
                <w:color w:val="auto"/>
                <w:spacing w:val="-1"/>
                <w:sz w:val="24"/>
                <w:szCs w:val="24"/>
                <w:highlight w:val="none"/>
              </w:rPr>
              <w:t>4-1</w:t>
            </w:r>
            <w:r>
              <w:rPr>
                <w:rFonts w:hint="default" w:ascii="Times New Roman" w:hAnsi="Times New Roman" w:eastAsia="宋体" w:cs="Times New Roman"/>
                <w:color w:val="auto"/>
                <w:spacing w:val="-1"/>
                <w:sz w:val="24"/>
                <w:szCs w:val="24"/>
                <w:highlight w:val="none"/>
                <w:lang w:val="en-US" w:eastAsia="zh-CN"/>
              </w:rPr>
              <w:t>1</w:t>
            </w:r>
            <w:r>
              <w:rPr>
                <w:rFonts w:hint="default" w:ascii="Times New Roman" w:hAnsi="Times New Roman" w:eastAsia="宋体" w:cs="Times New Roman"/>
                <w:color w:val="auto"/>
                <w:spacing w:val="-1"/>
                <w:sz w:val="24"/>
                <w:szCs w:val="24"/>
                <w:highlight w:val="none"/>
              </w:rPr>
              <w:t>。</w:t>
            </w:r>
          </w:p>
          <w:p w14:paraId="6D0074F0">
            <w:pPr>
              <w:keepNext w:val="0"/>
              <w:keepLines w:val="0"/>
              <w:pageBreakBefore w:val="0"/>
              <w:widowControl/>
              <w:kinsoku w:val="0"/>
              <w:wordWrap/>
              <w:overflowPunct/>
              <w:topLinePunct w:val="0"/>
              <w:autoSpaceDE w:val="0"/>
              <w:autoSpaceDN w:val="0"/>
              <w:bidi w:val="0"/>
              <w:snapToGrid w:val="0"/>
              <w:spacing w:line="240" w:lineRule="auto"/>
              <w:ind w:left="0" w:right="0" w:firstLine="450" w:firstLineChars="20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表4-1</w:t>
            </w:r>
            <w:r>
              <w:rPr>
                <w:rFonts w:hint="default" w:ascii="Times New Roman" w:hAnsi="Times New Roman" w:cs="Times New Roman"/>
                <w:b/>
                <w:bCs/>
                <w:color w:val="auto"/>
                <w:spacing w:val="7"/>
                <w:sz w:val="21"/>
                <w:szCs w:val="21"/>
                <w:highlight w:val="none"/>
                <w:lang w:val="en-US" w:eastAsia="zh-CN"/>
              </w:rPr>
              <w:t>1</w:t>
            </w:r>
            <w:r>
              <w:rPr>
                <w:rFonts w:hint="eastAsia" w:ascii="Times New Roman" w:hAnsi="Times New Roman" w:cs="Times New Roman"/>
                <w:b/>
                <w:bCs/>
                <w:color w:val="auto"/>
                <w:spacing w:val="7"/>
                <w:sz w:val="21"/>
                <w:szCs w:val="21"/>
                <w:highlight w:val="none"/>
                <w:lang w:val="en-US" w:eastAsia="zh-CN"/>
              </w:rPr>
              <w:t xml:space="preserve">   </w:t>
            </w:r>
            <w:r>
              <w:rPr>
                <w:rFonts w:hint="default" w:ascii="Times New Roman" w:hAnsi="Times New Roman" w:eastAsia="宋体" w:cs="Times New Roman"/>
                <w:b/>
                <w:bCs/>
                <w:color w:val="auto"/>
                <w:spacing w:val="7"/>
                <w:sz w:val="21"/>
                <w:szCs w:val="21"/>
                <w:highlight w:val="none"/>
              </w:rPr>
              <w:t>危险物质存在量与临界量比值一览表</w:t>
            </w:r>
          </w:p>
          <w:tbl>
            <w:tblPr>
              <w:tblStyle w:val="54"/>
              <w:tblW w:w="495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21"/>
              <w:gridCol w:w="1290"/>
              <w:gridCol w:w="1360"/>
              <w:gridCol w:w="1138"/>
              <w:gridCol w:w="1479"/>
            </w:tblGrid>
            <w:tr w14:paraId="45AE57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21" w:type="dxa"/>
                  <w:tcBorders>
                    <w:bottom w:val="single" w:color="000000" w:sz="12" w:space="0"/>
                  </w:tcBorders>
                  <w:vAlign w:val="center"/>
                </w:tcPr>
                <w:p w14:paraId="6869C6E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物质名称</w:t>
                  </w:r>
                </w:p>
              </w:tc>
              <w:tc>
                <w:tcPr>
                  <w:tcW w:w="1290" w:type="dxa"/>
                  <w:tcBorders>
                    <w:bottom w:val="single" w:color="000000" w:sz="12" w:space="0"/>
                  </w:tcBorders>
                  <w:vAlign w:val="center"/>
                </w:tcPr>
                <w:p w14:paraId="2611B94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5"/>
                      <w:sz w:val="21"/>
                      <w:szCs w:val="21"/>
                      <w:highlight w:val="none"/>
                    </w:rPr>
                    <w:t>临界量（</w:t>
                  </w:r>
                  <w:r>
                    <w:rPr>
                      <w:rFonts w:hint="default" w:ascii="Times New Roman" w:hAnsi="Times New Roman" w:eastAsia="Times New Roman" w:cs="Times New Roman"/>
                      <w:b/>
                      <w:bCs/>
                      <w:color w:val="auto"/>
                      <w:sz w:val="21"/>
                      <w:szCs w:val="21"/>
                      <w:highlight w:val="none"/>
                    </w:rPr>
                    <w:t>Qi</w:t>
                  </w:r>
                  <w:r>
                    <w:rPr>
                      <w:rFonts w:hint="default" w:ascii="Times New Roman" w:hAnsi="Times New Roman" w:eastAsia="宋体" w:cs="Times New Roman"/>
                      <w:b/>
                      <w:bCs/>
                      <w:color w:val="auto"/>
                      <w:spacing w:val="5"/>
                      <w:sz w:val="21"/>
                      <w:szCs w:val="21"/>
                      <w:highlight w:val="none"/>
                    </w:rPr>
                    <w:t>）</w:t>
                  </w:r>
                </w:p>
              </w:tc>
              <w:tc>
                <w:tcPr>
                  <w:tcW w:w="1360" w:type="dxa"/>
                  <w:tcBorders>
                    <w:bottom w:val="single" w:color="000000" w:sz="12" w:space="0"/>
                  </w:tcBorders>
                  <w:vAlign w:val="center"/>
                </w:tcPr>
                <w:p w14:paraId="2E5E23A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最大储量（</w:t>
                  </w:r>
                  <w:r>
                    <w:rPr>
                      <w:rFonts w:hint="default" w:ascii="Times New Roman" w:hAnsi="Times New Roman" w:eastAsia="Times New Roman" w:cs="Times New Roman"/>
                      <w:b/>
                      <w:bCs/>
                      <w:color w:val="auto"/>
                      <w:sz w:val="21"/>
                      <w:szCs w:val="21"/>
                      <w:highlight w:val="none"/>
                    </w:rPr>
                    <w:t>qi</w:t>
                  </w:r>
                  <w:r>
                    <w:rPr>
                      <w:rFonts w:hint="default" w:ascii="Times New Roman" w:hAnsi="Times New Roman" w:eastAsia="宋体" w:cs="Times New Roman"/>
                      <w:b/>
                      <w:bCs/>
                      <w:color w:val="auto"/>
                      <w:spacing w:val="7"/>
                      <w:sz w:val="21"/>
                      <w:szCs w:val="21"/>
                      <w:highlight w:val="none"/>
                    </w:rPr>
                    <w:t>）</w:t>
                  </w:r>
                </w:p>
              </w:tc>
              <w:tc>
                <w:tcPr>
                  <w:tcW w:w="1138" w:type="dxa"/>
                  <w:tcBorders>
                    <w:bottom w:val="single" w:color="000000" w:sz="12" w:space="0"/>
                  </w:tcBorders>
                  <w:vAlign w:val="center"/>
                </w:tcPr>
                <w:p w14:paraId="77D6394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b/>
                      <w:bCs/>
                      <w:color w:val="auto"/>
                      <w:sz w:val="21"/>
                      <w:szCs w:val="21"/>
                      <w:highlight w:val="none"/>
                    </w:rPr>
                  </w:pPr>
                  <w:r>
                    <w:rPr>
                      <w:rFonts w:hint="default" w:ascii="Times New Roman" w:hAnsi="Times New Roman" w:eastAsia="Times New Roman" w:cs="Times New Roman"/>
                      <w:b/>
                      <w:bCs/>
                      <w:color w:val="auto"/>
                      <w:sz w:val="21"/>
                      <w:szCs w:val="21"/>
                      <w:highlight w:val="none"/>
                    </w:rPr>
                    <w:t>qi</w:t>
                  </w:r>
                  <w:r>
                    <w:rPr>
                      <w:rFonts w:hint="default" w:ascii="Times New Roman" w:hAnsi="Times New Roman" w:eastAsia="Times New Roman" w:cs="Times New Roman"/>
                      <w:b/>
                      <w:bCs/>
                      <w:color w:val="auto"/>
                      <w:spacing w:val="11"/>
                      <w:sz w:val="21"/>
                      <w:szCs w:val="21"/>
                      <w:highlight w:val="none"/>
                    </w:rPr>
                    <w:t>/</w:t>
                  </w:r>
                  <w:r>
                    <w:rPr>
                      <w:rFonts w:hint="default" w:ascii="Times New Roman" w:hAnsi="Times New Roman" w:eastAsia="Times New Roman" w:cs="Times New Roman"/>
                      <w:b/>
                      <w:bCs/>
                      <w:color w:val="auto"/>
                      <w:sz w:val="21"/>
                      <w:szCs w:val="21"/>
                      <w:highlight w:val="none"/>
                    </w:rPr>
                    <w:t>Qi</w:t>
                  </w:r>
                </w:p>
              </w:tc>
              <w:tc>
                <w:tcPr>
                  <w:tcW w:w="1479" w:type="dxa"/>
                  <w:tcBorders>
                    <w:bottom w:val="single" w:color="000000" w:sz="12" w:space="0"/>
                  </w:tcBorders>
                  <w:vAlign w:val="center"/>
                </w:tcPr>
                <w:p w14:paraId="59DFD81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是否构成重</w:t>
                  </w:r>
                  <w:r>
                    <w:rPr>
                      <w:rFonts w:hint="default" w:ascii="Times New Roman" w:hAnsi="Times New Roman" w:eastAsia="宋体" w:cs="Times New Roman"/>
                      <w:b/>
                      <w:bCs/>
                      <w:color w:val="auto"/>
                      <w:spacing w:val="6"/>
                      <w:sz w:val="21"/>
                      <w:szCs w:val="21"/>
                      <w:highlight w:val="none"/>
                    </w:rPr>
                    <w:t>大危险源</w:t>
                  </w:r>
                </w:p>
              </w:tc>
            </w:tr>
            <w:tr w14:paraId="10A93E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21" w:type="dxa"/>
                  <w:tcBorders>
                    <w:top w:val="single" w:color="000000" w:sz="12" w:space="0"/>
                    <w:tl2br w:val="nil"/>
                    <w:tr2bl w:val="nil"/>
                  </w:tcBorders>
                  <w:vAlign w:val="center"/>
                </w:tcPr>
                <w:p w14:paraId="2C26BD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油类物质（废</w:t>
                  </w:r>
                  <w:r>
                    <w:rPr>
                      <w:rFonts w:hint="default" w:ascii="Times New Roman" w:hAnsi="Times New Roman" w:eastAsia="宋体" w:cs="Times New Roman"/>
                      <w:color w:val="auto"/>
                      <w:spacing w:val="3"/>
                      <w:sz w:val="21"/>
                      <w:szCs w:val="21"/>
                      <w:highlight w:val="none"/>
                    </w:rPr>
                    <w:t>机油）</w:t>
                  </w:r>
                </w:p>
              </w:tc>
              <w:tc>
                <w:tcPr>
                  <w:tcW w:w="1290" w:type="dxa"/>
                  <w:tcBorders>
                    <w:top w:val="single" w:color="000000" w:sz="12" w:space="0"/>
                    <w:tl2br w:val="nil"/>
                    <w:tr2bl w:val="nil"/>
                  </w:tcBorders>
                  <w:vAlign w:val="center"/>
                </w:tcPr>
                <w:p w14:paraId="2DB3D03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3"/>
                      <w:sz w:val="21"/>
                      <w:szCs w:val="21"/>
                      <w:highlight w:val="none"/>
                    </w:rPr>
                    <w:t>2500t</w:t>
                  </w:r>
                </w:p>
              </w:tc>
              <w:tc>
                <w:tcPr>
                  <w:tcW w:w="1360" w:type="dxa"/>
                  <w:tcBorders>
                    <w:top w:val="single" w:color="000000" w:sz="12" w:space="0"/>
                    <w:tl2br w:val="nil"/>
                    <w:tr2bl w:val="nil"/>
                  </w:tcBorders>
                  <w:vAlign w:val="center"/>
                </w:tcPr>
                <w:p w14:paraId="1DEF58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4"/>
                      <w:sz w:val="21"/>
                      <w:szCs w:val="21"/>
                      <w:highlight w:val="none"/>
                    </w:rPr>
                    <w:t>0.5t</w:t>
                  </w:r>
                </w:p>
              </w:tc>
              <w:tc>
                <w:tcPr>
                  <w:tcW w:w="1138" w:type="dxa"/>
                  <w:tcBorders>
                    <w:top w:val="single" w:color="000000" w:sz="12" w:space="0"/>
                    <w:tl2br w:val="nil"/>
                    <w:tr2bl w:val="nil"/>
                  </w:tcBorders>
                  <w:vAlign w:val="center"/>
                </w:tcPr>
                <w:p w14:paraId="2D4F132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6"/>
                      <w:sz w:val="21"/>
                      <w:szCs w:val="21"/>
                      <w:highlight w:val="none"/>
                    </w:rPr>
                    <w:t>0.0002</w:t>
                  </w:r>
                </w:p>
              </w:tc>
              <w:tc>
                <w:tcPr>
                  <w:tcW w:w="1479" w:type="dxa"/>
                  <w:vMerge w:val="restart"/>
                  <w:tcBorders>
                    <w:top w:val="single" w:color="000000" w:sz="12" w:space="0"/>
                    <w:tl2br w:val="nil"/>
                    <w:tr2bl w:val="nil"/>
                  </w:tcBorders>
                  <w:vAlign w:val="center"/>
                </w:tcPr>
                <w:p w14:paraId="7A8A6F3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否</w:t>
                  </w:r>
                </w:p>
              </w:tc>
            </w:tr>
            <w:tr w14:paraId="5D4583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2121" w:type="dxa"/>
                  <w:tcBorders>
                    <w:tl2br w:val="nil"/>
                    <w:tr2bl w:val="nil"/>
                  </w:tcBorders>
                  <w:vAlign w:val="center"/>
                </w:tcPr>
                <w:p w14:paraId="18C860D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pacing w:val="7"/>
                      <w:sz w:val="21"/>
                      <w:szCs w:val="21"/>
                      <w:highlight w:val="none"/>
                    </w:rPr>
                    <w:t>∑</w:t>
                  </w:r>
                  <w:r>
                    <w:rPr>
                      <w:rFonts w:hint="default" w:ascii="Times New Roman" w:hAnsi="Times New Roman" w:eastAsia="宋体" w:cs="Times New Roman"/>
                      <w:color w:val="auto"/>
                      <w:spacing w:val="7"/>
                      <w:sz w:val="21"/>
                      <w:szCs w:val="21"/>
                      <w:highlight w:val="none"/>
                    </w:rPr>
                    <w:t>（</w:t>
                  </w:r>
                  <w:r>
                    <w:rPr>
                      <w:rFonts w:hint="default" w:ascii="Times New Roman" w:hAnsi="Times New Roman" w:eastAsia="Times New Roman" w:cs="Times New Roman"/>
                      <w:color w:val="auto"/>
                      <w:sz w:val="21"/>
                      <w:szCs w:val="21"/>
                      <w:highlight w:val="none"/>
                    </w:rPr>
                    <w:t>qi</w:t>
                  </w:r>
                  <w:r>
                    <w:rPr>
                      <w:rFonts w:hint="default" w:ascii="Times New Roman" w:hAnsi="Times New Roman" w:eastAsia="Times New Roman" w:cs="Times New Roman"/>
                      <w:color w:val="auto"/>
                      <w:spacing w:val="7"/>
                      <w:sz w:val="21"/>
                      <w:szCs w:val="21"/>
                      <w:highlight w:val="none"/>
                    </w:rPr>
                    <w:t>/</w:t>
                  </w:r>
                  <w:r>
                    <w:rPr>
                      <w:rFonts w:hint="default" w:ascii="Times New Roman" w:hAnsi="Times New Roman" w:eastAsia="Times New Roman" w:cs="Times New Roman"/>
                      <w:color w:val="auto"/>
                      <w:sz w:val="21"/>
                      <w:szCs w:val="21"/>
                      <w:highlight w:val="none"/>
                    </w:rPr>
                    <w:t>Qi</w:t>
                  </w:r>
                  <w:r>
                    <w:rPr>
                      <w:rFonts w:hint="default" w:ascii="Times New Roman" w:hAnsi="Times New Roman" w:eastAsia="宋体" w:cs="Times New Roman"/>
                      <w:color w:val="auto"/>
                      <w:spacing w:val="7"/>
                      <w:sz w:val="21"/>
                      <w:szCs w:val="21"/>
                      <w:highlight w:val="none"/>
                    </w:rPr>
                    <w:t>）</w:t>
                  </w:r>
                </w:p>
              </w:tc>
              <w:tc>
                <w:tcPr>
                  <w:tcW w:w="1290" w:type="dxa"/>
                  <w:tcBorders>
                    <w:tl2br w:val="nil"/>
                    <w:tr2bl w:val="nil"/>
                  </w:tcBorders>
                  <w:vAlign w:val="center"/>
                </w:tcPr>
                <w:p w14:paraId="55C2385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w:t>
                  </w:r>
                </w:p>
              </w:tc>
              <w:tc>
                <w:tcPr>
                  <w:tcW w:w="1360" w:type="dxa"/>
                  <w:tcBorders>
                    <w:tl2br w:val="nil"/>
                    <w:tr2bl w:val="nil"/>
                  </w:tcBorders>
                  <w:vAlign w:val="center"/>
                </w:tcPr>
                <w:p w14:paraId="1D1153B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2"/>
                      <w:sz w:val="21"/>
                      <w:szCs w:val="21"/>
                      <w:highlight w:val="none"/>
                    </w:rPr>
                    <w:t>/</w:t>
                  </w:r>
                </w:p>
              </w:tc>
              <w:tc>
                <w:tcPr>
                  <w:tcW w:w="1138" w:type="dxa"/>
                  <w:tcBorders>
                    <w:tl2br w:val="nil"/>
                    <w:tr2bl w:val="nil"/>
                  </w:tcBorders>
                  <w:vAlign w:val="center"/>
                </w:tcPr>
                <w:p w14:paraId="077CE4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6"/>
                      <w:sz w:val="21"/>
                      <w:szCs w:val="21"/>
                      <w:highlight w:val="none"/>
                    </w:rPr>
                    <w:t>0.0002</w:t>
                  </w:r>
                </w:p>
              </w:tc>
              <w:tc>
                <w:tcPr>
                  <w:tcW w:w="1479" w:type="dxa"/>
                  <w:vMerge w:val="continue"/>
                  <w:tcBorders>
                    <w:tl2br w:val="nil"/>
                    <w:tr2bl w:val="nil"/>
                  </w:tcBorders>
                  <w:vAlign w:val="center"/>
                </w:tcPr>
                <w:p w14:paraId="618E071E">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cs="Times New Roman"/>
                      <w:color w:val="auto"/>
                      <w:sz w:val="21"/>
                      <w:szCs w:val="21"/>
                      <w:highlight w:val="none"/>
                    </w:rPr>
                  </w:pPr>
                </w:p>
              </w:tc>
            </w:tr>
          </w:tbl>
          <w:p w14:paraId="717D8330">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本项目危险物质未构成重大危险源，其存在</w:t>
            </w:r>
            <w:r>
              <w:rPr>
                <w:rFonts w:hint="default" w:ascii="Times New Roman" w:hAnsi="Times New Roman" w:eastAsia="宋体" w:cs="Times New Roman"/>
                <w:color w:val="auto"/>
                <w:spacing w:val="-2"/>
                <w:sz w:val="24"/>
                <w:szCs w:val="24"/>
                <w:highlight w:val="none"/>
              </w:rPr>
              <w:t>量和临界量比值（</w:t>
            </w:r>
            <w:r>
              <w:rPr>
                <w:rFonts w:hint="default" w:ascii="Times New Roman" w:hAnsi="Times New Roman" w:eastAsia="Times New Roman" w:cs="Times New Roman"/>
                <w:color w:val="auto"/>
                <w:spacing w:val="-2"/>
                <w:sz w:val="24"/>
                <w:szCs w:val="24"/>
                <w:highlight w:val="none"/>
              </w:rPr>
              <w:t>Q</w:t>
            </w:r>
            <w:r>
              <w:rPr>
                <w:rFonts w:hint="default" w:ascii="Times New Roman" w:hAnsi="Times New Roman" w:eastAsia="宋体" w:cs="Times New Roman"/>
                <w:color w:val="auto"/>
                <w:spacing w:val="-15"/>
                <w:sz w:val="24"/>
                <w:szCs w:val="24"/>
                <w:highlight w:val="none"/>
              </w:rPr>
              <w:t>）＜</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eastAsia="宋体" w:cs="Times New Roman"/>
                <w:color w:val="auto"/>
                <w:spacing w:val="-2"/>
                <w:sz w:val="24"/>
                <w:szCs w:val="24"/>
                <w:highlight w:val="none"/>
              </w:rPr>
              <w:t>，则该项目环境风险潜势为</w:t>
            </w:r>
            <w:r>
              <w:rPr>
                <w:rFonts w:hint="default" w:ascii="Times New Roman" w:hAnsi="Times New Roman" w:eastAsia="Times New Roman" w:cs="Times New Roman"/>
                <w:color w:val="auto"/>
                <w:spacing w:val="-2"/>
                <w:sz w:val="24"/>
                <w:szCs w:val="24"/>
                <w:highlight w:val="none"/>
              </w:rPr>
              <w:t>I</w:t>
            </w:r>
            <w:r>
              <w:rPr>
                <w:rFonts w:hint="default" w:ascii="Times New Roman" w:hAnsi="Times New Roman" w:eastAsia="宋体" w:cs="Times New Roman"/>
                <w:color w:val="auto"/>
                <w:spacing w:val="-2"/>
                <w:sz w:val="24"/>
                <w:szCs w:val="24"/>
                <w:highlight w:val="none"/>
              </w:rPr>
              <w:t>。</w:t>
            </w:r>
          </w:p>
          <w:p w14:paraId="7FA15228">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2</w:t>
            </w:r>
            <w:r>
              <w:rPr>
                <w:rFonts w:hint="default" w:ascii="Times New Roman" w:hAnsi="Times New Roman" w:eastAsia="宋体" w:cs="Times New Roman"/>
                <w:color w:val="auto"/>
                <w:spacing w:val="-1"/>
                <w:sz w:val="24"/>
                <w:szCs w:val="24"/>
                <w:highlight w:val="none"/>
              </w:rPr>
              <w:t>）环境风险评价工作等级</w:t>
            </w:r>
          </w:p>
          <w:p w14:paraId="25EE7607">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《建设项目环境风险评价技术导则》（</w:t>
            </w:r>
            <w:r>
              <w:rPr>
                <w:rFonts w:hint="default" w:ascii="Times New Roman" w:hAnsi="Times New Roman" w:eastAsia="Times New Roman" w:cs="Times New Roman"/>
                <w:color w:val="auto"/>
                <w:spacing w:val="-1"/>
                <w:sz w:val="24"/>
                <w:szCs w:val="24"/>
                <w:highlight w:val="none"/>
              </w:rPr>
              <w:t>HJ16</w:t>
            </w:r>
            <w:r>
              <w:rPr>
                <w:rFonts w:hint="default" w:ascii="Times New Roman" w:hAnsi="Times New Roman" w:eastAsia="Times New Roman" w:cs="Times New Roman"/>
                <w:color w:val="auto"/>
                <w:spacing w:val="-2"/>
                <w:sz w:val="24"/>
                <w:szCs w:val="24"/>
                <w:highlight w:val="none"/>
              </w:rPr>
              <w:t>9-2018</w:t>
            </w:r>
            <w:r>
              <w:rPr>
                <w:rFonts w:hint="default" w:ascii="Times New Roman" w:hAnsi="Times New Roman" w:eastAsia="宋体" w:cs="Times New Roman"/>
                <w:color w:val="auto"/>
                <w:spacing w:val="-2"/>
                <w:sz w:val="24"/>
                <w:szCs w:val="24"/>
                <w:highlight w:val="none"/>
              </w:rPr>
              <w:t>）中环境风险评价工</w:t>
            </w:r>
            <w:r>
              <w:rPr>
                <w:rFonts w:hint="default" w:ascii="Times New Roman" w:hAnsi="Times New Roman" w:eastAsia="宋体" w:cs="Times New Roman"/>
                <w:color w:val="auto"/>
                <w:spacing w:val="-1"/>
                <w:sz w:val="24"/>
                <w:szCs w:val="24"/>
                <w:highlight w:val="none"/>
              </w:rPr>
              <w:t>作级别划分的判据见表</w:t>
            </w:r>
            <w:r>
              <w:rPr>
                <w:rFonts w:hint="default" w:ascii="Times New Roman" w:hAnsi="Times New Roman" w:eastAsia="Times New Roman" w:cs="Times New Roman"/>
                <w:color w:val="auto"/>
                <w:spacing w:val="-1"/>
                <w:sz w:val="24"/>
                <w:szCs w:val="24"/>
                <w:highlight w:val="none"/>
              </w:rPr>
              <w:t>4-1</w:t>
            </w:r>
            <w:r>
              <w:rPr>
                <w:rFonts w:hint="default" w:ascii="Times New Roman" w:hAnsi="Times New Roman" w:eastAsia="宋体" w:cs="Times New Roman"/>
                <w:color w:val="auto"/>
                <w:spacing w:val="-1"/>
                <w:sz w:val="24"/>
                <w:szCs w:val="24"/>
                <w:highlight w:val="none"/>
                <w:lang w:val="en-US" w:eastAsia="zh-CN"/>
              </w:rPr>
              <w:t>2</w:t>
            </w:r>
            <w:r>
              <w:rPr>
                <w:rFonts w:hint="default" w:ascii="Times New Roman" w:hAnsi="Times New Roman" w:eastAsia="宋体" w:cs="Times New Roman"/>
                <w:color w:val="auto"/>
                <w:spacing w:val="-1"/>
                <w:sz w:val="24"/>
                <w:szCs w:val="24"/>
                <w:highlight w:val="none"/>
              </w:rPr>
              <w:t>。</w:t>
            </w:r>
          </w:p>
          <w:p w14:paraId="7760E23E">
            <w:pPr>
              <w:keepNext w:val="0"/>
              <w:keepLines w:val="0"/>
              <w:pageBreakBefore w:val="0"/>
              <w:widowControl/>
              <w:kinsoku w:val="0"/>
              <w:wordWrap/>
              <w:overflowPunct/>
              <w:topLinePunct w:val="0"/>
              <w:autoSpaceDE w:val="0"/>
              <w:autoSpaceDN w:val="0"/>
              <w:bidi w:val="0"/>
              <w:snapToGrid w:val="0"/>
              <w:spacing w:line="240" w:lineRule="auto"/>
              <w:ind w:left="0" w:right="0" w:firstLine="442" w:firstLineChars="20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表</w:t>
            </w:r>
            <w:r>
              <w:rPr>
                <w:rFonts w:hint="default" w:ascii="Times New Roman" w:hAnsi="Times New Roman" w:eastAsia="Times New Roman" w:cs="Times New Roman"/>
                <w:b/>
                <w:bCs/>
                <w:color w:val="auto"/>
                <w:spacing w:val="5"/>
                <w:sz w:val="21"/>
                <w:szCs w:val="21"/>
                <w:highlight w:val="none"/>
              </w:rPr>
              <w:t>4-</w:t>
            </w:r>
            <w:r>
              <w:rPr>
                <w:rFonts w:hint="default" w:ascii="Times New Roman" w:hAnsi="Times New Roman" w:cs="Times New Roman"/>
                <w:color w:val="auto"/>
                <w:highlight w:val="none"/>
                <w:lang w:val="en-US" w:eastAsia="zh-CN"/>
              </w:rPr>
              <w:t>1</w:t>
            </w:r>
            <w:r>
              <w:rPr>
                <w:rFonts w:hint="default" w:ascii="Times New Roman" w:hAnsi="Times New Roman" w:eastAsia="宋体" w:cs="Times New Roman"/>
                <w:b/>
                <w:bCs/>
                <w:color w:val="auto"/>
                <w:spacing w:val="5"/>
                <w:sz w:val="21"/>
                <w:szCs w:val="21"/>
                <w:highlight w:val="none"/>
                <w:lang w:val="en-US" w:eastAsia="zh-CN"/>
              </w:rPr>
              <w:t>2</w:t>
            </w:r>
            <w:r>
              <w:rPr>
                <w:rFonts w:hint="eastAsia" w:ascii="Times New Roman" w:hAnsi="Times New Roman" w:cs="Times New Roman"/>
                <w:b/>
                <w:bCs/>
                <w:color w:val="auto"/>
                <w:spacing w:val="5"/>
                <w:sz w:val="21"/>
                <w:szCs w:val="21"/>
                <w:highlight w:val="none"/>
                <w:lang w:val="en-US" w:eastAsia="zh-CN"/>
              </w:rPr>
              <w:t xml:space="preserve">   </w:t>
            </w:r>
            <w:r>
              <w:rPr>
                <w:rFonts w:hint="default" w:ascii="Times New Roman" w:hAnsi="Times New Roman" w:eastAsia="宋体" w:cs="Times New Roman"/>
                <w:b/>
                <w:bCs/>
                <w:color w:val="auto"/>
                <w:spacing w:val="5"/>
                <w:sz w:val="21"/>
                <w:szCs w:val="21"/>
                <w:highlight w:val="none"/>
              </w:rPr>
              <w:t>评价工作等级</w:t>
            </w:r>
            <w:r>
              <w:rPr>
                <w:rFonts w:hint="default" w:ascii="Times New Roman" w:hAnsi="Times New Roman" w:eastAsia="宋体" w:cs="Times New Roman"/>
                <w:b/>
                <w:bCs/>
                <w:color w:val="auto"/>
                <w:spacing w:val="4"/>
                <w:sz w:val="21"/>
                <w:szCs w:val="21"/>
                <w:highlight w:val="none"/>
              </w:rPr>
              <w:t>划分表</w:t>
            </w:r>
          </w:p>
          <w:tbl>
            <w:tblPr>
              <w:tblStyle w:val="54"/>
              <w:tblW w:w="49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76"/>
              <w:gridCol w:w="1471"/>
              <w:gridCol w:w="1472"/>
              <w:gridCol w:w="1472"/>
              <w:gridCol w:w="1492"/>
            </w:tblGrid>
            <w:tr w14:paraId="4DBA8E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6" w:type="dxa"/>
                  <w:tcBorders>
                    <w:bottom w:val="single" w:color="000000" w:sz="12" w:space="0"/>
                  </w:tcBorders>
                  <w:vAlign w:val="center"/>
                </w:tcPr>
                <w:p w14:paraId="4AB3CB39">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环境风险潜势</w:t>
                  </w:r>
                </w:p>
              </w:tc>
              <w:tc>
                <w:tcPr>
                  <w:tcW w:w="1471" w:type="dxa"/>
                  <w:tcBorders>
                    <w:bottom w:val="single" w:color="000000" w:sz="12" w:space="0"/>
                  </w:tcBorders>
                  <w:vAlign w:val="center"/>
                </w:tcPr>
                <w:p w14:paraId="7DF28CD0">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b/>
                      <w:bCs/>
                      <w:color w:val="auto"/>
                      <w:spacing w:val="1"/>
                      <w:sz w:val="21"/>
                      <w:szCs w:val="21"/>
                      <w:highlight w:val="none"/>
                    </w:rPr>
                    <w:t>Ⅳ</w:t>
                  </w:r>
                  <w:r>
                    <w:rPr>
                      <w:rFonts w:hint="default" w:ascii="Times New Roman" w:hAnsi="Times New Roman" w:eastAsia="宋体" w:cs="Times New Roman"/>
                      <w:b/>
                      <w:bCs/>
                      <w:color w:val="auto"/>
                      <w:spacing w:val="1"/>
                      <w:sz w:val="21"/>
                      <w:szCs w:val="21"/>
                      <w:highlight w:val="none"/>
                    </w:rPr>
                    <w:t>、</w:t>
                  </w:r>
                  <w:r>
                    <w:rPr>
                      <w:rFonts w:hint="default" w:ascii="Times New Roman" w:hAnsi="Times New Roman" w:eastAsia="Times New Roman" w:cs="Times New Roman"/>
                      <w:b/>
                      <w:bCs/>
                      <w:color w:val="auto"/>
                      <w:spacing w:val="1"/>
                      <w:sz w:val="21"/>
                      <w:szCs w:val="21"/>
                      <w:highlight w:val="none"/>
                    </w:rPr>
                    <w:t>Ⅳ</w:t>
                  </w:r>
                  <w:r>
                    <w:rPr>
                      <w:rFonts w:hint="default" w:ascii="Times New Roman" w:hAnsi="Times New Roman" w:eastAsia="Times New Roman" w:cs="Times New Roman"/>
                      <w:b/>
                      <w:bCs/>
                      <w:color w:val="auto"/>
                      <w:spacing w:val="1"/>
                      <w:position w:val="6"/>
                      <w:sz w:val="21"/>
                      <w:szCs w:val="21"/>
                      <w:highlight w:val="none"/>
                    </w:rPr>
                    <w:t>+</w:t>
                  </w:r>
                </w:p>
              </w:tc>
              <w:tc>
                <w:tcPr>
                  <w:tcW w:w="1472" w:type="dxa"/>
                  <w:tcBorders>
                    <w:bottom w:val="single" w:color="000000" w:sz="12" w:space="0"/>
                  </w:tcBorders>
                  <w:vAlign w:val="center"/>
                </w:tcPr>
                <w:p w14:paraId="75CDCA51">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b/>
                      <w:bCs/>
                      <w:color w:val="auto"/>
                      <w:spacing w:val="5"/>
                      <w:sz w:val="21"/>
                      <w:szCs w:val="21"/>
                      <w:highlight w:val="none"/>
                    </w:rPr>
                    <w:t>Ⅲ</w:t>
                  </w:r>
                </w:p>
              </w:tc>
              <w:tc>
                <w:tcPr>
                  <w:tcW w:w="1472" w:type="dxa"/>
                  <w:tcBorders>
                    <w:bottom w:val="single" w:color="000000" w:sz="12" w:space="0"/>
                  </w:tcBorders>
                  <w:vAlign w:val="center"/>
                </w:tcPr>
                <w:p w14:paraId="270DB834">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b/>
                      <w:bCs/>
                      <w:color w:val="auto"/>
                      <w:spacing w:val="2"/>
                      <w:sz w:val="21"/>
                      <w:szCs w:val="21"/>
                      <w:highlight w:val="none"/>
                    </w:rPr>
                    <w:t>Ⅱ</w:t>
                  </w:r>
                </w:p>
              </w:tc>
              <w:tc>
                <w:tcPr>
                  <w:tcW w:w="1487" w:type="dxa"/>
                  <w:tcBorders>
                    <w:bottom w:val="single" w:color="000000" w:sz="12" w:space="0"/>
                  </w:tcBorders>
                  <w:vAlign w:val="center"/>
                </w:tcPr>
                <w:p w14:paraId="10F4F733">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b/>
                      <w:bCs/>
                      <w:color w:val="auto"/>
                      <w:sz w:val="21"/>
                      <w:szCs w:val="21"/>
                      <w:highlight w:val="none"/>
                    </w:rPr>
                    <w:t>Ⅰ</w:t>
                  </w:r>
                </w:p>
              </w:tc>
            </w:tr>
            <w:tr w14:paraId="666B5C1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476" w:type="dxa"/>
                  <w:tcBorders>
                    <w:top w:val="single" w:color="000000" w:sz="12" w:space="0"/>
                    <w:tl2br w:val="nil"/>
                    <w:tr2bl w:val="nil"/>
                  </w:tcBorders>
                  <w:vAlign w:val="center"/>
                </w:tcPr>
                <w:p w14:paraId="1AB99918">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评价工作等级</w:t>
                  </w:r>
                </w:p>
              </w:tc>
              <w:tc>
                <w:tcPr>
                  <w:tcW w:w="1471" w:type="dxa"/>
                  <w:tcBorders>
                    <w:top w:val="single" w:color="000000" w:sz="12" w:space="0"/>
                    <w:tl2br w:val="nil"/>
                    <w:tr2bl w:val="nil"/>
                  </w:tcBorders>
                  <w:vAlign w:val="center"/>
                </w:tcPr>
                <w:p w14:paraId="2447BCC7">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position w:val="-4"/>
                      <w:sz w:val="21"/>
                      <w:szCs w:val="21"/>
                      <w:highlight w:val="none"/>
                    </w:rPr>
                    <w:t>一</w:t>
                  </w:r>
                </w:p>
              </w:tc>
              <w:tc>
                <w:tcPr>
                  <w:tcW w:w="1472" w:type="dxa"/>
                  <w:tcBorders>
                    <w:top w:val="single" w:color="000000" w:sz="12" w:space="0"/>
                    <w:tl2br w:val="nil"/>
                    <w:tr2bl w:val="nil"/>
                  </w:tcBorders>
                  <w:vAlign w:val="center"/>
                </w:tcPr>
                <w:p w14:paraId="7FC8FD00">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w:t>
                  </w:r>
                </w:p>
              </w:tc>
              <w:tc>
                <w:tcPr>
                  <w:tcW w:w="1472" w:type="dxa"/>
                  <w:tcBorders>
                    <w:top w:val="single" w:color="000000" w:sz="12" w:space="0"/>
                    <w:tl2br w:val="nil"/>
                    <w:tr2bl w:val="nil"/>
                  </w:tcBorders>
                  <w:vAlign w:val="center"/>
                </w:tcPr>
                <w:p w14:paraId="194315C2">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三</w:t>
                  </w:r>
                </w:p>
              </w:tc>
              <w:tc>
                <w:tcPr>
                  <w:tcW w:w="1487" w:type="dxa"/>
                  <w:tcBorders>
                    <w:top w:val="single" w:color="000000" w:sz="12" w:space="0"/>
                    <w:tl2br w:val="nil"/>
                    <w:tr2bl w:val="nil"/>
                  </w:tcBorders>
                  <w:vAlign w:val="center"/>
                </w:tcPr>
                <w:p w14:paraId="2C748087">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简单分析</w:t>
                  </w:r>
                  <w:r>
                    <w:rPr>
                      <w:rFonts w:hint="default" w:ascii="Times New Roman" w:hAnsi="Times New Roman" w:eastAsia="Times New Roman" w:cs="Times New Roman"/>
                      <w:color w:val="auto"/>
                      <w:spacing w:val="5"/>
                      <w:position w:val="6"/>
                      <w:sz w:val="21"/>
                      <w:szCs w:val="21"/>
                      <w:highlight w:val="none"/>
                    </w:rPr>
                    <w:t>a</w:t>
                  </w:r>
                </w:p>
              </w:tc>
            </w:tr>
            <w:tr w14:paraId="7B01D5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7378" w:type="dxa"/>
                  <w:gridSpan w:val="5"/>
                  <w:tcBorders>
                    <w:tl2br w:val="nil"/>
                    <w:tr2bl w:val="nil"/>
                  </w:tcBorders>
                  <w:vAlign w:val="center"/>
                </w:tcPr>
                <w:p w14:paraId="54BBE0E5">
                  <w:pPr>
                    <w:keepNext w:val="0"/>
                    <w:keepLines w:val="0"/>
                    <w:pageBreakBefore w:val="0"/>
                    <w:widowControl/>
                    <w:kinsoku w:val="0"/>
                    <w:wordWrap/>
                    <w:overflowPunct/>
                    <w:topLinePunct w:val="0"/>
                    <w:autoSpaceDE w:val="0"/>
                    <w:autoSpaceDN w:val="0"/>
                    <w:bidi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pacing w:val="10"/>
                      <w:sz w:val="21"/>
                      <w:szCs w:val="21"/>
                      <w:highlight w:val="none"/>
                    </w:rPr>
                    <w:t>a</w:t>
                  </w:r>
                  <w:r>
                    <w:rPr>
                      <w:rFonts w:hint="default" w:ascii="Times New Roman" w:hAnsi="Times New Roman" w:eastAsia="宋体" w:cs="Times New Roman"/>
                      <w:color w:val="auto"/>
                      <w:spacing w:val="10"/>
                      <w:sz w:val="21"/>
                      <w:szCs w:val="21"/>
                      <w:highlight w:val="none"/>
                    </w:rPr>
                    <w:t>是相对于详细评价工作内容而言，在描述危险物质、环境影响途径、环境危害</w:t>
                  </w:r>
                  <w:r>
                    <w:rPr>
                      <w:rFonts w:hint="default" w:ascii="Times New Roman" w:hAnsi="Times New Roman" w:eastAsia="宋体" w:cs="Times New Roman"/>
                      <w:color w:val="auto"/>
                      <w:spacing w:val="8"/>
                      <w:sz w:val="21"/>
                      <w:szCs w:val="21"/>
                      <w:highlight w:val="none"/>
                    </w:rPr>
                    <w:t>后果、风险防范措施等方面给出定性的说明。</w:t>
                  </w:r>
                </w:p>
              </w:tc>
            </w:tr>
          </w:tbl>
          <w:p w14:paraId="0ADF826C">
            <w:pPr>
              <w:keepNext w:val="0"/>
              <w:keepLines w:val="0"/>
              <w:pageBreakBefore w:val="0"/>
              <w:widowControl/>
              <w:kinsoku w:val="0"/>
              <w:wordWrap/>
              <w:overflowPunct/>
              <w:topLinePunct w:val="0"/>
              <w:autoSpaceDE w:val="0"/>
              <w:autoSpaceDN w:val="0"/>
              <w:bidi w:val="0"/>
              <w:snapToGrid w:val="0"/>
              <w:spacing w:line="360" w:lineRule="auto"/>
              <w:ind w:left="0" w:right="0" w:firstLine="520"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0"/>
                <w:sz w:val="24"/>
                <w:szCs w:val="24"/>
                <w:highlight w:val="none"/>
              </w:rPr>
              <w:t>本项目环境风险潜势为</w:t>
            </w:r>
            <w:r>
              <w:rPr>
                <w:rFonts w:hint="default" w:ascii="Times New Roman" w:hAnsi="Times New Roman" w:eastAsia="Times New Roman" w:cs="Times New Roman"/>
                <w:color w:val="auto"/>
                <w:spacing w:val="10"/>
                <w:sz w:val="24"/>
                <w:szCs w:val="24"/>
                <w:highlight w:val="none"/>
              </w:rPr>
              <w:t>Ⅰ</w:t>
            </w:r>
            <w:r>
              <w:rPr>
                <w:rFonts w:hint="default" w:ascii="Times New Roman" w:hAnsi="Times New Roman" w:eastAsia="宋体" w:cs="Times New Roman"/>
                <w:color w:val="auto"/>
                <w:spacing w:val="10"/>
                <w:sz w:val="24"/>
                <w:szCs w:val="24"/>
                <w:highlight w:val="none"/>
              </w:rPr>
              <w:t>,根据《建设项目环境风险评价技术</w:t>
            </w:r>
            <w:r>
              <w:rPr>
                <w:rFonts w:hint="default" w:ascii="Times New Roman" w:hAnsi="Times New Roman" w:eastAsia="宋体" w:cs="Times New Roman"/>
                <w:color w:val="auto"/>
                <w:spacing w:val="9"/>
                <w:sz w:val="24"/>
                <w:szCs w:val="24"/>
                <w:highlight w:val="none"/>
              </w:rPr>
              <w:t>导则》</w:t>
            </w: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z w:val="24"/>
                <w:szCs w:val="24"/>
                <w:highlight w:val="none"/>
              </w:rPr>
              <w:t>HJ</w:t>
            </w:r>
            <w:r>
              <w:rPr>
                <w:rFonts w:hint="default" w:ascii="Times New Roman" w:hAnsi="Times New Roman" w:eastAsia="Times New Roman" w:cs="Times New Roman"/>
                <w:color w:val="auto"/>
                <w:spacing w:val="2"/>
                <w:sz w:val="24"/>
                <w:szCs w:val="24"/>
                <w:highlight w:val="none"/>
              </w:rPr>
              <w:t>/T169-2018</w:t>
            </w:r>
            <w:r>
              <w:rPr>
                <w:rFonts w:hint="default" w:ascii="Times New Roman" w:hAnsi="Times New Roman" w:eastAsia="宋体" w:cs="Times New Roman"/>
                <w:color w:val="auto"/>
                <w:spacing w:val="2"/>
                <w:sz w:val="24"/>
                <w:szCs w:val="24"/>
                <w:highlight w:val="none"/>
              </w:rPr>
              <w:t>）环境风险评价工作级别划分的判据，确定本工程环</w:t>
            </w:r>
            <w:r>
              <w:rPr>
                <w:rFonts w:hint="default" w:ascii="Times New Roman" w:hAnsi="Times New Roman" w:eastAsia="宋体" w:cs="Times New Roman"/>
                <w:color w:val="auto"/>
                <w:spacing w:val="1"/>
                <w:sz w:val="24"/>
                <w:szCs w:val="24"/>
                <w:highlight w:val="none"/>
              </w:rPr>
              <w:t>境风险</w:t>
            </w:r>
            <w:r>
              <w:rPr>
                <w:rFonts w:hint="default" w:ascii="Times New Roman" w:hAnsi="Times New Roman" w:eastAsia="宋体" w:cs="Times New Roman"/>
                <w:color w:val="auto"/>
                <w:spacing w:val="-1"/>
                <w:sz w:val="24"/>
                <w:szCs w:val="24"/>
                <w:highlight w:val="none"/>
              </w:rPr>
              <w:t>评价工作级别为简单分析。</w:t>
            </w:r>
          </w:p>
          <w:p w14:paraId="075EC275">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3</w:t>
            </w:r>
            <w:r>
              <w:rPr>
                <w:rFonts w:hint="default" w:ascii="Times New Roman" w:hAnsi="Times New Roman" w:eastAsia="宋体" w:cs="Times New Roman"/>
                <w:color w:val="auto"/>
                <w:spacing w:val="-1"/>
                <w:sz w:val="24"/>
                <w:szCs w:val="24"/>
                <w:highlight w:val="none"/>
              </w:rPr>
              <w:t>）环境风险物质识别</w:t>
            </w:r>
          </w:p>
          <w:p w14:paraId="6C36318C">
            <w:pPr>
              <w:keepNext w:val="0"/>
              <w:keepLines w:val="0"/>
              <w:pageBreakBefore w:val="0"/>
              <w:widowControl/>
              <w:kinsoku w:val="0"/>
              <w:wordWrap/>
              <w:overflowPunct/>
              <w:topLinePunct w:val="0"/>
              <w:autoSpaceDE w:val="0"/>
              <w:autoSpaceDN w:val="0"/>
              <w:bidi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根据《建设项目环境风险评价技术导则》（</w:t>
            </w:r>
            <w:r>
              <w:rPr>
                <w:rFonts w:hint="default" w:ascii="Times New Roman" w:hAnsi="Times New Roman" w:eastAsia="Times New Roman" w:cs="Times New Roman"/>
                <w:color w:val="auto"/>
                <w:sz w:val="24"/>
                <w:szCs w:val="24"/>
                <w:highlight w:val="none"/>
              </w:rPr>
              <w:t>HJ169</w:t>
            </w:r>
            <w:r>
              <w:rPr>
                <w:rFonts w:hint="default" w:ascii="Times New Roman" w:hAnsi="Times New Roman" w:eastAsia="Times New Roman" w:cs="Times New Roman"/>
                <w:color w:val="auto"/>
                <w:spacing w:val="-1"/>
                <w:sz w:val="24"/>
                <w:szCs w:val="24"/>
                <w:highlight w:val="none"/>
              </w:rPr>
              <w:t>-2018</w:t>
            </w:r>
            <w:r>
              <w:rPr>
                <w:rFonts w:hint="default" w:ascii="Times New Roman" w:hAnsi="Times New Roman" w:eastAsia="宋体" w:cs="Times New Roman"/>
                <w:color w:val="auto"/>
                <w:spacing w:val="-1"/>
                <w:sz w:val="24"/>
                <w:szCs w:val="24"/>
                <w:highlight w:val="none"/>
              </w:rPr>
              <w:t>）内容，本项目涉及的危险物质为废机油。</w:t>
            </w:r>
          </w:p>
          <w:p w14:paraId="4866F0FD">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b/>
                <w:bCs/>
                <w:color w:val="auto"/>
                <w:spacing w:val="-2"/>
                <w:sz w:val="24"/>
                <w:szCs w:val="24"/>
                <w:highlight w:val="none"/>
              </w:rPr>
            </w:pPr>
            <w:r>
              <w:rPr>
                <w:rFonts w:hint="default" w:ascii="Times New Roman" w:hAnsi="Times New Roman" w:eastAsia="Times New Roman" w:cs="Times New Roman"/>
                <w:b/>
                <w:bCs/>
                <w:color w:val="auto"/>
                <w:spacing w:val="-2"/>
                <w:sz w:val="24"/>
                <w:szCs w:val="24"/>
                <w:highlight w:val="none"/>
              </w:rPr>
              <w:t>6.4</w:t>
            </w:r>
            <w:r>
              <w:rPr>
                <w:rFonts w:hint="default" w:ascii="Times New Roman" w:hAnsi="Times New Roman" w:eastAsia="宋体" w:cs="Times New Roman"/>
                <w:b/>
                <w:bCs/>
                <w:color w:val="auto"/>
                <w:spacing w:val="-2"/>
                <w:sz w:val="24"/>
                <w:szCs w:val="24"/>
                <w:highlight w:val="none"/>
              </w:rPr>
              <w:t>环境风险影响分析</w:t>
            </w:r>
          </w:p>
          <w:p w14:paraId="2DD7710F">
            <w:pPr>
              <w:keepNext w:val="0"/>
              <w:keepLines w:val="0"/>
              <w:pageBreakBefore w:val="0"/>
              <w:widowControl/>
              <w:kinsoku w:val="0"/>
              <w:wordWrap/>
              <w:overflowPunct/>
              <w:topLinePunct w:val="0"/>
              <w:autoSpaceDE w:val="0"/>
              <w:autoSpaceDN w:val="0"/>
              <w:bidi w:val="0"/>
              <w:adjustRightInd/>
              <w:snapToGrid w:val="0"/>
              <w:spacing w:line="360" w:lineRule="auto"/>
              <w:ind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eastAsia="宋体" w:cs="Times New Roman"/>
                <w:color w:val="auto"/>
                <w:spacing w:val="-2"/>
                <w:sz w:val="24"/>
                <w:szCs w:val="24"/>
                <w:highlight w:val="none"/>
              </w:rPr>
              <w:t>）危险废物管理、处置不善风险分析</w:t>
            </w:r>
          </w:p>
          <w:p w14:paraId="634BBEDF">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项目区在运营期中产生的废机油、废活性炭、废催化剂属于</w:t>
            </w:r>
            <w:r>
              <w:rPr>
                <w:rFonts w:hint="default" w:ascii="Times New Roman" w:hAnsi="Times New Roman" w:eastAsia="宋体" w:cs="Times New Roman"/>
                <w:color w:val="auto"/>
                <w:sz w:val="24"/>
                <w:szCs w:val="24"/>
                <w:highlight w:val="none"/>
              </w:rPr>
              <w:t>危险废物，</w:t>
            </w:r>
            <w:r>
              <w:rPr>
                <w:rFonts w:hint="default" w:ascii="Times New Roman" w:hAnsi="Times New Roman" w:eastAsia="宋体" w:cs="Times New Roman"/>
                <w:color w:val="auto"/>
                <w:spacing w:val="1"/>
                <w:sz w:val="24"/>
                <w:szCs w:val="24"/>
                <w:highlight w:val="none"/>
              </w:rPr>
              <w:t>废活性炭、废催化剂</w:t>
            </w:r>
            <w:r>
              <w:rPr>
                <w:rFonts w:hint="default" w:ascii="Times New Roman" w:hAnsi="Times New Roman" w:eastAsia="宋体" w:cs="Times New Roman"/>
                <w:color w:val="auto"/>
                <w:spacing w:val="-5"/>
                <w:sz w:val="24"/>
                <w:szCs w:val="24"/>
                <w:highlight w:val="none"/>
              </w:rPr>
              <w:t>定期委托危废</w:t>
            </w:r>
            <w:r>
              <w:rPr>
                <w:rFonts w:hint="default" w:ascii="Times New Roman" w:hAnsi="Times New Roman" w:cs="Times New Roman"/>
                <w:color w:val="auto"/>
                <w:spacing w:val="-5"/>
                <w:sz w:val="24"/>
                <w:szCs w:val="24"/>
                <w:highlight w:val="none"/>
                <w:lang w:val="en-US" w:eastAsia="zh-CN"/>
              </w:rPr>
              <w:t>资质单位处置，</w:t>
            </w:r>
            <w:r>
              <w:rPr>
                <w:rFonts w:hint="default" w:ascii="Times New Roman" w:hAnsi="Times New Roman" w:eastAsia="宋体" w:cs="Times New Roman"/>
                <w:color w:val="auto"/>
                <w:spacing w:val="1"/>
                <w:sz w:val="24"/>
                <w:szCs w:val="24"/>
                <w:highlight w:val="none"/>
              </w:rPr>
              <w:t>废机</w:t>
            </w:r>
            <w:r>
              <w:rPr>
                <w:rFonts w:hint="default" w:ascii="Times New Roman" w:hAnsi="Times New Roman" w:eastAsia="宋体" w:cs="Times New Roman"/>
                <w:color w:val="auto"/>
                <w:sz w:val="24"/>
                <w:szCs w:val="24"/>
                <w:highlight w:val="none"/>
              </w:rPr>
              <w:t>油在</w:t>
            </w:r>
            <w:r>
              <w:rPr>
                <w:rFonts w:hint="default" w:ascii="Times New Roman" w:hAnsi="Times New Roman" w:cs="Times New Roman"/>
                <w:color w:val="auto"/>
                <w:spacing w:val="-3"/>
                <w:sz w:val="24"/>
                <w:szCs w:val="24"/>
                <w:highlight w:val="none"/>
                <w:lang w:eastAsia="zh-CN"/>
              </w:rPr>
              <w:t>危废暂存点</w:t>
            </w:r>
            <w:r>
              <w:rPr>
                <w:rFonts w:hint="default" w:ascii="Times New Roman" w:hAnsi="Times New Roman" w:eastAsia="宋体" w:cs="Times New Roman"/>
                <w:color w:val="auto"/>
                <w:spacing w:val="-3"/>
                <w:sz w:val="24"/>
                <w:szCs w:val="24"/>
                <w:highlight w:val="none"/>
              </w:rPr>
              <w:t>内暂存，定期交危废处置单位清运处置。若</w:t>
            </w:r>
            <w:r>
              <w:rPr>
                <w:rFonts w:hint="default" w:ascii="Times New Roman" w:hAnsi="Times New Roman" w:eastAsia="宋体" w:cs="Times New Roman"/>
                <w:color w:val="auto"/>
                <w:spacing w:val="-4"/>
                <w:sz w:val="24"/>
                <w:szCs w:val="24"/>
                <w:highlight w:val="none"/>
              </w:rPr>
              <w:t>管理、处置不</w:t>
            </w:r>
            <w:r>
              <w:rPr>
                <w:rFonts w:hint="default" w:ascii="Times New Roman" w:hAnsi="Times New Roman" w:eastAsia="宋体" w:cs="Times New Roman"/>
                <w:color w:val="auto"/>
                <w:spacing w:val="-1"/>
                <w:sz w:val="24"/>
                <w:szCs w:val="24"/>
                <w:highlight w:val="none"/>
              </w:rPr>
              <w:t>善，发生泄漏、丢失，将会对周围环境及人体</w:t>
            </w:r>
            <w:r>
              <w:rPr>
                <w:rFonts w:hint="default" w:ascii="Times New Roman" w:hAnsi="Times New Roman" w:cs="Times New Roman"/>
                <w:color w:val="auto"/>
                <w:spacing w:val="-1"/>
                <w:sz w:val="24"/>
                <w:szCs w:val="24"/>
                <w:highlight w:val="none"/>
                <w:lang w:eastAsia="zh-CN"/>
              </w:rPr>
              <w:t>健康</w:t>
            </w:r>
            <w:r>
              <w:rPr>
                <w:rFonts w:hint="default" w:ascii="Times New Roman" w:hAnsi="Times New Roman" w:eastAsia="宋体" w:cs="Times New Roman"/>
                <w:color w:val="auto"/>
                <w:spacing w:val="-1"/>
                <w:sz w:val="24"/>
                <w:szCs w:val="24"/>
                <w:highlight w:val="none"/>
              </w:rPr>
              <w:t>造成危害。</w:t>
            </w:r>
          </w:p>
          <w:p w14:paraId="5E3F130A">
            <w:pPr>
              <w:keepNext w:val="0"/>
              <w:keepLines w:val="0"/>
              <w:pageBreakBefore w:val="0"/>
              <w:kinsoku/>
              <w:overflowPunct/>
              <w:bidi w:val="0"/>
              <w:spacing w:line="360" w:lineRule="auto"/>
              <w:ind w:left="0" w:right="0" w:firstLine="472" w:firstLineChars="200"/>
              <w:rPr>
                <w:rFonts w:hint="default" w:ascii="Times New Roman" w:hAnsi="Times New Roman" w:cs="Times New Roman"/>
                <w:color w:val="auto"/>
                <w:spacing w:val="0"/>
                <w:w w:val="100"/>
                <w:position w:val="0"/>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2</w:t>
            </w:r>
            <w:r>
              <w:rPr>
                <w:rFonts w:hint="default" w:ascii="Times New Roman" w:hAnsi="Times New Roman" w:eastAsia="宋体" w:cs="Times New Roman"/>
                <w:color w:val="auto"/>
                <w:spacing w:val="-2"/>
                <w:sz w:val="24"/>
                <w:szCs w:val="24"/>
                <w:highlight w:val="none"/>
              </w:rPr>
              <w:t>）</w:t>
            </w:r>
            <w:r>
              <w:rPr>
                <w:rFonts w:hint="default" w:ascii="Times New Roman" w:hAnsi="Times New Roman" w:cs="Times New Roman"/>
                <w:color w:val="auto"/>
                <w:spacing w:val="0"/>
                <w:w w:val="100"/>
                <w:position w:val="0"/>
                <w:sz w:val="24"/>
                <w:szCs w:val="24"/>
                <w:highlight w:val="none"/>
              </w:rPr>
              <w:t>火灾事故对环境的影响。</w:t>
            </w:r>
          </w:p>
          <w:p w14:paraId="2BA83A5D">
            <w:pPr>
              <w:keepNext w:val="0"/>
              <w:keepLines w:val="0"/>
              <w:pageBreakBefore w:val="0"/>
              <w:kinsoku/>
              <w:overflowPunct/>
              <w:bidi w:val="0"/>
              <w:spacing w:line="360" w:lineRule="auto"/>
              <w:ind w:left="0" w:right="0" w:firstLine="480" w:firstLineChars="200"/>
              <w:rPr>
                <w:rFonts w:hint="default" w:ascii="Times New Roman" w:hAnsi="Times New Roman" w:eastAsia="宋体" w:cs="Times New Roman"/>
                <w:color w:val="auto"/>
                <w:spacing w:val="-2"/>
                <w:sz w:val="24"/>
                <w:szCs w:val="24"/>
                <w:highlight w:val="none"/>
              </w:rPr>
            </w:pPr>
            <w:r>
              <w:rPr>
                <w:rFonts w:hint="default" w:ascii="Times New Roman" w:hAnsi="Times New Roman" w:cs="Times New Roman"/>
                <w:color w:val="auto"/>
                <w:spacing w:val="0"/>
                <w:w w:val="100"/>
                <w:position w:val="0"/>
                <w:sz w:val="24"/>
                <w:szCs w:val="24"/>
                <w:highlight w:val="none"/>
              </w:rPr>
              <w:t>本项目废润滑油泄漏</w:t>
            </w:r>
            <w:r>
              <w:rPr>
                <w:rFonts w:hint="default" w:ascii="Times New Roman" w:hAnsi="Times New Roman" w:cs="Times New Roman"/>
                <w:color w:val="auto"/>
                <w:spacing w:val="0"/>
                <w:w w:val="100"/>
                <w:position w:val="0"/>
                <w:sz w:val="24"/>
                <w:szCs w:val="24"/>
                <w:highlight w:val="none"/>
                <w:lang w:val="en-US" w:eastAsia="zh-CN"/>
              </w:rPr>
              <w:t>引发</w:t>
            </w:r>
            <w:r>
              <w:rPr>
                <w:rFonts w:hint="default" w:ascii="Times New Roman" w:hAnsi="Times New Roman" w:cs="Times New Roman"/>
                <w:color w:val="auto"/>
                <w:spacing w:val="0"/>
                <w:w w:val="100"/>
                <w:position w:val="0"/>
                <w:sz w:val="24"/>
                <w:szCs w:val="24"/>
                <w:highlight w:val="none"/>
              </w:rPr>
              <w:t>火灾</w:t>
            </w:r>
            <w:r>
              <w:rPr>
                <w:rFonts w:hint="default" w:ascii="Times New Roman" w:hAnsi="Times New Roman" w:cs="Times New Roman"/>
                <w:color w:val="auto"/>
                <w:spacing w:val="0"/>
                <w:w w:val="100"/>
                <w:position w:val="0"/>
                <w:sz w:val="24"/>
                <w:szCs w:val="24"/>
                <w:highlight w:val="none"/>
                <w:lang w:eastAsia="zh-CN"/>
              </w:rPr>
              <w:t>；</w:t>
            </w:r>
            <w:r>
              <w:rPr>
                <w:rFonts w:hint="default" w:ascii="Times New Roman" w:hAnsi="Times New Roman" w:cs="Times New Roman"/>
                <w:color w:val="auto"/>
                <w:spacing w:val="0"/>
                <w:w w:val="100"/>
                <w:position w:val="0"/>
                <w:sz w:val="24"/>
                <w:szCs w:val="24"/>
                <w:highlight w:val="none"/>
                <w:lang w:val="en-US" w:eastAsia="zh-CN"/>
              </w:rPr>
              <w:t>火灾引发的聚乙烯颗粒、聚乙烯产品燃烧</w:t>
            </w:r>
            <w:r>
              <w:rPr>
                <w:rFonts w:hint="default" w:ascii="Times New Roman" w:hAnsi="Times New Roman" w:cs="Times New Roman"/>
                <w:color w:val="auto"/>
                <w:spacing w:val="0"/>
                <w:w w:val="100"/>
                <w:position w:val="0"/>
                <w:sz w:val="24"/>
                <w:szCs w:val="24"/>
                <w:highlight w:val="none"/>
              </w:rPr>
              <w:t>等风险，废润滑油储存期间若发生泄漏，则容易导致火灾等风险事故；主要为火灾，在未及时采取对策措施的情况下对周围环境有一定的影响；引发的火灾会迅速蔓延，燃烧产物主要为CO</w:t>
            </w:r>
            <w:r>
              <w:rPr>
                <w:rFonts w:hint="default" w:ascii="Times New Roman" w:hAnsi="Times New Roman" w:cs="Times New Roman"/>
                <w:color w:val="auto"/>
                <w:spacing w:val="0"/>
                <w:w w:val="100"/>
                <w:position w:val="0"/>
                <w:sz w:val="24"/>
                <w:szCs w:val="24"/>
                <w:highlight w:val="none"/>
                <w:vertAlign w:val="subscript"/>
              </w:rPr>
              <w:t>2</w:t>
            </w:r>
            <w:r>
              <w:rPr>
                <w:rFonts w:hint="default" w:ascii="Times New Roman" w:hAnsi="Times New Roman" w:cs="Times New Roman"/>
                <w:color w:val="auto"/>
                <w:spacing w:val="0"/>
                <w:w w:val="100"/>
                <w:position w:val="0"/>
                <w:sz w:val="24"/>
                <w:szCs w:val="24"/>
                <w:highlight w:val="none"/>
              </w:rPr>
              <w:t>和</w:t>
            </w:r>
            <w:r>
              <w:rPr>
                <w:rFonts w:hint="default" w:ascii="Times New Roman" w:hAnsi="Times New Roman" w:cs="Times New Roman"/>
                <w:color w:val="auto"/>
                <w:spacing w:val="0"/>
                <w:w w:val="100"/>
                <w:position w:val="0"/>
                <w:sz w:val="24"/>
                <w:szCs w:val="24"/>
                <w:highlight w:val="none"/>
                <w:lang w:eastAsia="zh-CN"/>
              </w:rPr>
              <w:t>水蒸气</w:t>
            </w:r>
            <w:r>
              <w:rPr>
                <w:rFonts w:hint="default" w:ascii="Times New Roman" w:hAnsi="Times New Roman" w:cs="Times New Roman"/>
                <w:color w:val="auto"/>
                <w:spacing w:val="0"/>
                <w:w w:val="100"/>
                <w:position w:val="0"/>
                <w:sz w:val="24"/>
                <w:szCs w:val="24"/>
                <w:highlight w:val="none"/>
              </w:rPr>
              <w:t>，同时伴随浓烟，挥发至空气中，会造成大气污染，会对人的健康造成危害。正常状况下，项目</w:t>
            </w:r>
            <w:r>
              <w:rPr>
                <w:rFonts w:hint="eastAsia" w:ascii="Times New Roman" w:hAnsi="Times New Roman" w:cs="Times New Roman"/>
                <w:color w:val="auto"/>
                <w:spacing w:val="0"/>
                <w:w w:val="100"/>
                <w:position w:val="0"/>
                <w:sz w:val="24"/>
                <w:szCs w:val="24"/>
                <w:highlight w:val="none"/>
                <w:lang w:eastAsia="zh-CN"/>
              </w:rPr>
              <w:t>危废贮存点</w:t>
            </w:r>
            <w:r>
              <w:rPr>
                <w:rFonts w:hint="default" w:ascii="Times New Roman" w:hAnsi="Times New Roman" w:cs="Times New Roman"/>
                <w:color w:val="auto"/>
                <w:spacing w:val="0"/>
                <w:w w:val="100"/>
                <w:position w:val="0"/>
                <w:sz w:val="24"/>
                <w:szCs w:val="24"/>
                <w:highlight w:val="none"/>
              </w:rPr>
              <w:t>根据</w:t>
            </w:r>
            <w:r>
              <w:rPr>
                <w:rFonts w:hint="default" w:ascii="Times New Roman" w:hAnsi="Times New Roman" w:cs="Times New Roman"/>
                <w:color w:val="auto"/>
                <w:spacing w:val="0"/>
                <w:w w:val="100"/>
                <w:position w:val="0"/>
                <w:sz w:val="24"/>
                <w:szCs w:val="24"/>
                <w:highlight w:val="none"/>
                <w:lang w:val="zh-CN"/>
              </w:rPr>
              <w:t>危险废物贮存的</w:t>
            </w:r>
            <w:r>
              <w:rPr>
                <w:rFonts w:hint="default" w:ascii="Times New Roman" w:hAnsi="Times New Roman" w:cs="Times New Roman"/>
                <w:color w:val="auto"/>
                <w:spacing w:val="0"/>
                <w:w w:val="100"/>
                <w:position w:val="0"/>
                <w:sz w:val="24"/>
                <w:szCs w:val="24"/>
                <w:highlight w:val="none"/>
              </w:rPr>
              <w:t>相关规范及要求，已进行重点防渗处理，运行期间进行定期巡检，在正常贮存的状态下，不会对厂区内土壤环境产生影响。在非正常工况下，</w:t>
            </w:r>
            <w:r>
              <w:rPr>
                <w:rFonts w:hint="default" w:ascii="Times New Roman" w:hAnsi="Times New Roman" w:cs="Times New Roman"/>
                <w:color w:val="auto"/>
                <w:spacing w:val="0"/>
                <w:w w:val="100"/>
                <w:position w:val="0"/>
                <w:sz w:val="24"/>
                <w:szCs w:val="24"/>
                <w:highlight w:val="none"/>
                <w:lang w:val="zh-CN"/>
              </w:rPr>
              <w:t xml:space="preserve">当 </w:t>
            </w:r>
            <w:r>
              <w:rPr>
                <w:rFonts w:hint="eastAsia" w:ascii="Times New Roman" w:hAnsi="Times New Roman" w:cs="Times New Roman"/>
                <w:color w:val="auto"/>
                <w:spacing w:val="0"/>
                <w:w w:val="100"/>
                <w:position w:val="0"/>
                <w:sz w:val="24"/>
                <w:szCs w:val="24"/>
                <w:highlight w:val="none"/>
                <w:lang w:val="zh-CN"/>
              </w:rPr>
              <w:t>危废贮存点</w:t>
            </w:r>
            <w:r>
              <w:rPr>
                <w:rFonts w:hint="default" w:ascii="Times New Roman" w:hAnsi="Times New Roman" w:cs="Times New Roman"/>
                <w:color w:val="auto"/>
                <w:spacing w:val="0"/>
                <w:w w:val="100"/>
                <w:position w:val="0"/>
                <w:sz w:val="24"/>
                <w:szCs w:val="24"/>
                <w:highlight w:val="none"/>
                <w:lang w:val="zh-CN"/>
              </w:rPr>
              <w:t>防渗效果不好，或地面防渗层因系统老化、腐蚀等原因不能正常运行或保护效果达不到设计要求时，或出现跑冒滴漏等非正常状况下，将导致废润滑油泄漏入外环境，</w:t>
            </w:r>
            <w:r>
              <w:rPr>
                <w:rFonts w:hint="default" w:ascii="Times New Roman" w:hAnsi="Times New Roman" w:cs="Times New Roman"/>
                <w:color w:val="auto"/>
                <w:spacing w:val="0"/>
                <w:w w:val="100"/>
                <w:position w:val="0"/>
                <w:sz w:val="24"/>
                <w:szCs w:val="24"/>
                <w:highlight w:val="none"/>
              </w:rPr>
              <w:t>导致含有污染物的少量污水通过泄漏点进入包气带，从而污染土壤。</w:t>
            </w:r>
          </w:p>
          <w:p w14:paraId="7484736A">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pacing w:val="-2"/>
                <w:sz w:val="24"/>
                <w:szCs w:val="24"/>
                <w:highlight w:val="none"/>
                <w:lang w:eastAsia="zh-CN"/>
              </w:rPr>
              <w:t>（</w:t>
            </w:r>
            <w:r>
              <w:rPr>
                <w:rFonts w:hint="default" w:ascii="Times New Roman" w:hAnsi="Times New Roman" w:cs="Times New Roman"/>
                <w:color w:val="auto"/>
                <w:spacing w:val="-2"/>
                <w:sz w:val="24"/>
                <w:szCs w:val="24"/>
                <w:highlight w:val="none"/>
                <w:lang w:val="en-US" w:eastAsia="zh-CN"/>
              </w:rPr>
              <w:t>3</w:t>
            </w:r>
            <w:r>
              <w:rPr>
                <w:rFonts w:hint="default" w:ascii="Times New Roman" w:hAnsi="Times New Roman" w:cs="Times New Roman"/>
                <w:color w:val="auto"/>
                <w:spacing w:val="-2"/>
                <w:sz w:val="24"/>
                <w:szCs w:val="24"/>
                <w:highlight w:val="none"/>
                <w:lang w:eastAsia="zh-CN"/>
              </w:rPr>
              <w:t>）</w:t>
            </w:r>
            <w:r>
              <w:rPr>
                <w:rFonts w:hint="default" w:ascii="Times New Roman" w:hAnsi="Times New Roman" w:eastAsia="宋体" w:cs="Times New Roman"/>
                <w:color w:val="auto"/>
                <w:spacing w:val="-2"/>
                <w:sz w:val="24"/>
                <w:szCs w:val="24"/>
                <w:highlight w:val="none"/>
              </w:rPr>
              <w:t>废气非正常排放环境风险分析</w:t>
            </w:r>
          </w:p>
          <w:p w14:paraId="2AFE9094">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本项目生产过程中产生的非甲烷总烃经过环保设备处理后达标排放</w:t>
            </w:r>
            <w:r>
              <w:rPr>
                <w:rFonts w:hint="default" w:ascii="Times New Roman" w:hAnsi="Times New Roman" w:eastAsia="宋体" w:cs="Times New Roman"/>
                <w:color w:val="auto"/>
                <w:sz w:val="24"/>
                <w:szCs w:val="24"/>
                <w:highlight w:val="none"/>
              </w:rPr>
              <w:t>，若</w:t>
            </w:r>
            <w:r>
              <w:rPr>
                <w:rFonts w:hint="default" w:ascii="Times New Roman" w:hAnsi="Times New Roman" w:eastAsia="宋体" w:cs="Times New Roman"/>
                <w:color w:val="auto"/>
                <w:spacing w:val="1"/>
                <w:sz w:val="24"/>
                <w:szCs w:val="24"/>
                <w:highlight w:val="none"/>
              </w:rPr>
              <w:t>除尘设备产生故障，导致产生的非甲烷总烃未经处理直接排放，将对</w:t>
            </w:r>
            <w:r>
              <w:rPr>
                <w:rFonts w:hint="default" w:ascii="Times New Roman" w:hAnsi="Times New Roman" w:eastAsia="宋体" w:cs="Times New Roman"/>
                <w:color w:val="auto"/>
                <w:sz w:val="24"/>
                <w:szCs w:val="24"/>
                <w:highlight w:val="none"/>
              </w:rPr>
              <w:t>周边的</w:t>
            </w:r>
            <w:r>
              <w:rPr>
                <w:rFonts w:hint="default" w:ascii="Times New Roman" w:hAnsi="Times New Roman" w:eastAsia="宋体" w:cs="Times New Roman"/>
                <w:color w:val="auto"/>
                <w:spacing w:val="-2"/>
                <w:sz w:val="24"/>
                <w:szCs w:val="24"/>
                <w:highlight w:val="none"/>
              </w:rPr>
              <w:t>环境空气造成影响。</w:t>
            </w:r>
          </w:p>
          <w:p w14:paraId="2E7BB7F6">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lang w:val="en-US" w:eastAsia="zh-CN"/>
              </w:rPr>
              <w:t>4</w:t>
            </w:r>
            <w:r>
              <w:rPr>
                <w:rFonts w:hint="default" w:ascii="Times New Roman" w:hAnsi="Times New Roman" w:eastAsia="宋体" w:cs="Times New Roman"/>
                <w:color w:val="auto"/>
                <w:spacing w:val="-2"/>
                <w:sz w:val="24"/>
                <w:szCs w:val="24"/>
                <w:highlight w:val="none"/>
              </w:rPr>
              <w:t>）废水非正常排放环境风险分析</w:t>
            </w:r>
          </w:p>
          <w:p w14:paraId="265E1CC0">
            <w:pPr>
              <w:keepNext w:val="0"/>
              <w:keepLines w:val="0"/>
              <w:pageBreakBefore w:val="0"/>
              <w:widowControl/>
              <w:kinsoku w:val="0"/>
              <w:wordWrap/>
              <w:overflowPunct/>
              <w:topLinePunct w:val="0"/>
              <w:autoSpaceDE w:val="0"/>
              <w:autoSpaceDN w:val="0"/>
              <w:bidi w:val="0"/>
              <w:adjustRightInd/>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本项目生产循环使用不外排，生活污水直排园区污水管网，最终进</w:t>
            </w:r>
            <w:r>
              <w:rPr>
                <w:rFonts w:hint="default" w:ascii="Times New Roman" w:hAnsi="Times New Roman" w:eastAsia="宋体" w:cs="Times New Roman"/>
                <w:color w:val="auto"/>
                <w:sz w:val="24"/>
                <w:szCs w:val="24"/>
                <w:highlight w:val="none"/>
              </w:rPr>
              <w:t>入</w:t>
            </w:r>
            <w:r>
              <w:rPr>
                <w:rFonts w:hint="default" w:ascii="Times New Roman" w:hAnsi="Times New Roman" w:cs="Times New Roman"/>
                <w:color w:val="auto"/>
                <w:sz w:val="24"/>
                <w:szCs w:val="24"/>
                <w:highlight w:val="none"/>
                <w:lang w:eastAsia="zh-CN"/>
              </w:rPr>
              <w:t>昌吉市第二</w:t>
            </w:r>
            <w:r>
              <w:rPr>
                <w:rFonts w:hint="default" w:ascii="Times New Roman" w:hAnsi="Times New Roman" w:eastAsia="宋体" w:cs="Times New Roman"/>
                <w:color w:val="auto"/>
                <w:spacing w:val="1"/>
                <w:sz w:val="24"/>
                <w:szCs w:val="24"/>
                <w:highlight w:val="none"/>
              </w:rPr>
              <w:t>污水处理厂深度处理。若园区排水管网进水</w:t>
            </w:r>
            <w:r>
              <w:rPr>
                <w:rFonts w:hint="default" w:ascii="Times New Roman" w:hAnsi="Times New Roman" w:eastAsia="宋体" w:cs="Times New Roman"/>
                <w:color w:val="auto"/>
                <w:sz w:val="24"/>
                <w:szCs w:val="24"/>
                <w:highlight w:val="none"/>
              </w:rPr>
              <w:t>管损坏，会导致</w:t>
            </w:r>
            <w:r>
              <w:rPr>
                <w:rFonts w:hint="default" w:ascii="Times New Roman" w:hAnsi="Times New Roman" w:eastAsia="宋体" w:cs="Times New Roman"/>
                <w:color w:val="auto"/>
                <w:spacing w:val="-1"/>
                <w:sz w:val="24"/>
                <w:szCs w:val="24"/>
                <w:highlight w:val="none"/>
              </w:rPr>
              <w:t>污水流失，造成环境污染。</w:t>
            </w:r>
          </w:p>
          <w:p w14:paraId="3311D5BD">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lang w:val="en-US" w:eastAsia="zh-CN"/>
              </w:rPr>
              <w:t>5</w:t>
            </w:r>
            <w:r>
              <w:rPr>
                <w:rFonts w:hint="default" w:ascii="Times New Roman" w:hAnsi="Times New Roman" w:eastAsia="宋体" w:cs="Times New Roman"/>
                <w:color w:val="auto"/>
                <w:spacing w:val="-2"/>
                <w:sz w:val="24"/>
                <w:szCs w:val="24"/>
                <w:highlight w:val="none"/>
              </w:rPr>
              <w:t>）火灾环境风险影响分析</w:t>
            </w:r>
          </w:p>
          <w:p w14:paraId="51733A9B">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本项目为保证原料及时有效供应设置原料存放区、成品存放区，原</w:t>
            </w:r>
            <w:r>
              <w:rPr>
                <w:rFonts w:hint="default" w:ascii="Times New Roman" w:hAnsi="Times New Roman" w:eastAsia="宋体" w:cs="Times New Roman"/>
                <w:color w:val="auto"/>
                <w:sz w:val="24"/>
                <w:szCs w:val="24"/>
                <w:highlight w:val="none"/>
              </w:rPr>
              <w:t>料及</w:t>
            </w:r>
            <w:r>
              <w:rPr>
                <w:rFonts w:hint="default" w:ascii="Times New Roman" w:hAnsi="Times New Roman" w:eastAsia="宋体" w:cs="Times New Roman"/>
                <w:color w:val="auto"/>
                <w:spacing w:val="1"/>
                <w:sz w:val="24"/>
                <w:szCs w:val="24"/>
                <w:highlight w:val="none"/>
              </w:rPr>
              <w:t>成品储存过程中存在的环境风险为火灾问题。诱发火灾的因素主</w:t>
            </w:r>
            <w:r>
              <w:rPr>
                <w:rFonts w:hint="default" w:ascii="Times New Roman" w:hAnsi="Times New Roman" w:eastAsia="宋体" w:cs="Times New Roman"/>
                <w:color w:val="auto"/>
                <w:sz w:val="24"/>
                <w:szCs w:val="24"/>
                <w:highlight w:val="none"/>
              </w:rPr>
              <w:t>要有：违章</w:t>
            </w:r>
            <w:r>
              <w:rPr>
                <w:rFonts w:hint="default" w:ascii="Times New Roman" w:hAnsi="Times New Roman" w:eastAsia="宋体" w:cs="Times New Roman"/>
                <w:color w:val="auto"/>
                <w:spacing w:val="1"/>
                <w:sz w:val="24"/>
                <w:szCs w:val="24"/>
                <w:highlight w:val="none"/>
              </w:rPr>
              <w:t>吸烟、动火；使用气焊、电焊等进行维修时，未采取有效防护措</w:t>
            </w:r>
            <w:r>
              <w:rPr>
                <w:rFonts w:hint="default" w:ascii="Times New Roman" w:hAnsi="Times New Roman" w:eastAsia="宋体" w:cs="Times New Roman"/>
                <w:color w:val="auto"/>
                <w:sz w:val="24"/>
                <w:szCs w:val="24"/>
                <w:highlight w:val="none"/>
              </w:rPr>
              <w:t>施；电气线</w:t>
            </w:r>
            <w:r>
              <w:rPr>
                <w:rFonts w:hint="default" w:ascii="Times New Roman" w:hAnsi="Times New Roman" w:eastAsia="宋体" w:cs="Times New Roman"/>
                <w:color w:val="auto"/>
                <w:spacing w:val="1"/>
                <w:sz w:val="24"/>
                <w:szCs w:val="24"/>
                <w:highlight w:val="none"/>
              </w:rPr>
              <w:t>路和电气设施在开关断开、接触不良、短路、漏电时产生火花，</w:t>
            </w:r>
            <w:r>
              <w:rPr>
                <w:rFonts w:hint="default" w:ascii="Times New Roman" w:hAnsi="Times New Roman" w:eastAsia="宋体" w:cs="Times New Roman"/>
                <w:color w:val="auto"/>
                <w:sz w:val="24"/>
                <w:szCs w:val="24"/>
                <w:highlight w:val="none"/>
              </w:rPr>
              <w:t>以及静电放</w:t>
            </w:r>
            <w:r>
              <w:rPr>
                <w:rFonts w:hint="default" w:ascii="Times New Roman" w:hAnsi="Times New Roman" w:eastAsia="宋体" w:cs="Times New Roman"/>
                <w:color w:val="auto"/>
                <w:spacing w:val="-1"/>
                <w:sz w:val="24"/>
                <w:szCs w:val="24"/>
                <w:highlight w:val="none"/>
              </w:rPr>
              <w:t>电火花；未采取有效避雷措施，或者避雷措施失效而导致雷击失火等。</w:t>
            </w:r>
          </w:p>
          <w:p w14:paraId="000A18EB">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6.5</w:t>
            </w:r>
            <w:r>
              <w:rPr>
                <w:rFonts w:hint="default" w:ascii="Times New Roman" w:hAnsi="Times New Roman" w:eastAsia="宋体" w:cs="Times New Roman"/>
                <w:b/>
                <w:bCs/>
                <w:color w:val="auto"/>
                <w:spacing w:val="-2"/>
                <w:sz w:val="24"/>
                <w:szCs w:val="24"/>
                <w:highlight w:val="none"/>
              </w:rPr>
              <w:t>环境风险防控措施及应急要求</w:t>
            </w:r>
          </w:p>
          <w:p w14:paraId="0F597D76">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1</w:t>
            </w:r>
            <w:r>
              <w:rPr>
                <w:rFonts w:hint="default" w:ascii="Times New Roman" w:hAnsi="Times New Roman" w:eastAsia="宋体" w:cs="Times New Roman"/>
                <w:color w:val="auto"/>
                <w:spacing w:val="-2"/>
                <w:sz w:val="24"/>
                <w:szCs w:val="24"/>
                <w:highlight w:val="none"/>
              </w:rPr>
              <w:t>）危险废物管理、处置不善环境风险措施</w:t>
            </w:r>
          </w:p>
          <w:p w14:paraId="4C3C05FD">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①工程措施</w:t>
            </w:r>
          </w:p>
          <w:p w14:paraId="1886D748">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cs="Times New Roman"/>
                <w:color w:val="auto"/>
                <w:spacing w:val="-1"/>
                <w:sz w:val="24"/>
                <w:szCs w:val="24"/>
                <w:highlight w:val="none"/>
                <w:lang w:eastAsia="zh-CN"/>
              </w:rPr>
              <w:t>危废暂存点</w:t>
            </w:r>
            <w:r>
              <w:rPr>
                <w:rFonts w:hint="default" w:ascii="Times New Roman" w:hAnsi="Times New Roman" w:eastAsia="宋体" w:cs="Times New Roman"/>
                <w:color w:val="auto"/>
                <w:spacing w:val="-1"/>
                <w:sz w:val="24"/>
                <w:szCs w:val="24"/>
                <w:highlight w:val="none"/>
              </w:rPr>
              <w:t>严格按照《危险废物贮存污染控制标准》（</w:t>
            </w:r>
            <w:r>
              <w:rPr>
                <w:rFonts w:hint="default" w:ascii="Times New Roman" w:hAnsi="Times New Roman" w:eastAsia="Times New Roman" w:cs="Times New Roman"/>
                <w:color w:val="auto"/>
                <w:spacing w:val="-1"/>
                <w:sz w:val="24"/>
                <w:szCs w:val="24"/>
                <w:highlight w:val="none"/>
              </w:rPr>
              <w:t>GB18597-2023</w:t>
            </w:r>
            <w:r>
              <w:rPr>
                <w:rFonts w:hint="default" w:ascii="Times New Roman" w:hAnsi="Times New Roman" w:eastAsia="宋体" w:cs="Times New Roman"/>
                <w:color w:val="auto"/>
                <w:spacing w:val="-1"/>
                <w:sz w:val="24"/>
                <w:szCs w:val="24"/>
                <w:highlight w:val="none"/>
              </w:rPr>
              <w:t>）相关要求设置，要求做到以下几点：</w:t>
            </w:r>
          </w:p>
          <w:p w14:paraId="3E92586F">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2"/>
                <w:sz w:val="24"/>
                <w:szCs w:val="24"/>
                <w:highlight w:val="none"/>
              </w:rPr>
              <w:t>O.</w:t>
            </w:r>
            <w:r>
              <w:rPr>
                <w:rFonts w:hint="default" w:ascii="Times New Roman" w:hAnsi="Times New Roman" w:cs="Times New Roman"/>
                <w:color w:val="auto"/>
                <w:spacing w:val="-2"/>
                <w:sz w:val="24"/>
                <w:szCs w:val="24"/>
                <w:highlight w:val="none"/>
                <w:lang w:eastAsia="zh-CN"/>
              </w:rPr>
              <w:t>危废暂存点</w:t>
            </w:r>
            <w:r>
              <w:rPr>
                <w:rFonts w:hint="default" w:ascii="Times New Roman" w:hAnsi="Times New Roman" w:eastAsia="宋体" w:cs="Times New Roman"/>
                <w:color w:val="auto"/>
                <w:spacing w:val="-2"/>
                <w:sz w:val="24"/>
                <w:szCs w:val="24"/>
                <w:highlight w:val="none"/>
              </w:rPr>
              <w:t>不同贮存分区之间应采取</w:t>
            </w:r>
            <w:r>
              <w:rPr>
                <w:rFonts w:hint="default" w:ascii="Times New Roman" w:hAnsi="Times New Roman" w:eastAsia="宋体" w:cs="Times New Roman"/>
                <w:color w:val="auto"/>
                <w:spacing w:val="-3"/>
                <w:sz w:val="24"/>
                <w:szCs w:val="24"/>
                <w:highlight w:val="none"/>
              </w:rPr>
              <w:t>隔离措施。隔离措施可根据危险</w:t>
            </w:r>
            <w:r>
              <w:rPr>
                <w:rFonts w:hint="default" w:ascii="Times New Roman" w:hAnsi="Times New Roman" w:eastAsia="宋体" w:cs="Times New Roman"/>
                <w:color w:val="auto"/>
                <w:spacing w:val="-1"/>
                <w:sz w:val="24"/>
                <w:szCs w:val="24"/>
                <w:highlight w:val="none"/>
              </w:rPr>
              <w:t>废物特性采用过道、隔板或隔墙等方式；</w:t>
            </w:r>
          </w:p>
          <w:p w14:paraId="4167E3CF">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P.</w:t>
            </w:r>
            <w:r>
              <w:rPr>
                <w:rFonts w:hint="default" w:ascii="Times New Roman" w:hAnsi="Times New Roman" w:cs="Times New Roman"/>
                <w:color w:val="auto"/>
                <w:spacing w:val="-1"/>
                <w:sz w:val="24"/>
                <w:szCs w:val="24"/>
                <w:highlight w:val="none"/>
                <w:lang w:eastAsia="zh-CN"/>
              </w:rPr>
              <w:t>危废暂存点</w:t>
            </w:r>
            <w:r>
              <w:rPr>
                <w:rFonts w:hint="default" w:ascii="Times New Roman" w:hAnsi="Times New Roman" w:eastAsia="宋体" w:cs="Times New Roman"/>
                <w:color w:val="auto"/>
                <w:spacing w:val="-1"/>
                <w:sz w:val="24"/>
                <w:szCs w:val="24"/>
                <w:highlight w:val="none"/>
              </w:rPr>
              <w:t>应根据危险废物的形态、物理化学性质、包装形</w:t>
            </w:r>
            <w:r>
              <w:rPr>
                <w:rFonts w:hint="default" w:ascii="Times New Roman" w:hAnsi="Times New Roman" w:eastAsia="宋体" w:cs="Times New Roman"/>
                <w:color w:val="auto"/>
                <w:spacing w:val="-2"/>
                <w:sz w:val="24"/>
                <w:szCs w:val="24"/>
                <w:highlight w:val="none"/>
              </w:rPr>
              <w:t>式和污染</w:t>
            </w:r>
            <w:r>
              <w:rPr>
                <w:rFonts w:hint="default" w:ascii="Times New Roman" w:hAnsi="Times New Roman" w:eastAsia="宋体" w:cs="Times New Roman"/>
                <w:color w:val="auto"/>
                <w:spacing w:val="1"/>
                <w:sz w:val="24"/>
                <w:szCs w:val="24"/>
                <w:highlight w:val="none"/>
              </w:rPr>
              <w:t>物迁移途径，采取必要的防风、防晒、防雨、防漏、防渗、防腐以及</w:t>
            </w:r>
            <w:r>
              <w:rPr>
                <w:rFonts w:hint="default" w:ascii="Times New Roman" w:hAnsi="Times New Roman" w:eastAsia="宋体" w:cs="Times New Roman"/>
                <w:color w:val="auto"/>
                <w:sz w:val="24"/>
                <w:szCs w:val="24"/>
                <w:highlight w:val="none"/>
              </w:rPr>
              <w:t>其他环</w:t>
            </w:r>
            <w:r>
              <w:rPr>
                <w:rFonts w:hint="default" w:ascii="Times New Roman" w:hAnsi="Times New Roman" w:eastAsia="宋体" w:cs="Times New Roman"/>
                <w:color w:val="auto"/>
                <w:spacing w:val="-1"/>
                <w:sz w:val="24"/>
                <w:szCs w:val="24"/>
                <w:highlight w:val="none"/>
              </w:rPr>
              <w:t>境污染防治措施，不应露天堆放危险废物；</w:t>
            </w:r>
            <w:r>
              <w:rPr>
                <w:rFonts w:hint="default" w:ascii="Times New Roman" w:hAnsi="Times New Roman" w:eastAsia="Times New Roman" w:cs="Times New Roman"/>
                <w:color w:val="auto"/>
                <w:spacing w:val="-2"/>
                <w:sz w:val="24"/>
                <w:szCs w:val="24"/>
                <w:highlight w:val="none"/>
              </w:rPr>
              <w:t>Q.</w:t>
            </w:r>
            <w:r>
              <w:rPr>
                <w:rFonts w:hint="default" w:ascii="Times New Roman" w:hAnsi="Times New Roman" w:cs="Times New Roman"/>
                <w:color w:val="auto"/>
                <w:spacing w:val="-2"/>
                <w:sz w:val="24"/>
                <w:szCs w:val="24"/>
                <w:highlight w:val="none"/>
                <w:lang w:eastAsia="zh-CN"/>
              </w:rPr>
              <w:t>危废暂存点</w:t>
            </w:r>
            <w:r>
              <w:rPr>
                <w:rFonts w:hint="default" w:ascii="Times New Roman" w:hAnsi="Times New Roman" w:eastAsia="宋体" w:cs="Times New Roman"/>
                <w:color w:val="auto"/>
                <w:spacing w:val="-2"/>
                <w:sz w:val="24"/>
                <w:szCs w:val="24"/>
                <w:highlight w:val="none"/>
              </w:rPr>
              <w:t>应根据危险废物的类别、</w:t>
            </w:r>
            <w:r>
              <w:rPr>
                <w:rFonts w:hint="default" w:ascii="Times New Roman" w:hAnsi="Times New Roman" w:eastAsia="宋体" w:cs="Times New Roman"/>
                <w:color w:val="auto"/>
                <w:spacing w:val="-3"/>
                <w:sz w:val="24"/>
                <w:szCs w:val="24"/>
                <w:highlight w:val="none"/>
              </w:rPr>
              <w:t>数量、形态、物理化学性质和污</w:t>
            </w:r>
            <w:r>
              <w:rPr>
                <w:rFonts w:hint="default" w:ascii="Times New Roman" w:hAnsi="Times New Roman" w:eastAsia="宋体" w:cs="Times New Roman"/>
                <w:color w:val="auto"/>
                <w:spacing w:val="-1"/>
                <w:sz w:val="24"/>
                <w:szCs w:val="24"/>
                <w:highlight w:val="none"/>
              </w:rPr>
              <w:t>染防治等要求设置必要的贮存分区，避免不相容的危险废物接触、混合；</w:t>
            </w:r>
          </w:p>
          <w:p w14:paraId="77EF9CD5">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2"/>
                <w:sz w:val="24"/>
                <w:szCs w:val="24"/>
                <w:highlight w:val="none"/>
              </w:rPr>
              <w:t>R.</w:t>
            </w:r>
            <w:r>
              <w:rPr>
                <w:rFonts w:hint="default" w:ascii="Times New Roman" w:hAnsi="Times New Roman" w:cs="Times New Roman"/>
                <w:color w:val="auto"/>
                <w:spacing w:val="-2"/>
                <w:sz w:val="24"/>
                <w:szCs w:val="24"/>
                <w:highlight w:val="none"/>
                <w:lang w:eastAsia="zh-CN"/>
              </w:rPr>
              <w:t>危废暂存点</w:t>
            </w:r>
            <w:r>
              <w:rPr>
                <w:rFonts w:hint="default" w:ascii="Times New Roman" w:hAnsi="Times New Roman" w:eastAsia="宋体" w:cs="Times New Roman"/>
                <w:color w:val="auto"/>
                <w:spacing w:val="-2"/>
                <w:sz w:val="24"/>
                <w:szCs w:val="24"/>
                <w:highlight w:val="none"/>
              </w:rPr>
              <w:t>贮存分区内地面、墙面</w:t>
            </w:r>
            <w:r>
              <w:rPr>
                <w:rFonts w:hint="default" w:ascii="Times New Roman" w:hAnsi="Times New Roman" w:cs="Times New Roman"/>
                <w:color w:val="auto"/>
                <w:spacing w:val="-2"/>
                <w:sz w:val="24"/>
                <w:szCs w:val="24"/>
                <w:highlight w:val="none"/>
                <w:lang w:eastAsia="zh-CN"/>
              </w:rPr>
              <w:t>裙角</w:t>
            </w:r>
            <w:r>
              <w:rPr>
                <w:rFonts w:hint="default" w:ascii="Times New Roman" w:hAnsi="Times New Roman" w:eastAsia="宋体" w:cs="Times New Roman"/>
                <w:color w:val="auto"/>
                <w:spacing w:val="-2"/>
                <w:sz w:val="24"/>
                <w:szCs w:val="24"/>
                <w:highlight w:val="none"/>
              </w:rPr>
              <w:t>、堵截泄漏的围堰、接触危险</w:t>
            </w:r>
            <w:r>
              <w:rPr>
                <w:rFonts w:hint="default" w:ascii="Times New Roman" w:hAnsi="Times New Roman" w:eastAsia="宋体" w:cs="Times New Roman"/>
                <w:color w:val="auto"/>
                <w:spacing w:val="-1"/>
                <w:sz w:val="24"/>
                <w:szCs w:val="24"/>
                <w:highlight w:val="none"/>
              </w:rPr>
              <w:t>废物的隔板和墙体等应采用坚固的材料建造，表面无裂；</w:t>
            </w:r>
          </w:p>
          <w:p w14:paraId="602EBCB2">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S.</w:t>
            </w:r>
            <w:r>
              <w:rPr>
                <w:rFonts w:hint="default" w:ascii="Times New Roman" w:hAnsi="Times New Roman" w:eastAsia="宋体" w:cs="Times New Roman"/>
                <w:color w:val="auto"/>
                <w:spacing w:val="-1"/>
                <w:sz w:val="24"/>
                <w:szCs w:val="24"/>
                <w:highlight w:val="none"/>
              </w:rPr>
              <w:t>贮存设施地面与裙脚应采取表面防</w:t>
            </w:r>
            <w:r>
              <w:rPr>
                <w:rFonts w:hint="default" w:ascii="Times New Roman" w:hAnsi="Times New Roman" w:eastAsia="宋体" w:cs="Times New Roman"/>
                <w:color w:val="auto"/>
                <w:spacing w:val="-2"/>
                <w:sz w:val="24"/>
                <w:szCs w:val="24"/>
                <w:highlight w:val="none"/>
              </w:rPr>
              <w:t>渗措施；表面防渗材料应与所接触</w:t>
            </w:r>
            <w:r>
              <w:rPr>
                <w:rFonts w:hint="default" w:ascii="Times New Roman" w:hAnsi="Times New Roman" w:eastAsia="宋体" w:cs="Times New Roman"/>
                <w:color w:val="auto"/>
                <w:spacing w:val="1"/>
                <w:sz w:val="24"/>
                <w:szCs w:val="24"/>
                <w:highlight w:val="none"/>
              </w:rPr>
              <w:t>的物料或污染物相容，可采用抗渗混凝土、高密度聚乙烯膜、钠基膨</w:t>
            </w:r>
            <w:r>
              <w:rPr>
                <w:rFonts w:hint="default" w:ascii="Times New Roman" w:hAnsi="Times New Roman" w:eastAsia="宋体" w:cs="Times New Roman"/>
                <w:color w:val="auto"/>
                <w:sz w:val="24"/>
                <w:szCs w:val="24"/>
                <w:highlight w:val="none"/>
              </w:rPr>
              <w:t>润土防</w:t>
            </w:r>
            <w:r>
              <w:rPr>
                <w:rFonts w:hint="default" w:ascii="Times New Roman" w:hAnsi="Times New Roman" w:eastAsia="宋体" w:cs="Times New Roman"/>
                <w:color w:val="auto"/>
                <w:spacing w:val="1"/>
                <w:sz w:val="24"/>
                <w:szCs w:val="24"/>
                <w:highlight w:val="none"/>
              </w:rPr>
              <w:t>水毯或其他防渗性能等效的材料。贮存的危险废物直接接触地面的，</w:t>
            </w:r>
            <w:r>
              <w:rPr>
                <w:rFonts w:hint="default" w:ascii="Times New Roman" w:hAnsi="Times New Roman" w:eastAsia="宋体" w:cs="Times New Roman"/>
                <w:color w:val="auto"/>
                <w:sz w:val="24"/>
                <w:szCs w:val="24"/>
                <w:highlight w:val="none"/>
              </w:rPr>
              <w:t>还应进</w:t>
            </w:r>
            <w:r>
              <w:rPr>
                <w:rFonts w:hint="default" w:ascii="Times New Roman" w:hAnsi="Times New Roman" w:eastAsia="宋体" w:cs="Times New Roman"/>
                <w:color w:val="auto"/>
                <w:spacing w:val="-3"/>
                <w:sz w:val="24"/>
                <w:szCs w:val="24"/>
                <w:highlight w:val="none"/>
              </w:rPr>
              <w:t>行基础防渗，防渗层为至少</w:t>
            </w:r>
            <w:r>
              <w:rPr>
                <w:rFonts w:hint="default" w:ascii="Times New Roman" w:hAnsi="Times New Roman" w:eastAsia="Times New Roman" w:cs="Times New Roman"/>
                <w:color w:val="auto"/>
                <w:spacing w:val="-3"/>
                <w:sz w:val="24"/>
                <w:szCs w:val="24"/>
                <w:highlight w:val="none"/>
              </w:rPr>
              <w:t>1m</w:t>
            </w:r>
            <w:r>
              <w:rPr>
                <w:rFonts w:hint="default" w:ascii="Times New Roman" w:hAnsi="Times New Roman" w:eastAsia="宋体" w:cs="Times New Roman"/>
                <w:color w:val="auto"/>
                <w:spacing w:val="-3"/>
                <w:sz w:val="24"/>
                <w:szCs w:val="24"/>
                <w:highlight w:val="none"/>
              </w:rPr>
              <w:t>厚黏土层（渗透系数不大于</w:t>
            </w:r>
            <w:r>
              <w:rPr>
                <w:rFonts w:hint="default" w:ascii="Times New Roman" w:hAnsi="Times New Roman" w:eastAsia="Times New Roman" w:cs="Times New Roman"/>
                <w:color w:val="auto"/>
                <w:spacing w:val="-3"/>
                <w:sz w:val="24"/>
                <w:szCs w:val="24"/>
                <w:highlight w:val="none"/>
              </w:rPr>
              <w:t>10</w:t>
            </w:r>
            <w:r>
              <w:rPr>
                <w:rFonts w:hint="default" w:ascii="Times New Roman" w:hAnsi="Times New Roman" w:eastAsia="Times New Roman" w:cs="Times New Roman"/>
                <w:color w:val="auto"/>
                <w:spacing w:val="-3"/>
                <w:position w:val="7"/>
                <w:sz w:val="24"/>
                <w:szCs w:val="24"/>
                <w:highlight w:val="none"/>
                <w:vertAlign w:val="superscript"/>
              </w:rPr>
              <w:t>-7</w:t>
            </w:r>
            <w:r>
              <w:rPr>
                <w:rFonts w:hint="default" w:ascii="Times New Roman" w:hAnsi="Times New Roman" w:eastAsia="Times New Roman" w:cs="Times New Roman"/>
                <w:color w:val="auto"/>
                <w:spacing w:val="-3"/>
                <w:sz w:val="24"/>
                <w:szCs w:val="24"/>
                <w:highlight w:val="none"/>
              </w:rPr>
              <w:t>cm/s</w:t>
            </w:r>
            <w:r>
              <w:rPr>
                <w:rFonts w:hint="default" w:ascii="Times New Roman" w:hAnsi="Times New Roman" w:eastAsia="宋体" w:cs="Times New Roman"/>
                <w:color w:val="auto"/>
                <w:spacing w:val="-10"/>
                <w:sz w:val="24"/>
                <w:szCs w:val="24"/>
                <w:highlight w:val="none"/>
              </w:rPr>
              <w:t>），</w:t>
            </w:r>
            <w:r>
              <w:rPr>
                <w:rFonts w:hint="default" w:ascii="Times New Roman" w:hAnsi="Times New Roman" w:eastAsia="宋体" w:cs="Times New Roman"/>
                <w:color w:val="auto"/>
                <w:spacing w:val="-3"/>
                <w:sz w:val="24"/>
                <w:szCs w:val="24"/>
                <w:highlight w:val="none"/>
              </w:rPr>
              <w:t>或其</w:t>
            </w:r>
            <w:r>
              <w:rPr>
                <w:rFonts w:hint="default" w:ascii="Times New Roman" w:hAnsi="Times New Roman" w:eastAsia="宋体" w:cs="Times New Roman"/>
                <w:color w:val="auto"/>
                <w:spacing w:val="-1"/>
                <w:sz w:val="24"/>
                <w:szCs w:val="24"/>
                <w:highlight w:val="none"/>
              </w:rPr>
              <w:t>他防渗性能等效的材料；</w:t>
            </w:r>
          </w:p>
          <w:p w14:paraId="6924EAD4">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2"/>
                <w:sz w:val="24"/>
                <w:szCs w:val="24"/>
                <w:highlight w:val="none"/>
              </w:rPr>
              <w:t>T.</w:t>
            </w:r>
            <w:r>
              <w:rPr>
                <w:rFonts w:hint="default" w:ascii="Times New Roman" w:hAnsi="Times New Roman" w:eastAsia="宋体" w:cs="Times New Roman"/>
                <w:color w:val="auto"/>
                <w:spacing w:val="-2"/>
                <w:sz w:val="24"/>
                <w:szCs w:val="24"/>
                <w:highlight w:val="none"/>
              </w:rPr>
              <w:t>同一贮存设施宜采用相同的防渗、防腐工艺（包括防渗、防腐结构或</w:t>
            </w:r>
            <w:r>
              <w:rPr>
                <w:rFonts w:hint="default" w:ascii="Times New Roman" w:hAnsi="Times New Roman" w:eastAsia="宋体" w:cs="Times New Roman"/>
                <w:color w:val="auto"/>
                <w:sz w:val="24"/>
                <w:szCs w:val="24"/>
                <w:highlight w:val="none"/>
              </w:rPr>
              <w:t>材料</w:t>
            </w:r>
            <w:r>
              <w:rPr>
                <w:rFonts w:hint="default" w:ascii="Times New Roman" w:hAnsi="Times New Roman" w:eastAsia="宋体" w:cs="Times New Roman"/>
                <w:color w:val="auto"/>
                <w:spacing w:val="15"/>
                <w:sz w:val="24"/>
                <w:szCs w:val="24"/>
                <w:highlight w:val="none"/>
              </w:rPr>
              <w:t>），</w:t>
            </w:r>
            <w:r>
              <w:rPr>
                <w:rFonts w:hint="default" w:ascii="Times New Roman" w:hAnsi="Times New Roman" w:eastAsia="宋体" w:cs="Times New Roman"/>
                <w:color w:val="auto"/>
                <w:sz w:val="24"/>
                <w:szCs w:val="24"/>
                <w:highlight w:val="none"/>
              </w:rPr>
              <w:t>防渗、防腐材料应覆盖所有可能与废物及其渗滤液、渗漏液等接触</w:t>
            </w:r>
            <w:r>
              <w:rPr>
                <w:rFonts w:hint="default" w:ascii="Times New Roman" w:hAnsi="Times New Roman" w:eastAsia="宋体" w:cs="Times New Roman"/>
                <w:color w:val="auto"/>
                <w:spacing w:val="-1"/>
                <w:sz w:val="24"/>
                <w:szCs w:val="24"/>
                <w:highlight w:val="none"/>
              </w:rPr>
              <w:t>的构筑物表面；采用不同防渗、防腐工艺应分别建设贮存分区。</w:t>
            </w:r>
          </w:p>
          <w:p w14:paraId="12B5D74D">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color w:val="auto"/>
                <w:spacing w:val="1"/>
                <w:sz w:val="24"/>
                <w:szCs w:val="24"/>
                <w:highlight w:val="none"/>
              </w:rPr>
              <w:t>U.</w:t>
            </w:r>
            <w:r>
              <w:rPr>
                <w:rFonts w:hint="default" w:ascii="Times New Roman" w:hAnsi="Times New Roman" w:eastAsia="宋体" w:cs="Times New Roman"/>
                <w:color w:val="auto"/>
                <w:spacing w:val="1"/>
                <w:sz w:val="24"/>
                <w:szCs w:val="24"/>
                <w:highlight w:val="none"/>
              </w:rPr>
              <w:t>贮存设施必须按危险废物识别标志设置技术规范》（</w:t>
            </w:r>
            <w:r>
              <w:rPr>
                <w:rFonts w:hint="default" w:ascii="Times New Roman" w:hAnsi="Times New Roman" w:eastAsia="Times New Roman" w:cs="Times New Roman"/>
                <w:color w:val="auto"/>
                <w:sz w:val="24"/>
                <w:szCs w:val="24"/>
                <w:highlight w:val="none"/>
              </w:rPr>
              <w:t>HJ</w:t>
            </w:r>
            <w:r>
              <w:rPr>
                <w:rFonts w:hint="default" w:ascii="Times New Roman" w:hAnsi="Times New Roman" w:eastAsia="Times New Roman" w:cs="Times New Roman"/>
                <w:color w:val="auto"/>
                <w:spacing w:val="1"/>
                <w:sz w:val="24"/>
                <w:szCs w:val="24"/>
                <w:highlight w:val="none"/>
              </w:rPr>
              <w:t>1276-2022</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宋体" w:cs="Times New Roman"/>
                <w:color w:val="auto"/>
                <w:spacing w:val="-3"/>
                <w:sz w:val="24"/>
                <w:szCs w:val="24"/>
                <w:highlight w:val="none"/>
              </w:rPr>
              <w:t>的规定设置警示标志。</w:t>
            </w:r>
          </w:p>
          <w:p w14:paraId="75E52139">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②管理措施</w:t>
            </w:r>
          </w:p>
          <w:p w14:paraId="3567B070">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严格按照《危险废物贮存污染控制标准》（</w:t>
            </w:r>
            <w:r>
              <w:rPr>
                <w:rFonts w:hint="default" w:ascii="Times New Roman" w:hAnsi="Times New Roman" w:eastAsia="Times New Roman" w:cs="Times New Roman"/>
                <w:color w:val="auto"/>
                <w:spacing w:val="-1"/>
                <w:sz w:val="24"/>
                <w:szCs w:val="24"/>
                <w:highlight w:val="none"/>
              </w:rPr>
              <w:t>GB18597-2023</w:t>
            </w:r>
            <w:r>
              <w:rPr>
                <w:rFonts w:hint="default" w:ascii="Times New Roman" w:hAnsi="Times New Roman" w:eastAsia="宋体" w:cs="Times New Roman"/>
                <w:color w:val="auto"/>
                <w:spacing w:val="-1"/>
                <w:sz w:val="24"/>
                <w:szCs w:val="24"/>
                <w:highlight w:val="none"/>
              </w:rPr>
              <w:t>）要求设置</w:t>
            </w:r>
            <w:r>
              <w:rPr>
                <w:rFonts w:hint="default" w:ascii="Times New Roman" w:hAnsi="Times New Roman" w:cs="Times New Roman"/>
                <w:color w:val="auto"/>
                <w:spacing w:val="-1"/>
                <w:sz w:val="24"/>
                <w:szCs w:val="24"/>
                <w:highlight w:val="none"/>
                <w:lang w:eastAsia="zh-CN"/>
              </w:rPr>
              <w:t>做好</w:t>
            </w:r>
            <w:r>
              <w:rPr>
                <w:rFonts w:hint="default" w:ascii="Times New Roman" w:hAnsi="Times New Roman" w:eastAsia="宋体" w:cs="Times New Roman"/>
                <w:color w:val="auto"/>
                <w:spacing w:val="1"/>
                <w:sz w:val="24"/>
                <w:szCs w:val="24"/>
                <w:highlight w:val="none"/>
              </w:rPr>
              <w:t>危险废物情况的记录</w:t>
            </w:r>
            <w:r>
              <w:rPr>
                <w:rFonts w:hint="default" w:ascii="Times New Roman" w:hAnsi="Times New Roman" w:cs="Times New Roman"/>
                <w:color w:val="auto"/>
                <w:spacing w:val="1"/>
                <w:sz w:val="24"/>
                <w:szCs w:val="24"/>
                <w:highlight w:val="none"/>
                <w:lang w:eastAsia="zh-CN"/>
              </w:rPr>
              <w:t>，在</w:t>
            </w:r>
            <w:r>
              <w:rPr>
                <w:rFonts w:hint="default" w:ascii="Times New Roman" w:hAnsi="Times New Roman" w:eastAsia="宋体" w:cs="Times New Roman"/>
                <w:color w:val="auto"/>
                <w:spacing w:val="1"/>
                <w:sz w:val="24"/>
                <w:szCs w:val="24"/>
                <w:highlight w:val="none"/>
              </w:rPr>
              <w:t>记录上注明危险废物的名称、来源、数量、</w:t>
            </w:r>
            <w:r>
              <w:rPr>
                <w:rFonts w:hint="default" w:ascii="Times New Roman" w:hAnsi="Times New Roman" w:eastAsia="宋体" w:cs="Times New Roman"/>
                <w:color w:val="auto"/>
                <w:sz w:val="24"/>
                <w:szCs w:val="24"/>
                <w:highlight w:val="none"/>
              </w:rPr>
              <w:t>特性和</w:t>
            </w:r>
            <w:r>
              <w:rPr>
                <w:rFonts w:hint="default" w:ascii="Times New Roman" w:hAnsi="Times New Roman" w:eastAsia="宋体" w:cs="Times New Roman"/>
                <w:color w:val="auto"/>
                <w:spacing w:val="1"/>
                <w:sz w:val="24"/>
                <w:szCs w:val="24"/>
                <w:highlight w:val="none"/>
              </w:rPr>
              <w:t>包装容器的类别、入库日期、存放库位、废物出库日期及接收单位名</w:t>
            </w:r>
            <w:r>
              <w:rPr>
                <w:rFonts w:hint="default" w:ascii="Times New Roman" w:hAnsi="Times New Roman" w:eastAsia="宋体" w:cs="Times New Roman"/>
                <w:color w:val="auto"/>
                <w:sz w:val="24"/>
                <w:szCs w:val="24"/>
                <w:highlight w:val="none"/>
              </w:rPr>
              <w:t>称，实</w:t>
            </w:r>
            <w:r>
              <w:rPr>
                <w:rFonts w:hint="default" w:ascii="Times New Roman" w:hAnsi="Times New Roman" w:eastAsia="宋体" w:cs="Times New Roman"/>
                <w:color w:val="auto"/>
                <w:spacing w:val="-1"/>
                <w:sz w:val="24"/>
                <w:szCs w:val="24"/>
                <w:highlight w:val="none"/>
              </w:rPr>
              <w:t>行转移联单制度，建立危废管理台账。</w:t>
            </w:r>
          </w:p>
          <w:p w14:paraId="516B305C">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2</w:t>
            </w:r>
            <w:r>
              <w:rPr>
                <w:rFonts w:hint="default" w:ascii="Times New Roman" w:hAnsi="Times New Roman" w:eastAsia="宋体" w:cs="Times New Roman"/>
                <w:color w:val="auto"/>
                <w:spacing w:val="-2"/>
                <w:sz w:val="24"/>
                <w:szCs w:val="24"/>
                <w:highlight w:val="none"/>
              </w:rPr>
              <w:t>）废气非正常排放环境风险措施</w:t>
            </w:r>
          </w:p>
          <w:p w14:paraId="3B32CAA9">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本项目可能对大气环境造成影响为废气处理设施故障导致生产过程</w:t>
            </w:r>
            <w:r>
              <w:rPr>
                <w:rFonts w:hint="default" w:ascii="Times New Roman" w:hAnsi="Times New Roman" w:eastAsia="宋体" w:cs="Times New Roman"/>
                <w:color w:val="auto"/>
                <w:sz w:val="24"/>
                <w:szCs w:val="24"/>
                <w:highlight w:val="none"/>
              </w:rPr>
              <w:t>中产</w:t>
            </w:r>
            <w:r>
              <w:rPr>
                <w:rFonts w:hint="default" w:ascii="Times New Roman" w:hAnsi="Times New Roman" w:eastAsia="宋体" w:cs="Times New Roman"/>
                <w:color w:val="auto"/>
                <w:spacing w:val="-1"/>
                <w:sz w:val="24"/>
                <w:szCs w:val="24"/>
                <w:highlight w:val="none"/>
              </w:rPr>
              <w:t>生的废气未经处理直接排放，污染外环境。企业采取了以下措施：</w:t>
            </w:r>
          </w:p>
          <w:p w14:paraId="3FD8E7BD">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①制定设备检修计划，定期检修除尘设备。</w:t>
            </w:r>
          </w:p>
          <w:p w14:paraId="18A96CE7">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②建立定时巡检制度，发现问题及时处理。</w:t>
            </w:r>
          </w:p>
          <w:p w14:paraId="1A1C5E5D">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③发生事故后应及时与有关部门联系。</w:t>
            </w:r>
          </w:p>
          <w:p w14:paraId="0912FCE5">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3</w:t>
            </w:r>
            <w:r>
              <w:rPr>
                <w:rFonts w:hint="default" w:ascii="Times New Roman" w:hAnsi="Times New Roman" w:eastAsia="宋体" w:cs="Times New Roman"/>
                <w:color w:val="auto"/>
                <w:spacing w:val="-2"/>
                <w:sz w:val="24"/>
                <w:szCs w:val="24"/>
                <w:highlight w:val="none"/>
              </w:rPr>
              <w:t>）生产及储存风险防范措施</w:t>
            </w:r>
          </w:p>
          <w:p w14:paraId="387F7838">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①生产场地属禁火区，应远离明火，不得存放易燃易爆物品，设置明显</w:t>
            </w:r>
            <w:r>
              <w:rPr>
                <w:rFonts w:hint="default" w:ascii="Times New Roman" w:hAnsi="Times New Roman" w:eastAsia="宋体" w:cs="Times New Roman"/>
                <w:color w:val="auto"/>
                <w:spacing w:val="-2"/>
                <w:sz w:val="24"/>
                <w:szCs w:val="24"/>
                <w:highlight w:val="none"/>
              </w:rPr>
              <w:t>警示牌并配备灭火器材；</w:t>
            </w:r>
          </w:p>
          <w:p w14:paraId="4979B41B">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②厂区</w:t>
            </w:r>
            <w:r>
              <w:rPr>
                <w:rFonts w:hint="default" w:ascii="Times New Roman" w:hAnsi="Times New Roman" w:cs="Times New Roman"/>
                <w:color w:val="auto"/>
                <w:spacing w:val="-1"/>
                <w:sz w:val="24"/>
                <w:szCs w:val="24"/>
                <w:highlight w:val="none"/>
                <w:lang w:eastAsia="zh-CN"/>
              </w:rPr>
              <w:t>设置</w:t>
            </w:r>
            <w:r>
              <w:rPr>
                <w:rFonts w:hint="default" w:ascii="Times New Roman" w:hAnsi="Times New Roman" w:eastAsia="宋体" w:cs="Times New Roman"/>
                <w:color w:val="auto"/>
                <w:spacing w:val="-1"/>
                <w:sz w:val="24"/>
                <w:szCs w:val="24"/>
                <w:highlight w:val="none"/>
              </w:rPr>
              <w:t>防火通道，禁止在通道内堆放物品；③消防器材定员管理，定期检查，过期更换；</w:t>
            </w:r>
          </w:p>
          <w:p w14:paraId="6B020DF8">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④厂区电器采用防爆型设备，工作场所禁止吸烟；</w:t>
            </w:r>
          </w:p>
          <w:p w14:paraId="49A4A8F0">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4</w:t>
            </w:r>
            <w:r>
              <w:rPr>
                <w:rFonts w:hint="default" w:ascii="Times New Roman" w:hAnsi="Times New Roman" w:eastAsia="宋体" w:cs="Times New Roman"/>
                <w:color w:val="auto"/>
                <w:spacing w:val="-3"/>
                <w:sz w:val="24"/>
                <w:szCs w:val="24"/>
                <w:highlight w:val="none"/>
              </w:rPr>
              <w:t>）火灾处理措施</w:t>
            </w:r>
          </w:p>
          <w:p w14:paraId="66664790">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一旦发生火灾，厂房应立即报警，通过消防灭火；组织救援</w:t>
            </w:r>
            <w:r>
              <w:rPr>
                <w:rFonts w:hint="default" w:ascii="Times New Roman" w:hAnsi="Times New Roman" w:eastAsia="宋体" w:cs="Times New Roman"/>
                <w:color w:val="auto"/>
                <w:sz w:val="24"/>
                <w:szCs w:val="24"/>
                <w:highlight w:val="none"/>
              </w:rPr>
              <w:t>小组，封锁</w:t>
            </w:r>
            <w:r>
              <w:rPr>
                <w:rFonts w:hint="default" w:ascii="Times New Roman" w:hAnsi="Times New Roman" w:eastAsia="宋体" w:cs="Times New Roman"/>
                <w:color w:val="auto"/>
                <w:spacing w:val="-6"/>
                <w:sz w:val="24"/>
                <w:szCs w:val="24"/>
                <w:highlight w:val="none"/>
              </w:rPr>
              <w:t>现场，指挥人员疏散，并组织消防力量进行自救灭火；事故后对起火原因做调</w:t>
            </w:r>
            <w:r>
              <w:rPr>
                <w:rFonts w:hint="default" w:ascii="Times New Roman" w:hAnsi="Times New Roman" w:eastAsia="宋体" w:cs="Times New Roman"/>
                <w:color w:val="auto"/>
                <w:spacing w:val="-12"/>
                <w:sz w:val="24"/>
                <w:szCs w:val="24"/>
                <w:highlight w:val="none"/>
              </w:rPr>
              <w:t>查和鉴定，提出切实可行的防范措施。</w:t>
            </w:r>
          </w:p>
          <w:p w14:paraId="23E04BA4">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5</w:t>
            </w:r>
            <w:r>
              <w:rPr>
                <w:rFonts w:hint="default" w:ascii="Times New Roman" w:hAnsi="Times New Roman" w:eastAsia="宋体" w:cs="Times New Roman"/>
                <w:color w:val="auto"/>
                <w:spacing w:val="-2"/>
                <w:sz w:val="24"/>
                <w:szCs w:val="24"/>
                <w:highlight w:val="none"/>
              </w:rPr>
              <w:t>）其他风险防范措施</w:t>
            </w:r>
          </w:p>
          <w:p w14:paraId="2B4EC790">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①存储场内不得设置移动照明、配电线路与原料之间应按规范的要求保持足够的防火间距，不得在原料堆放处</w:t>
            </w:r>
            <w:r>
              <w:rPr>
                <w:rFonts w:hint="default" w:ascii="Times New Roman" w:hAnsi="Times New Roman" w:cs="Times New Roman"/>
                <w:color w:val="auto"/>
                <w:spacing w:val="1"/>
                <w:sz w:val="24"/>
                <w:szCs w:val="24"/>
                <w:highlight w:val="none"/>
                <w:lang w:eastAsia="zh-CN"/>
              </w:rPr>
              <w:t>设置</w:t>
            </w:r>
            <w:r>
              <w:rPr>
                <w:rFonts w:hint="default" w:ascii="Times New Roman" w:hAnsi="Times New Roman" w:eastAsia="宋体" w:cs="Times New Roman"/>
                <w:color w:val="auto"/>
                <w:spacing w:val="1"/>
                <w:sz w:val="24"/>
                <w:szCs w:val="24"/>
                <w:highlight w:val="none"/>
              </w:rPr>
              <w:t>临时线路，不得设置</w:t>
            </w:r>
            <w:r>
              <w:rPr>
                <w:rFonts w:hint="default" w:ascii="Times New Roman" w:hAnsi="Times New Roman" w:eastAsia="宋体" w:cs="Times New Roman"/>
                <w:color w:val="auto"/>
                <w:sz w:val="24"/>
                <w:szCs w:val="24"/>
                <w:highlight w:val="none"/>
              </w:rPr>
              <w:t>移动照明和配</w:t>
            </w:r>
            <w:r>
              <w:rPr>
                <w:rFonts w:hint="default" w:ascii="Times New Roman" w:hAnsi="Times New Roman" w:eastAsia="宋体" w:cs="Times New Roman"/>
                <w:color w:val="auto"/>
                <w:spacing w:val="1"/>
                <w:sz w:val="24"/>
                <w:szCs w:val="24"/>
                <w:highlight w:val="none"/>
              </w:rPr>
              <w:t>电板等。对生产区及其他需要配置的地方，安装事故应急照明</w:t>
            </w:r>
            <w:r>
              <w:rPr>
                <w:rFonts w:hint="default" w:ascii="Times New Roman" w:hAnsi="Times New Roman" w:eastAsia="宋体" w:cs="Times New Roman"/>
                <w:color w:val="auto"/>
                <w:sz w:val="24"/>
                <w:szCs w:val="24"/>
                <w:highlight w:val="none"/>
              </w:rPr>
              <w:t>和疏散指示标</w:t>
            </w:r>
            <w:r>
              <w:rPr>
                <w:rFonts w:hint="default" w:ascii="Times New Roman" w:hAnsi="Times New Roman" w:eastAsia="宋体" w:cs="Times New Roman"/>
                <w:color w:val="auto"/>
                <w:spacing w:val="-7"/>
                <w:sz w:val="24"/>
                <w:szCs w:val="24"/>
                <w:highlight w:val="none"/>
              </w:rPr>
              <w:t>志。</w:t>
            </w:r>
          </w:p>
          <w:p w14:paraId="7019C90C">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②加强消防设施的维护与保养使其保持在良好的性能状态，减少机械伤</w:t>
            </w:r>
            <w:r>
              <w:rPr>
                <w:rFonts w:hint="default" w:ascii="Times New Roman" w:hAnsi="Times New Roman" w:eastAsia="宋体" w:cs="Times New Roman"/>
                <w:color w:val="auto"/>
                <w:spacing w:val="-3"/>
                <w:sz w:val="24"/>
                <w:szCs w:val="24"/>
                <w:highlight w:val="none"/>
              </w:rPr>
              <w:t>害的发生。</w:t>
            </w:r>
          </w:p>
          <w:p w14:paraId="08D5C4AE">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③加强安全教育，强化安全意识，具备相应的安全知识，原料区域安全管理人员必须增强安全意识和</w:t>
            </w:r>
            <w:r>
              <w:rPr>
                <w:rFonts w:hint="default" w:ascii="Times New Roman" w:hAnsi="Times New Roman" w:cs="Times New Roman"/>
                <w:color w:val="auto"/>
                <w:spacing w:val="1"/>
                <w:sz w:val="24"/>
                <w:szCs w:val="24"/>
                <w:highlight w:val="none"/>
                <w:lang w:eastAsia="zh-CN"/>
              </w:rPr>
              <w:t>法治观念</w:t>
            </w:r>
            <w:r>
              <w:rPr>
                <w:rFonts w:hint="default" w:ascii="Times New Roman" w:hAnsi="Times New Roman" w:eastAsia="宋体" w:cs="Times New Roman"/>
                <w:color w:val="auto"/>
                <w:spacing w:val="1"/>
                <w:sz w:val="24"/>
                <w:szCs w:val="24"/>
                <w:highlight w:val="none"/>
              </w:rPr>
              <w:t>，掌握安全卫生</w:t>
            </w:r>
            <w:r>
              <w:rPr>
                <w:rFonts w:hint="default" w:ascii="Times New Roman" w:hAnsi="Times New Roman" w:eastAsia="宋体" w:cs="Times New Roman"/>
                <w:color w:val="auto"/>
                <w:sz w:val="24"/>
                <w:szCs w:val="24"/>
                <w:highlight w:val="none"/>
              </w:rPr>
              <w:t>基本知识，具有一定</w:t>
            </w:r>
            <w:r>
              <w:rPr>
                <w:rFonts w:hint="default" w:ascii="Times New Roman" w:hAnsi="Times New Roman" w:eastAsia="宋体" w:cs="Times New Roman"/>
                <w:color w:val="auto"/>
                <w:spacing w:val="-2"/>
                <w:sz w:val="24"/>
                <w:szCs w:val="24"/>
                <w:highlight w:val="none"/>
              </w:rPr>
              <w:t>的安全管理和决策能力。</w:t>
            </w:r>
          </w:p>
          <w:p w14:paraId="18EA75F2">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pacing w:val="-5"/>
                <w:sz w:val="24"/>
                <w:szCs w:val="24"/>
                <w:highlight w:val="none"/>
              </w:rPr>
            </w:pPr>
            <w:r>
              <w:rPr>
                <w:rFonts w:hint="default" w:ascii="Times New Roman" w:hAnsi="Times New Roman" w:eastAsia="宋体" w:cs="Times New Roman"/>
                <w:color w:val="auto"/>
                <w:spacing w:val="1"/>
                <w:sz w:val="24"/>
                <w:szCs w:val="24"/>
                <w:highlight w:val="none"/>
              </w:rPr>
              <w:t>④要落实消防安全责任制，严格各项规章制度。生产区的各项消防安全规章制度不能光挂在墙上，关键要落到实处，加强违规违章操作人员的</w:t>
            </w:r>
            <w:r>
              <w:rPr>
                <w:rFonts w:hint="default" w:ascii="Times New Roman" w:hAnsi="Times New Roman" w:eastAsia="宋体" w:cs="Times New Roman"/>
                <w:color w:val="auto"/>
                <w:sz w:val="24"/>
                <w:szCs w:val="24"/>
                <w:highlight w:val="none"/>
              </w:rPr>
              <w:t>管理</w:t>
            </w:r>
            <w:r>
              <w:rPr>
                <w:rFonts w:hint="default" w:ascii="Times New Roman" w:hAnsi="Times New Roman" w:eastAsia="宋体" w:cs="Times New Roman"/>
                <w:color w:val="auto"/>
                <w:spacing w:val="1"/>
                <w:sz w:val="24"/>
                <w:szCs w:val="24"/>
                <w:highlight w:val="none"/>
              </w:rPr>
              <w:t>和查处，要经常进行消防安全教育，实行车辆进出的登记查问制度、火</w:t>
            </w:r>
            <w:r>
              <w:rPr>
                <w:rFonts w:hint="default" w:ascii="Times New Roman" w:hAnsi="Times New Roman" w:eastAsia="宋体" w:cs="Times New Roman"/>
                <w:color w:val="auto"/>
                <w:sz w:val="24"/>
                <w:szCs w:val="24"/>
                <w:highlight w:val="none"/>
              </w:rPr>
              <w:t>种管</w:t>
            </w:r>
            <w:r>
              <w:rPr>
                <w:rFonts w:hint="default" w:ascii="Times New Roman" w:hAnsi="Times New Roman" w:eastAsia="宋体" w:cs="Times New Roman"/>
                <w:color w:val="auto"/>
                <w:spacing w:val="1"/>
                <w:sz w:val="24"/>
                <w:szCs w:val="24"/>
                <w:highlight w:val="none"/>
              </w:rPr>
              <w:t>理制度、动用明火制度、货物进出仓库的检查制度、货物堆放制度、巡</w:t>
            </w:r>
            <w:r>
              <w:rPr>
                <w:rFonts w:hint="default" w:ascii="Times New Roman" w:hAnsi="Times New Roman" w:eastAsia="宋体" w:cs="Times New Roman"/>
                <w:color w:val="auto"/>
                <w:sz w:val="24"/>
                <w:szCs w:val="24"/>
                <w:highlight w:val="none"/>
              </w:rPr>
              <w:t>查制</w:t>
            </w:r>
            <w:r>
              <w:rPr>
                <w:rFonts w:hint="default" w:ascii="Times New Roman" w:hAnsi="Times New Roman" w:eastAsia="宋体" w:cs="Times New Roman"/>
                <w:color w:val="auto"/>
                <w:spacing w:val="-5"/>
                <w:sz w:val="24"/>
                <w:szCs w:val="24"/>
                <w:highlight w:val="none"/>
              </w:rPr>
              <w:t>度。</w:t>
            </w:r>
          </w:p>
          <w:p w14:paraId="0D0CC307">
            <w:pPr>
              <w:keepNext w:val="0"/>
              <w:keepLines w:val="0"/>
              <w:pageBreakBefore w:val="0"/>
              <w:kinsoku/>
              <w:overflowPunct/>
              <w:bidi w:val="0"/>
              <w:spacing w:line="360" w:lineRule="auto"/>
              <w:ind w:left="0" w:right="0" w:firstLine="480" w:firstLineChars="20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w:t>
            </w:r>
            <w:r>
              <w:rPr>
                <w:rFonts w:hint="default" w:ascii="Times New Roman" w:hAnsi="Times New Roman" w:cs="Times New Roman"/>
                <w:color w:val="auto"/>
                <w:spacing w:val="0"/>
                <w:w w:val="100"/>
                <w:position w:val="0"/>
                <w:sz w:val="24"/>
                <w:szCs w:val="24"/>
                <w:highlight w:val="none"/>
                <w:lang w:val="en-US" w:eastAsia="zh-CN"/>
              </w:rPr>
              <w:t>6</w:t>
            </w:r>
            <w:r>
              <w:rPr>
                <w:rFonts w:hint="default" w:ascii="Times New Roman" w:hAnsi="Times New Roman" w:cs="Times New Roman"/>
                <w:color w:val="auto"/>
                <w:spacing w:val="0"/>
                <w:w w:val="100"/>
                <w:position w:val="0"/>
                <w:sz w:val="24"/>
                <w:szCs w:val="24"/>
                <w:highlight w:val="none"/>
              </w:rPr>
              <w:t>）环境风险防范措施及应急要求</w:t>
            </w:r>
          </w:p>
          <w:p w14:paraId="08F11E45">
            <w:pPr>
              <w:pStyle w:val="41"/>
              <w:keepNext w:val="0"/>
              <w:keepLines w:val="0"/>
              <w:pageBreakBefore w:val="0"/>
              <w:kinsoku/>
              <w:overflowPunct/>
              <w:bidi w:val="0"/>
              <w:adjustRightInd/>
              <w:snapToGrid/>
              <w:spacing w:line="360" w:lineRule="auto"/>
              <w:ind w:left="0" w:right="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1）运输过程的环境风险防范</w:t>
            </w:r>
          </w:p>
          <w:p w14:paraId="1E3828A4">
            <w:pPr>
              <w:pStyle w:val="41"/>
              <w:keepNext w:val="0"/>
              <w:keepLines w:val="0"/>
              <w:pageBreakBefore w:val="0"/>
              <w:kinsoku/>
              <w:overflowPunct/>
              <w:bidi w:val="0"/>
              <w:adjustRightInd/>
              <w:snapToGrid/>
              <w:spacing w:line="360" w:lineRule="auto"/>
              <w:ind w:left="0" w:right="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本项目生产原料采用</w:t>
            </w:r>
            <w:r>
              <w:rPr>
                <w:rFonts w:hint="default" w:ascii="Times New Roman" w:hAnsi="Times New Roman" w:cs="Times New Roman"/>
                <w:color w:val="auto"/>
                <w:spacing w:val="0"/>
                <w:w w:val="100"/>
                <w:position w:val="0"/>
                <w:sz w:val="24"/>
                <w:szCs w:val="24"/>
                <w:highlight w:val="none"/>
                <w:lang w:eastAsia="zh-CN"/>
              </w:rPr>
              <w:t>厢式</w:t>
            </w:r>
            <w:r>
              <w:rPr>
                <w:rFonts w:hint="default" w:ascii="Times New Roman" w:hAnsi="Times New Roman" w:cs="Times New Roman"/>
                <w:color w:val="auto"/>
                <w:spacing w:val="0"/>
                <w:w w:val="100"/>
                <w:position w:val="0"/>
                <w:sz w:val="24"/>
                <w:szCs w:val="24"/>
                <w:highlight w:val="none"/>
              </w:rPr>
              <w:t>货车运输，运输过程风险事故发生概率较小，要求在输送环节上</w:t>
            </w:r>
            <w:r>
              <w:rPr>
                <w:rFonts w:hint="default" w:ascii="Times New Roman" w:hAnsi="Times New Roman" w:cs="Times New Roman"/>
                <w:color w:val="auto"/>
                <w:spacing w:val="0"/>
                <w:w w:val="100"/>
                <w:position w:val="0"/>
                <w:sz w:val="24"/>
                <w:szCs w:val="24"/>
                <w:highlight w:val="none"/>
                <w:lang w:eastAsia="zh-CN"/>
              </w:rPr>
              <w:t>尽可能地减少</w:t>
            </w:r>
            <w:r>
              <w:rPr>
                <w:rFonts w:hint="default" w:ascii="Times New Roman" w:hAnsi="Times New Roman" w:cs="Times New Roman"/>
                <w:color w:val="auto"/>
                <w:spacing w:val="0"/>
                <w:w w:val="100"/>
                <w:position w:val="0"/>
                <w:sz w:val="24"/>
                <w:szCs w:val="24"/>
                <w:highlight w:val="none"/>
              </w:rPr>
              <w:t>人为的不安全行为，遵守交通规则，最大程度减少交通事故导致的散落或起火，同时输送车辆要配有专门的灭火设施，以降低火灾风险。合理选择行驶时间、路线、停车地点，同时要避开上下班</w:t>
            </w:r>
            <w:r>
              <w:rPr>
                <w:rFonts w:hint="default" w:ascii="Times New Roman" w:hAnsi="Times New Roman" w:cs="Times New Roman"/>
                <w:color w:val="auto"/>
                <w:spacing w:val="0"/>
                <w:w w:val="100"/>
                <w:position w:val="0"/>
                <w:sz w:val="24"/>
                <w:szCs w:val="24"/>
                <w:highlight w:val="none"/>
                <w:lang w:eastAsia="zh-CN"/>
              </w:rPr>
              <w:t>等</w:t>
            </w:r>
            <w:r>
              <w:rPr>
                <w:rFonts w:hint="default" w:ascii="Times New Roman" w:hAnsi="Times New Roman" w:cs="Times New Roman"/>
                <w:color w:val="auto"/>
                <w:spacing w:val="0"/>
                <w:w w:val="100"/>
                <w:position w:val="0"/>
                <w:sz w:val="24"/>
                <w:szCs w:val="24"/>
                <w:highlight w:val="none"/>
              </w:rPr>
              <w:t>交通高峰期，降低运输过程中的交通事故发生的可能。装卸作业由专人负责安全监督。</w:t>
            </w:r>
          </w:p>
          <w:p w14:paraId="624B6BBF">
            <w:pPr>
              <w:pStyle w:val="41"/>
              <w:keepNext w:val="0"/>
              <w:keepLines w:val="0"/>
              <w:pageBreakBefore w:val="0"/>
              <w:kinsoku/>
              <w:overflowPunct/>
              <w:bidi w:val="0"/>
              <w:adjustRightInd/>
              <w:snapToGrid/>
              <w:spacing w:line="360" w:lineRule="auto"/>
              <w:ind w:left="0" w:right="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2）储存过程的环境风险防范</w:t>
            </w:r>
          </w:p>
          <w:p w14:paraId="765E0E6E">
            <w:pPr>
              <w:pStyle w:val="41"/>
              <w:keepNext w:val="0"/>
              <w:keepLines w:val="0"/>
              <w:pageBreakBefore w:val="0"/>
              <w:kinsoku/>
              <w:overflowPunct/>
              <w:bidi w:val="0"/>
              <w:adjustRightInd/>
              <w:snapToGrid/>
              <w:spacing w:line="360" w:lineRule="auto"/>
              <w:ind w:left="0" w:right="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项目在原料储存</w:t>
            </w:r>
            <w:r>
              <w:rPr>
                <w:rFonts w:hint="default" w:ascii="Times New Roman" w:hAnsi="Times New Roman" w:cs="Times New Roman"/>
                <w:color w:val="auto"/>
                <w:spacing w:val="0"/>
                <w:w w:val="100"/>
                <w:position w:val="0"/>
                <w:sz w:val="24"/>
                <w:szCs w:val="24"/>
                <w:highlight w:val="none"/>
                <w:lang w:eastAsia="zh-CN"/>
              </w:rPr>
              <w:t>、</w:t>
            </w:r>
            <w:r>
              <w:rPr>
                <w:rFonts w:hint="default" w:ascii="Times New Roman" w:hAnsi="Times New Roman" w:cs="Times New Roman"/>
                <w:color w:val="auto"/>
                <w:spacing w:val="0"/>
                <w:w w:val="100"/>
                <w:position w:val="0"/>
                <w:sz w:val="24"/>
                <w:szCs w:val="24"/>
                <w:highlight w:val="none"/>
                <w:lang w:val="en-US" w:eastAsia="zh-CN"/>
              </w:rPr>
              <w:t>危险废物贮存</w:t>
            </w:r>
            <w:r>
              <w:rPr>
                <w:rFonts w:hint="default" w:ascii="Times New Roman" w:hAnsi="Times New Roman" w:cs="Times New Roman"/>
                <w:color w:val="auto"/>
                <w:spacing w:val="0"/>
                <w:w w:val="100"/>
                <w:position w:val="0"/>
                <w:sz w:val="24"/>
                <w:szCs w:val="24"/>
                <w:highlight w:val="none"/>
              </w:rPr>
              <w:t>过程中需采取一系列风险管理措施，具体包括：</w:t>
            </w:r>
          </w:p>
          <w:p w14:paraId="3B6BA50F">
            <w:pPr>
              <w:pStyle w:val="41"/>
              <w:keepNext w:val="0"/>
              <w:keepLines w:val="0"/>
              <w:pageBreakBefore w:val="0"/>
              <w:kinsoku/>
              <w:overflowPunct/>
              <w:bidi w:val="0"/>
              <w:adjustRightInd/>
              <w:snapToGrid/>
              <w:spacing w:line="360" w:lineRule="auto"/>
              <w:ind w:left="0" w:right="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①存储场设置明显的标志；</w:t>
            </w:r>
          </w:p>
          <w:p w14:paraId="4E610688">
            <w:pPr>
              <w:pStyle w:val="41"/>
              <w:keepNext w:val="0"/>
              <w:keepLines w:val="0"/>
              <w:pageBreakBefore w:val="0"/>
              <w:kinsoku/>
              <w:overflowPunct/>
              <w:bidi w:val="0"/>
              <w:adjustRightInd/>
              <w:snapToGrid/>
              <w:spacing w:line="360" w:lineRule="auto"/>
              <w:ind w:left="0" w:right="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②分区存放，按生产计划合理进料；</w:t>
            </w:r>
          </w:p>
          <w:p w14:paraId="575AEC33">
            <w:pPr>
              <w:pStyle w:val="41"/>
              <w:keepNext w:val="0"/>
              <w:keepLines w:val="0"/>
              <w:pageBreakBefore w:val="0"/>
              <w:kinsoku/>
              <w:overflowPunct/>
              <w:bidi w:val="0"/>
              <w:adjustRightInd/>
              <w:snapToGrid/>
              <w:spacing w:line="360" w:lineRule="auto"/>
              <w:ind w:left="0" w:right="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③对各类火种、火源和有散发火花危险的机械设备、作业活动，以及可燃、易燃物品等实行严格管理，禁止人员带火种进入存储场，对存储场动火实行全过程安全监督</w:t>
            </w:r>
            <w:r>
              <w:rPr>
                <w:rFonts w:hint="default" w:ascii="Times New Roman" w:hAnsi="Times New Roman" w:cs="Times New Roman"/>
                <w:color w:val="auto"/>
                <w:spacing w:val="0"/>
                <w:w w:val="100"/>
                <w:position w:val="0"/>
                <w:sz w:val="24"/>
                <w:szCs w:val="24"/>
                <w:highlight w:val="none"/>
                <w:lang w:eastAsia="zh-CN"/>
              </w:rPr>
              <w:t>制度</w:t>
            </w:r>
            <w:r>
              <w:rPr>
                <w:rFonts w:hint="default" w:ascii="Times New Roman" w:hAnsi="Times New Roman" w:cs="Times New Roman"/>
                <w:color w:val="auto"/>
                <w:spacing w:val="0"/>
                <w:w w:val="100"/>
                <w:position w:val="0"/>
                <w:sz w:val="24"/>
                <w:szCs w:val="24"/>
                <w:highlight w:val="none"/>
              </w:rPr>
              <w:t>；</w:t>
            </w:r>
          </w:p>
          <w:p w14:paraId="4468A6B1">
            <w:pPr>
              <w:pStyle w:val="41"/>
              <w:keepNext w:val="0"/>
              <w:keepLines w:val="0"/>
              <w:pageBreakBefore w:val="0"/>
              <w:kinsoku/>
              <w:overflowPunct/>
              <w:bidi w:val="0"/>
              <w:adjustRightInd/>
              <w:snapToGrid/>
              <w:spacing w:line="360" w:lineRule="auto"/>
              <w:ind w:left="0" w:right="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④对各类安全设施、消防器材，进行定期检查，并将发现的问题责任到人落实整改；</w:t>
            </w:r>
          </w:p>
          <w:p w14:paraId="7F489263">
            <w:pPr>
              <w:pStyle w:val="41"/>
              <w:keepNext w:val="0"/>
              <w:keepLines w:val="0"/>
              <w:pageBreakBefore w:val="0"/>
              <w:kinsoku/>
              <w:overflowPunct/>
              <w:bidi w:val="0"/>
              <w:adjustRightInd/>
              <w:snapToGrid/>
              <w:spacing w:line="360" w:lineRule="auto"/>
              <w:ind w:left="0" w:right="0" w:firstLine="480" w:firstLineChars="20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⑤贮存场所，实行安全责任制。</w:t>
            </w:r>
          </w:p>
          <w:p w14:paraId="056D18A8">
            <w:pPr>
              <w:pStyle w:val="41"/>
              <w:keepNext w:val="0"/>
              <w:keepLines w:val="0"/>
              <w:pageBreakBefore w:val="0"/>
              <w:kinsoku/>
              <w:overflowPunct/>
              <w:bidi w:val="0"/>
              <w:adjustRightInd/>
              <w:snapToGrid/>
              <w:spacing w:line="360" w:lineRule="auto"/>
              <w:ind w:left="0" w:right="0" w:firstLine="480" w:firstLineChars="20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3）其他风险防范措施</w:t>
            </w:r>
          </w:p>
          <w:p w14:paraId="14E8BAB8">
            <w:pPr>
              <w:pStyle w:val="41"/>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①存储场</w:t>
            </w:r>
            <w:r>
              <w:rPr>
                <w:rFonts w:hint="default" w:ascii="Times New Roman" w:hAnsi="Times New Roman" w:cs="Times New Roman"/>
                <w:color w:val="auto"/>
                <w:spacing w:val="0"/>
                <w:w w:val="100"/>
                <w:position w:val="0"/>
                <w:sz w:val="24"/>
                <w:szCs w:val="24"/>
                <w:highlight w:val="none"/>
                <w:lang w:eastAsia="zh-CN"/>
              </w:rPr>
              <w:t>、</w:t>
            </w:r>
            <w:r>
              <w:rPr>
                <w:rFonts w:hint="default" w:ascii="Times New Roman" w:hAnsi="Times New Roman" w:cs="Times New Roman"/>
                <w:color w:val="auto"/>
                <w:spacing w:val="0"/>
                <w:w w:val="100"/>
                <w:position w:val="0"/>
                <w:sz w:val="24"/>
                <w:szCs w:val="24"/>
                <w:highlight w:val="none"/>
                <w:lang w:val="en-US" w:eastAsia="zh-CN"/>
              </w:rPr>
              <w:t>危废间</w:t>
            </w:r>
            <w:r>
              <w:rPr>
                <w:rFonts w:hint="default" w:ascii="Times New Roman" w:hAnsi="Times New Roman" w:cs="Times New Roman"/>
                <w:color w:val="auto"/>
                <w:spacing w:val="0"/>
                <w:w w:val="100"/>
                <w:position w:val="0"/>
                <w:sz w:val="24"/>
                <w:szCs w:val="24"/>
                <w:highlight w:val="none"/>
              </w:rPr>
              <w:t>内不得设置移动照明、配电线路与货垛之间应按规范的要求保持足够的防火间距，不得在堆垛上方架设临时线路，不得设置移动照明和配电板等。对生产区和仓储区及其他需要配置的地方，安装事故应急照明和疏散指示标志。</w:t>
            </w:r>
          </w:p>
          <w:p w14:paraId="725BF1A3">
            <w:pPr>
              <w:pStyle w:val="41"/>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lang w:val="en-US" w:eastAsia="zh-CN"/>
              </w:rPr>
              <w:t>②</w:t>
            </w:r>
            <w:r>
              <w:rPr>
                <w:rFonts w:hint="default" w:ascii="Times New Roman" w:hAnsi="Times New Roman" w:cs="Times New Roman"/>
                <w:color w:val="auto"/>
                <w:spacing w:val="0"/>
                <w:w w:val="100"/>
                <w:position w:val="0"/>
                <w:sz w:val="24"/>
                <w:szCs w:val="24"/>
                <w:highlight w:val="none"/>
              </w:rPr>
              <w:t>加强消防设施的维护与保养使其保持在良好的性能状态，减少机械伤害的发生。</w:t>
            </w:r>
          </w:p>
          <w:p w14:paraId="674C3E23">
            <w:pPr>
              <w:pStyle w:val="41"/>
              <w:keepNext w:val="0"/>
              <w:keepLines w:val="0"/>
              <w:pageBreakBefore w:val="0"/>
              <w:widowControl w:val="0"/>
              <w:kinsoku/>
              <w:wordWrap/>
              <w:overflowPunct/>
              <w:topLinePunct w:val="0"/>
              <w:autoSpaceDE/>
              <w:autoSpaceDN/>
              <w:bidi w:val="0"/>
              <w:adjustRightInd/>
              <w:snapToGrid/>
              <w:spacing w:line="360" w:lineRule="auto"/>
              <w:ind w:left="0" w:leftChars="0" w:right="0" w:firstLine="480" w:firstLineChars="200"/>
              <w:textAlignment w:val="auto"/>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③加强安全教育，强化安全意识，具备相应的安全知识，原料区域安全管理人员必须增强安全意识和</w:t>
            </w:r>
            <w:r>
              <w:rPr>
                <w:rFonts w:hint="default" w:ascii="Times New Roman" w:hAnsi="Times New Roman" w:cs="Times New Roman"/>
                <w:color w:val="auto"/>
                <w:spacing w:val="0"/>
                <w:w w:val="100"/>
                <w:position w:val="0"/>
                <w:sz w:val="24"/>
                <w:szCs w:val="24"/>
                <w:highlight w:val="none"/>
                <w:lang w:eastAsia="zh-CN"/>
              </w:rPr>
              <w:t>法治观念</w:t>
            </w:r>
            <w:r>
              <w:rPr>
                <w:rFonts w:hint="default" w:ascii="Times New Roman" w:hAnsi="Times New Roman" w:cs="Times New Roman"/>
                <w:color w:val="auto"/>
                <w:spacing w:val="0"/>
                <w:w w:val="100"/>
                <w:position w:val="0"/>
                <w:sz w:val="24"/>
                <w:szCs w:val="24"/>
                <w:highlight w:val="none"/>
              </w:rPr>
              <w:t>，掌握安全卫生基本知识，具有一定的安全管理和决策能力。</w:t>
            </w:r>
          </w:p>
          <w:p w14:paraId="73AA8ACD">
            <w:pPr>
              <w:pStyle w:val="41"/>
              <w:keepNext w:val="0"/>
              <w:keepLines w:val="0"/>
              <w:pageBreakBefore w:val="0"/>
              <w:kinsoku/>
              <w:overflowPunct/>
              <w:bidi w:val="0"/>
              <w:adjustRightInd/>
              <w:snapToGrid/>
              <w:spacing w:line="360" w:lineRule="auto"/>
              <w:ind w:left="0" w:right="0" w:firstLine="480" w:firstLineChars="200"/>
              <w:rPr>
                <w:rFonts w:hint="default" w:ascii="Times New Roman" w:hAnsi="Times New Roman" w:cs="Times New Roman"/>
                <w:color w:val="auto"/>
                <w:spacing w:val="0"/>
                <w:w w:val="100"/>
                <w:position w:val="0"/>
                <w:sz w:val="24"/>
                <w:szCs w:val="24"/>
                <w:highlight w:val="none"/>
              </w:rPr>
            </w:pPr>
            <w:r>
              <w:rPr>
                <w:rFonts w:hint="default" w:ascii="Times New Roman" w:hAnsi="Times New Roman" w:cs="Times New Roman"/>
                <w:color w:val="auto"/>
                <w:spacing w:val="0"/>
                <w:w w:val="100"/>
                <w:position w:val="0"/>
                <w:sz w:val="24"/>
                <w:szCs w:val="24"/>
                <w:highlight w:val="none"/>
              </w:rPr>
              <w:t>④要落实消防安全责任制，严格各项规章制度。原料区的各项消防安全规章制度不能光挂在墙上，关键要落到实处，加强违规违章操作人员的管理和查处，要经常进行消防安全教育，实行车辆进出的登记查问制度、火种管理制度、动用明火制度、货物进出仓库的检查制度、货物堆放制度、巡查制度。</w:t>
            </w:r>
          </w:p>
          <w:p w14:paraId="28F4171F">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6.6</w:t>
            </w:r>
            <w:r>
              <w:rPr>
                <w:rFonts w:hint="default" w:ascii="Times New Roman" w:hAnsi="Times New Roman" w:eastAsia="宋体" w:cs="Times New Roman"/>
                <w:b/>
                <w:bCs/>
                <w:color w:val="auto"/>
                <w:spacing w:val="-2"/>
                <w:sz w:val="24"/>
                <w:szCs w:val="24"/>
                <w:highlight w:val="none"/>
              </w:rPr>
              <w:t>应急预案</w:t>
            </w:r>
          </w:p>
          <w:p w14:paraId="5EC38356">
            <w:pPr>
              <w:keepNext w:val="0"/>
              <w:keepLines w:val="0"/>
              <w:pageBreakBefore w:val="0"/>
              <w:widowControl/>
              <w:kinsoku w:val="0"/>
              <w:wordWrap/>
              <w:overflowPunct/>
              <w:topLinePunct w:val="0"/>
              <w:autoSpaceDE w:val="0"/>
              <w:autoSpaceDN w:val="0"/>
              <w:bidi w:val="0"/>
              <w:snapToGrid w:val="0"/>
              <w:spacing w:line="360" w:lineRule="auto"/>
              <w:ind w:left="0" w:right="0" w:firstLine="452"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7"/>
                <w:sz w:val="24"/>
                <w:szCs w:val="24"/>
                <w:highlight w:val="none"/>
              </w:rPr>
              <w:t>建设单位应按照《企业事业单位突发环境事件应急预案备案管理办法（试</w:t>
            </w:r>
            <w:r>
              <w:rPr>
                <w:rFonts w:hint="default" w:ascii="Times New Roman" w:hAnsi="Times New Roman" w:eastAsia="宋体" w:cs="Times New Roman"/>
                <w:color w:val="auto"/>
                <w:spacing w:val="-1"/>
                <w:sz w:val="24"/>
                <w:szCs w:val="24"/>
                <w:highlight w:val="none"/>
              </w:rPr>
              <w:t>行）》（新环发〔</w:t>
            </w:r>
            <w:r>
              <w:rPr>
                <w:rFonts w:hint="default" w:ascii="Times New Roman" w:hAnsi="Times New Roman" w:eastAsia="Times New Roman" w:cs="Times New Roman"/>
                <w:color w:val="auto"/>
                <w:spacing w:val="-1"/>
                <w:sz w:val="24"/>
                <w:szCs w:val="24"/>
                <w:highlight w:val="none"/>
              </w:rPr>
              <w:t>2015</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4</w:t>
            </w:r>
            <w:r>
              <w:rPr>
                <w:rFonts w:hint="default" w:ascii="Times New Roman" w:hAnsi="Times New Roman" w:eastAsia="宋体" w:cs="Times New Roman"/>
                <w:color w:val="auto"/>
                <w:spacing w:val="-1"/>
                <w:sz w:val="24"/>
                <w:szCs w:val="24"/>
                <w:highlight w:val="none"/>
              </w:rPr>
              <w:t>号）的要求建立环境风险事故应急预案，应急预</w:t>
            </w:r>
            <w:r>
              <w:rPr>
                <w:rFonts w:hint="default" w:ascii="Times New Roman" w:hAnsi="Times New Roman" w:eastAsia="宋体" w:cs="Times New Roman"/>
                <w:color w:val="auto"/>
                <w:spacing w:val="-3"/>
                <w:sz w:val="24"/>
                <w:szCs w:val="24"/>
                <w:highlight w:val="none"/>
              </w:rPr>
              <w:t>案所要求的基本内容可参照表</w:t>
            </w:r>
            <w:r>
              <w:rPr>
                <w:rFonts w:hint="default" w:ascii="Times New Roman" w:hAnsi="Times New Roman" w:eastAsia="Times New Roman" w:cs="Times New Roman"/>
                <w:color w:val="auto"/>
                <w:spacing w:val="-3"/>
                <w:sz w:val="24"/>
                <w:szCs w:val="24"/>
                <w:highlight w:val="none"/>
              </w:rPr>
              <w:t>4-1</w:t>
            </w:r>
            <w:r>
              <w:rPr>
                <w:rFonts w:hint="default" w:ascii="Times New Roman" w:hAnsi="Times New Roman" w:eastAsia="宋体" w:cs="Times New Roman"/>
                <w:color w:val="auto"/>
                <w:spacing w:val="-3"/>
                <w:sz w:val="24"/>
                <w:szCs w:val="24"/>
                <w:highlight w:val="none"/>
                <w:lang w:val="en-US" w:eastAsia="zh-CN"/>
              </w:rPr>
              <w:t>3</w:t>
            </w:r>
            <w:r>
              <w:rPr>
                <w:rFonts w:hint="default" w:ascii="Times New Roman" w:hAnsi="Times New Roman" w:eastAsia="宋体" w:cs="Times New Roman"/>
                <w:color w:val="auto"/>
                <w:spacing w:val="-3"/>
                <w:sz w:val="24"/>
                <w:szCs w:val="24"/>
                <w:highlight w:val="none"/>
              </w:rPr>
              <w:t>中的相关内容。</w:t>
            </w:r>
          </w:p>
          <w:p w14:paraId="15F19191">
            <w:pPr>
              <w:keepNext w:val="0"/>
              <w:keepLines w:val="0"/>
              <w:pageBreakBefore w:val="0"/>
              <w:widowControl/>
              <w:kinsoku w:val="0"/>
              <w:wordWrap/>
              <w:overflowPunct/>
              <w:topLinePunct w:val="0"/>
              <w:autoSpaceDE w:val="0"/>
              <w:autoSpaceDN w:val="0"/>
              <w:bidi w:val="0"/>
              <w:snapToGrid w:val="0"/>
              <w:spacing w:line="240" w:lineRule="auto"/>
              <w:ind w:left="0" w:right="0" w:firstLine="0" w:firstLineChars="0"/>
              <w:jc w:val="center"/>
              <w:textAlignment w:val="baseline"/>
              <w:rPr>
                <w:rFonts w:hint="default" w:ascii="Times New Roman" w:hAnsi="Times New Roman" w:eastAsia="宋体" w:cs="Times New Roman"/>
                <w:b/>
                <w:bCs/>
                <w:color w:val="auto"/>
                <w:spacing w:val="4"/>
                <w:sz w:val="21"/>
                <w:szCs w:val="21"/>
                <w:highlight w:val="none"/>
              </w:rPr>
            </w:pPr>
            <w:r>
              <w:rPr>
                <w:rFonts w:hint="default" w:ascii="Times New Roman" w:hAnsi="Times New Roman" w:eastAsia="宋体" w:cs="Times New Roman"/>
                <w:b/>
                <w:bCs/>
                <w:color w:val="auto"/>
                <w:spacing w:val="5"/>
                <w:sz w:val="21"/>
                <w:szCs w:val="21"/>
                <w:highlight w:val="none"/>
              </w:rPr>
              <w:t>表</w:t>
            </w:r>
            <w:r>
              <w:rPr>
                <w:rFonts w:hint="default" w:ascii="Times New Roman" w:hAnsi="Times New Roman" w:eastAsia="Times New Roman" w:cs="Times New Roman"/>
                <w:b/>
                <w:bCs/>
                <w:color w:val="auto"/>
                <w:spacing w:val="5"/>
                <w:sz w:val="21"/>
                <w:szCs w:val="21"/>
                <w:highlight w:val="none"/>
              </w:rPr>
              <w:t>4-</w:t>
            </w:r>
            <w:r>
              <w:rPr>
                <w:rFonts w:hint="eastAsia" w:ascii="Times New Roman" w:hAnsi="Times New Roman" w:eastAsia="宋体" w:cs="Times New Roman"/>
                <w:b/>
                <w:bCs/>
                <w:color w:val="auto"/>
                <w:spacing w:val="5"/>
                <w:sz w:val="21"/>
                <w:szCs w:val="21"/>
                <w:highlight w:val="none"/>
                <w:lang w:val="en-US" w:eastAsia="zh-CN"/>
              </w:rPr>
              <w:t xml:space="preserve"> 13   </w:t>
            </w:r>
            <w:r>
              <w:rPr>
                <w:rFonts w:hint="default" w:ascii="Times New Roman" w:hAnsi="Times New Roman" w:eastAsia="宋体" w:cs="Times New Roman"/>
                <w:b/>
                <w:bCs/>
                <w:color w:val="auto"/>
                <w:spacing w:val="5"/>
                <w:sz w:val="21"/>
                <w:szCs w:val="21"/>
                <w:highlight w:val="none"/>
              </w:rPr>
              <w:t>应急预案内容</w:t>
            </w:r>
            <w:r>
              <w:rPr>
                <w:rFonts w:hint="default" w:ascii="Times New Roman" w:hAnsi="Times New Roman" w:eastAsia="宋体" w:cs="Times New Roman"/>
                <w:b/>
                <w:bCs/>
                <w:color w:val="auto"/>
                <w:spacing w:val="4"/>
                <w:sz w:val="21"/>
                <w:szCs w:val="21"/>
                <w:highlight w:val="none"/>
              </w:rPr>
              <w:t>一览表</w:t>
            </w:r>
          </w:p>
          <w:tbl>
            <w:tblPr>
              <w:tblStyle w:val="54"/>
              <w:tblW w:w="494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83"/>
              <w:gridCol w:w="1982"/>
              <w:gridCol w:w="4717"/>
            </w:tblGrid>
            <w:tr w14:paraId="0D95A0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bottom w:val="single" w:color="000000" w:sz="12" w:space="0"/>
                  </w:tcBorders>
                  <w:vAlign w:val="center"/>
                </w:tcPr>
                <w:p w14:paraId="790875EA">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4"/>
                      <w:sz w:val="21"/>
                      <w:szCs w:val="21"/>
                      <w:highlight w:val="none"/>
                    </w:rPr>
                    <w:t>序号</w:t>
                  </w:r>
                </w:p>
              </w:tc>
              <w:tc>
                <w:tcPr>
                  <w:tcW w:w="1982" w:type="dxa"/>
                  <w:tcBorders>
                    <w:bottom w:val="single" w:color="000000" w:sz="12" w:space="0"/>
                  </w:tcBorders>
                  <w:vAlign w:val="center"/>
                </w:tcPr>
                <w:p w14:paraId="409C3568">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2"/>
                      <w:sz w:val="21"/>
                      <w:szCs w:val="21"/>
                      <w:highlight w:val="none"/>
                    </w:rPr>
                    <w:t>项目</w:t>
                  </w:r>
                </w:p>
              </w:tc>
              <w:tc>
                <w:tcPr>
                  <w:tcW w:w="4718" w:type="dxa"/>
                  <w:tcBorders>
                    <w:bottom w:val="single" w:color="000000" w:sz="12" w:space="0"/>
                  </w:tcBorders>
                  <w:vAlign w:val="center"/>
                </w:tcPr>
                <w:p w14:paraId="27B02D2B">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1"/>
                      <w:sz w:val="21"/>
                      <w:szCs w:val="21"/>
                      <w:highlight w:val="none"/>
                    </w:rPr>
                    <w:t>内容及要求</w:t>
                  </w:r>
                </w:p>
              </w:tc>
            </w:tr>
            <w:tr w14:paraId="3805BE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op w:val="single" w:color="000000" w:sz="12" w:space="0"/>
                    <w:tl2br w:val="nil"/>
                    <w:tr2bl w:val="nil"/>
                  </w:tcBorders>
                  <w:vAlign w:val="center"/>
                </w:tcPr>
                <w:p w14:paraId="0B5FD25D">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p>
              </w:tc>
              <w:tc>
                <w:tcPr>
                  <w:tcW w:w="1982" w:type="dxa"/>
                  <w:tcBorders>
                    <w:top w:val="single" w:color="000000" w:sz="12" w:space="0"/>
                    <w:tl2br w:val="nil"/>
                    <w:tr2bl w:val="nil"/>
                  </w:tcBorders>
                  <w:vAlign w:val="center"/>
                </w:tcPr>
                <w:p w14:paraId="019B4048">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应急计划区</w:t>
                  </w:r>
                </w:p>
              </w:tc>
              <w:tc>
                <w:tcPr>
                  <w:tcW w:w="4718" w:type="dxa"/>
                  <w:tcBorders>
                    <w:top w:val="single" w:color="000000" w:sz="12" w:space="0"/>
                    <w:tl2br w:val="nil"/>
                    <w:tr2bl w:val="nil"/>
                  </w:tcBorders>
                  <w:vAlign w:val="center"/>
                </w:tcPr>
                <w:p w14:paraId="7FAE534D">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主要危险源；相关环保设施等；环境保护目标</w:t>
                  </w:r>
                </w:p>
              </w:tc>
            </w:tr>
            <w:tr w14:paraId="5F75F6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l2br w:val="nil"/>
                    <w:tr2bl w:val="nil"/>
                  </w:tcBorders>
                  <w:vAlign w:val="center"/>
                </w:tcPr>
                <w:p w14:paraId="7473884A">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2</w:t>
                  </w:r>
                </w:p>
              </w:tc>
              <w:tc>
                <w:tcPr>
                  <w:tcW w:w="1982" w:type="dxa"/>
                  <w:tcBorders>
                    <w:tl2br w:val="nil"/>
                    <w:tr2bl w:val="nil"/>
                  </w:tcBorders>
                  <w:vAlign w:val="center"/>
                </w:tcPr>
                <w:p w14:paraId="79FA6A99">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应急组织机构、人员</w:t>
                  </w:r>
                </w:p>
              </w:tc>
              <w:tc>
                <w:tcPr>
                  <w:tcW w:w="4718" w:type="dxa"/>
                  <w:tcBorders>
                    <w:tl2br w:val="nil"/>
                    <w:tr2bl w:val="nil"/>
                  </w:tcBorders>
                  <w:vAlign w:val="center"/>
                </w:tcPr>
                <w:p w14:paraId="25CD3E16">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公司设置应急组织机构，经理为应急计划、协调第一人，应急人员必须为培训上岗熟练工；区域应急组织结构由当地政府、相关行业专家、卫生安全相关单位组成，并由当地政府进行统一调度</w:t>
                  </w:r>
                </w:p>
              </w:tc>
            </w:tr>
            <w:tr w14:paraId="34AB3C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l2br w:val="nil"/>
                    <w:tr2bl w:val="nil"/>
                  </w:tcBorders>
                  <w:vAlign w:val="center"/>
                </w:tcPr>
                <w:p w14:paraId="64F939D4">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3</w:t>
                  </w:r>
                </w:p>
              </w:tc>
              <w:tc>
                <w:tcPr>
                  <w:tcW w:w="1982" w:type="dxa"/>
                  <w:tcBorders>
                    <w:tl2br w:val="nil"/>
                    <w:tr2bl w:val="nil"/>
                  </w:tcBorders>
                  <w:vAlign w:val="center"/>
                </w:tcPr>
                <w:p w14:paraId="2C749DDD">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预案分级响应条件</w:t>
                  </w:r>
                </w:p>
              </w:tc>
              <w:tc>
                <w:tcPr>
                  <w:tcW w:w="4718" w:type="dxa"/>
                  <w:tcBorders>
                    <w:tl2br w:val="nil"/>
                    <w:tr2bl w:val="nil"/>
                  </w:tcBorders>
                  <w:vAlign w:val="center"/>
                </w:tcPr>
                <w:p w14:paraId="5B9D4837">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根据事故的严重程度制定相应级别的应急预案，以及适合相应情况的处理措施</w:t>
                  </w:r>
                </w:p>
              </w:tc>
            </w:tr>
            <w:tr w14:paraId="36CEB6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l2br w:val="nil"/>
                    <w:tr2bl w:val="nil"/>
                  </w:tcBorders>
                  <w:vAlign w:val="center"/>
                </w:tcPr>
                <w:p w14:paraId="37E1E61C">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
                      <w:sz w:val="21"/>
                      <w:szCs w:val="21"/>
                      <w:highlight w:val="none"/>
                    </w:rPr>
                    <w:t>4</w:t>
                  </w:r>
                </w:p>
              </w:tc>
              <w:tc>
                <w:tcPr>
                  <w:tcW w:w="1982" w:type="dxa"/>
                  <w:tcBorders>
                    <w:tl2br w:val="nil"/>
                    <w:tr2bl w:val="nil"/>
                  </w:tcBorders>
                  <w:vAlign w:val="center"/>
                </w:tcPr>
                <w:p w14:paraId="5C1E9DB6">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应急救援保障</w:t>
                  </w:r>
                </w:p>
              </w:tc>
              <w:tc>
                <w:tcPr>
                  <w:tcW w:w="4718" w:type="dxa"/>
                  <w:tcBorders>
                    <w:tl2br w:val="nil"/>
                    <w:tr2bl w:val="nil"/>
                  </w:tcBorders>
                  <w:vAlign w:val="center"/>
                </w:tcPr>
                <w:p w14:paraId="279D85BB">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应急设施，设备与器材</w:t>
                  </w:r>
                </w:p>
              </w:tc>
            </w:tr>
            <w:tr w14:paraId="5612BE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l2br w:val="nil"/>
                    <w:tr2bl w:val="nil"/>
                  </w:tcBorders>
                  <w:vAlign w:val="center"/>
                </w:tcPr>
                <w:p w14:paraId="6E234C79">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5</w:t>
                  </w:r>
                </w:p>
              </w:tc>
              <w:tc>
                <w:tcPr>
                  <w:tcW w:w="1982" w:type="dxa"/>
                  <w:tcBorders>
                    <w:tl2br w:val="nil"/>
                    <w:tr2bl w:val="nil"/>
                  </w:tcBorders>
                  <w:vAlign w:val="center"/>
                </w:tcPr>
                <w:p w14:paraId="30725B6A">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报警、通讯联络方式</w:t>
                  </w:r>
                </w:p>
              </w:tc>
              <w:tc>
                <w:tcPr>
                  <w:tcW w:w="4718" w:type="dxa"/>
                  <w:tcBorders>
                    <w:tl2br w:val="nil"/>
                    <w:tr2bl w:val="nil"/>
                  </w:tcBorders>
                  <w:vAlign w:val="center"/>
                </w:tcPr>
                <w:p w14:paraId="6C8358F5">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逐一细化应急状态下各主要负责部门的报警通讯方</w:t>
                  </w:r>
                  <w:r>
                    <w:rPr>
                      <w:rFonts w:hint="default" w:ascii="Times New Roman" w:hAnsi="Times New Roman" w:eastAsia="宋体" w:cs="Times New Roman"/>
                      <w:color w:val="auto"/>
                      <w:spacing w:val="8"/>
                      <w:sz w:val="21"/>
                      <w:szCs w:val="21"/>
                      <w:highlight w:val="none"/>
                    </w:rPr>
                    <w:t>式、地点、电话号码以及相关配套的交通保障、管制、</w:t>
                  </w:r>
                  <w:r>
                    <w:rPr>
                      <w:rFonts w:hint="default" w:ascii="Times New Roman" w:hAnsi="Times New Roman" w:eastAsia="宋体" w:cs="Times New Roman"/>
                      <w:color w:val="auto"/>
                      <w:spacing w:val="9"/>
                      <w:sz w:val="21"/>
                      <w:szCs w:val="21"/>
                      <w:highlight w:val="none"/>
                    </w:rPr>
                    <w:t>消防联络方法，涉及跨区域的还应与相关区域环境保护部门和上级环保部门保持联系，及时通报事故处理情况，以获得区域性支援</w:t>
                  </w:r>
                </w:p>
              </w:tc>
            </w:tr>
            <w:tr w14:paraId="2DC3E6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l2br w:val="nil"/>
                    <w:tr2bl w:val="nil"/>
                  </w:tcBorders>
                  <w:vAlign w:val="center"/>
                </w:tcPr>
                <w:p w14:paraId="3C15F942">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6</w:t>
                  </w:r>
                </w:p>
              </w:tc>
              <w:tc>
                <w:tcPr>
                  <w:tcW w:w="1982" w:type="dxa"/>
                  <w:tcBorders>
                    <w:tl2br w:val="nil"/>
                    <w:tr2bl w:val="nil"/>
                  </w:tcBorders>
                  <w:vAlign w:val="center"/>
                </w:tcPr>
                <w:p w14:paraId="649FA39D">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应急环境监测、抢险、</w:t>
                  </w:r>
                  <w:r>
                    <w:rPr>
                      <w:rFonts w:hint="default" w:ascii="Times New Roman" w:hAnsi="Times New Roman" w:eastAsia="宋体" w:cs="Times New Roman"/>
                      <w:color w:val="auto"/>
                      <w:spacing w:val="8"/>
                      <w:sz w:val="21"/>
                      <w:szCs w:val="21"/>
                      <w:highlight w:val="none"/>
                    </w:rPr>
                    <w:t>救援及控制措施</w:t>
                  </w:r>
                </w:p>
              </w:tc>
              <w:tc>
                <w:tcPr>
                  <w:tcW w:w="4718" w:type="dxa"/>
                  <w:tcBorders>
                    <w:tl2br w:val="nil"/>
                    <w:tr2bl w:val="nil"/>
                  </w:tcBorders>
                  <w:vAlign w:val="center"/>
                </w:tcPr>
                <w:p w14:paraId="3F5FA9EB">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由专业队伍负责对事故现场进行侦查监测，对事故性</w:t>
                  </w:r>
                  <w:r>
                    <w:rPr>
                      <w:rFonts w:hint="default" w:ascii="Times New Roman" w:hAnsi="Times New Roman" w:eastAsia="宋体" w:cs="Times New Roman"/>
                      <w:color w:val="auto"/>
                      <w:spacing w:val="9"/>
                      <w:sz w:val="21"/>
                      <w:szCs w:val="21"/>
                      <w:highlight w:val="none"/>
                    </w:rPr>
                    <w:t>质、参数与后果进行评估，为指挥部门提供决策依据</w:t>
                  </w:r>
                </w:p>
              </w:tc>
            </w:tr>
            <w:tr w14:paraId="5347EA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l2br w:val="nil"/>
                    <w:tr2bl w:val="nil"/>
                  </w:tcBorders>
                  <w:vAlign w:val="center"/>
                </w:tcPr>
                <w:p w14:paraId="52E34A7E">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7</w:t>
                  </w:r>
                </w:p>
              </w:tc>
              <w:tc>
                <w:tcPr>
                  <w:tcW w:w="1982" w:type="dxa"/>
                  <w:tcBorders>
                    <w:tl2br w:val="nil"/>
                    <w:tr2bl w:val="nil"/>
                  </w:tcBorders>
                  <w:vAlign w:val="center"/>
                </w:tcPr>
                <w:p w14:paraId="780B91F8">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应急检测、防护措施、</w:t>
                  </w:r>
                  <w:r>
                    <w:rPr>
                      <w:rFonts w:hint="default" w:ascii="Times New Roman" w:hAnsi="Times New Roman" w:eastAsia="宋体" w:cs="Times New Roman"/>
                      <w:color w:val="auto"/>
                      <w:spacing w:val="8"/>
                      <w:sz w:val="21"/>
                      <w:szCs w:val="21"/>
                      <w:highlight w:val="none"/>
                    </w:rPr>
                    <w:t>清楚</w:t>
                  </w:r>
                  <w:r>
                    <w:rPr>
                      <w:rFonts w:hint="default" w:ascii="Times New Roman" w:hAnsi="Times New Roman" w:cs="Times New Roman"/>
                      <w:color w:val="auto"/>
                      <w:highlight w:val="none"/>
                      <w:lang w:val="en-US" w:eastAsia="zh-CN"/>
                    </w:rPr>
                    <w:t>应急</w:t>
                  </w:r>
                  <w:r>
                    <w:rPr>
                      <w:rFonts w:hint="default" w:ascii="Times New Roman" w:hAnsi="Times New Roman" w:eastAsia="宋体" w:cs="Times New Roman"/>
                      <w:color w:val="auto"/>
                      <w:spacing w:val="8"/>
                      <w:sz w:val="21"/>
                      <w:szCs w:val="21"/>
                      <w:highlight w:val="none"/>
                    </w:rPr>
                    <w:t>措施和</w:t>
                  </w:r>
                  <w:r>
                    <w:rPr>
                      <w:rFonts w:hint="default" w:ascii="Times New Roman" w:hAnsi="Times New Roman" w:cs="Times New Roman"/>
                      <w:color w:val="auto"/>
                      <w:spacing w:val="8"/>
                      <w:sz w:val="21"/>
                      <w:szCs w:val="21"/>
                      <w:highlight w:val="none"/>
                      <w:lang w:val="en-US" w:eastAsia="zh-CN"/>
                    </w:rPr>
                    <w:t>消防</w:t>
                  </w:r>
                  <w:r>
                    <w:rPr>
                      <w:rFonts w:hint="default" w:ascii="Times New Roman" w:hAnsi="Times New Roman" w:eastAsia="宋体" w:cs="Times New Roman"/>
                      <w:color w:val="auto"/>
                      <w:spacing w:val="8"/>
                      <w:sz w:val="21"/>
                      <w:szCs w:val="21"/>
                      <w:highlight w:val="none"/>
                    </w:rPr>
                    <w:t>器材</w:t>
                  </w:r>
                </w:p>
              </w:tc>
              <w:tc>
                <w:tcPr>
                  <w:tcW w:w="4718" w:type="dxa"/>
                  <w:tcBorders>
                    <w:tl2br w:val="nil"/>
                    <w:tr2bl w:val="nil"/>
                  </w:tcBorders>
                  <w:vAlign w:val="center"/>
                </w:tcPr>
                <w:p w14:paraId="27C806B7">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事故现场、临近区域、控制防火措施，控制和</w:t>
                  </w:r>
                  <w:r>
                    <w:rPr>
                      <w:rFonts w:hint="default" w:ascii="Times New Roman" w:hAnsi="Times New Roman" w:cs="Times New Roman"/>
                      <w:color w:val="auto"/>
                      <w:spacing w:val="9"/>
                      <w:sz w:val="21"/>
                      <w:szCs w:val="21"/>
                      <w:highlight w:val="none"/>
                      <w:lang w:eastAsia="zh-CN"/>
                    </w:rPr>
                    <w:t>清除</w:t>
                  </w:r>
                  <w:r>
                    <w:rPr>
                      <w:rFonts w:hint="default" w:ascii="Times New Roman" w:hAnsi="Times New Roman" w:eastAsia="宋体" w:cs="Times New Roman"/>
                      <w:color w:val="auto"/>
                      <w:spacing w:val="9"/>
                      <w:sz w:val="21"/>
                      <w:szCs w:val="21"/>
                      <w:highlight w:val="none"/>
                    </w:rPr>
                    <w:t>污</w:t>
                  </w:r>
                  <w:r>
                    <w:rPr>
                      <w:rFonts w:hint="default" w:ascii="Times New Roman" w:hAnsi="Times New Roman" w:eastAsia="宋体" w:cs="Times New Roman"/>
                      <w:color w:val="auto"/>
                      <w:spacing w:val="8"/>
                      <w:sz w:val="21"/>
                      <w:szCs w:val="21"/>
                      <w:highlight w:val="none"/>
                    </w:rPr>
                    <w:t>染措施及相应设备</w:t>
                  </w:r>
                </w:p>
              </w:tc>
            </w:tr>
            <w:tr w14:paraId="1A1E83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l2br w:val="nil"/>
                    <w:tr2bl w:val="nil"/>
                  </w:tcBorders>
                  <w:vAlign w:val="center"/>
                </w:tcPr>
                <w:p w14:paraId="1A41EB68">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8</w:t>
                  </w:r>
                </w:p>
              </w:tc>
              <w:tc>
                <w:tcPr>
                  <w:tcW w:w="1982" w:type="dxa"/>
                  <w:tcBorders>
                    <w:tl2br w:val="nil"/>
                    <w:tr2bl w:val="nil"/>
                  </w:tcBorders>
                  <w:vAlign w:val="center"/>
                </w:tcPr>
                <w:p w14:paraId="252F11B0">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1"/>
                      <w:sz w:val="21"/>
                      <w:szCs w:val="21"/>
                      <w:highlight w:val="none"/>
                    </w:rPr>
                    <w:t>人员紧急撤离、疏散，</w:t>
                  </w:r>
                  <w:r>
                    <w:rPr>
                      <w:rFonts w:hint="default" w:ascii="Times New Roman" w:hAnsi="Times New Roman" w:eastAsia="宋体" w:cs="Times New Roman"/>
                      <w:color w:val="auto"/>
                      <w:spacing w:val="8"/>
                      <w:sz w:val="21"/>
                      <w:szCs w:val="21"/>
                      <w:highlight w:val="none"/>
                    </w:rPr>
                    <w:t>应急剂量控制、撤离</w:t>
                  </w:r>
                  <w:r>
                    <w:rPr>
                      <w:rFonts w:hint="default" w:ascii="Times New Roman" w:hAnsi="Times New Roman" w:eastAsia="宋体" w:cs="Times New Roman"/>
                      <w:color w:val="auto"/>
                      <w:spacing w:val="6"/>
                      <w:sz w:val="21"/>
                      <w:szCs w:val="21"/>
                      <w:highlight w:val="none"/>
                    </w:rPr>
                    <w:t>组织计划</w:t>
                  </w:r>
                </w:p>
              </w:tc>
              <w:tc>
                <w:tcPr>
                  <w:tcW w:w="4718" w:type="dxa"/>
                  <w:tcBorders>
                    <w:tl2br w:val="nil"/>
                    <w:tr2bl w:val="nil"/>
                  </w:tcBorders>
                  <w:vAlign w:val="center"/>
                </w:tcPr>
                <w:p w14:paraId="414DEFD8">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事故现场、厂区</w:t>
                  </w:r>
                  <w:r>
                    <w:rPr>
                      <w:rFonts w:hint="default" w:ascii="Times New Roman" w:hAnsi="Times New Roman" w:cs="Times New Roman"/>
                      <w:color w:val="auto"/>
                      <w:spacing w:val="9"/>
                      <w:sz w:val="21"/>
                      <w:szCs w:val="21"/>
                      <w:highlight w:val="none"/>
                      <w:lang w:eastAsia="zh-CN"/>
                    </w:rPr>
                    <w:t>邻近</w:t>
                  </w:r>
                  <w:r>
                    <w:rPr>
                      <w:rFonts w:hint="default" w:ascii="Times New Roman" w:hAnsi="Times New Roman" w:eastAsia="宋体" w:cs="Times New Roman"/>
                      <w:color w:val="auto"/>
                      <w:spacing w:val="9"/>
                      <w:sz w:val="21"/>
                      <w:szCs w:val="21"/>
                      <w:highlight w:val="none"/>
                    </w:rPr>
                    <w:t>区、受事故影响的区域人员及公众对毒物应急剂量控制规定，撤离组织计划及救护，</w:t>
                  </w:r>
                  <w:r>
                    <w:rPr>
                      <w:rFonts w:hint="default" w:ascii="Times New Roman" w:hAnsi="Times New Roman" w:eastAsia="宋体" w:cs="Times New Roman"/>
                      <w:color w:val="auto"/>
                      <w:spacing w:val="7"/>
                      <w:sz w:val="21"/>
                      <w:szCs w:val="21"/>
                      <w:highlight w:val="none"/>
                    </w:rPr>
                    <w:t>医疗救护与公众健康</w:t>
                  </w:r>
                </w:p>
              </w:tc>
            </w:tr>
            <w:tr w14:paraId="30D4BF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l2br w:val="nil"/>
                    <w:tr2bl w:val="nil"/>
                  </w:tcBorders>
                  <w:vAlign w:val="center"/>
                </w:tcPr>
                <w:p w14:paraId="06EFF8C6">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z w:val="21"/>
                      <w:szCs w:val="21"/>
                      <w:highlight w:val="none"/>
                    </w:rPr>
                    <w:t>9</w:t>
                  </w:r>
                </w:p>
              </w:tc>
              <w:tc>
                <w:tcPr>
                  <w:tcW w:w="1982" w:type="dxa"/>
                  <w:tcBorders>
                    <w:tl2br w:val="nil"/>
                    <w:tr2bl w:val="nil"/>
                  </w:tcBorders>
                  <w:vAlign w:val="center"/>
                </w:tcPr>
                <w:p w14:paraId="10DE0684">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事故应急救援关闭程序与恢复措施</w:t>
                  </w:r>
                </w:p>
              </w:tc>
              <w:tc>
                <w:tcPr>
                  <w:tcW w:w="4718" w:type="dxa"/>
                  <w:tcBorders>
                    <w:tl2br w:val="nil"/>
                    <w:tr2bl w:val="nil"/>
                  </w:tcBorders>
                  <w:vAlign w:val="center"/>
                </w:tcPr>
                <w:p w14:paraId="697A5F27">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制定相关应急状态终止程序，事故现场、受影响范围</w:t>
                  </w:r>
                  <w:r>
                    <w:rPr>
                      <w:rFonts w:hint="default" w:ascii="Times New Roman" w:hAnsi="Times New Roman" w:eastAsia="宋体" w:cs="Times New Roman"/>
                      <w:color w:val="auto"/>
                      <w:spacing w:val="8"/>
                      <w:sz w:val="21"/>
                      <w:szCs w:val="21"/>
                      <w:highlight w:val="none"/>
                    </w:rPr>
                    <w:t>内的善后处理、恢复措施，邻近区域解除事故警戒及</w:t>
                  </w:r>
                  <w:r>
                    <w:rPr>
                      <w:rFonts w:hint="default" w:ascii="Times New Roman" w:hAnsi="Times New Roman" w:eastAsia="宋体" w:cs="Times New Roman"/>
                      <w:color w:val="auto"/>
                      <w:spacing w:val="7"/>
                      <w:sz w:val="21"/>
                      <w:szCs w:val="21"/>
                      <w:highlight w:val="none"/>
                    </w:rPr>
                    <w:t>善后恢复措施</w:t>
                  </w:r>
                </w:p>
              </w:tc>
            </w:tr>
            <w:tr w14:paraId="67ACC7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l2br w:val="nil"/>
                    <w:tr2bl w:val="nil"/>
                  </w:tcBorders>
                  <w:vAlign w:val="center"/>
                </w:tcPr>
                <w:p w14:paraId="681F63F6">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8"/>
                      <w:sz w:val="21"/>
                      <w:szCs w:val="21"/>
                      <w:highlight w:val="none"/>
                    </w:rPr>
                    <w:t>10</w:t>
                  </w:r>
                </w:p>
              </w:tc>
              <w:tc>
                <w:tcPr>
                  <w:tcW w:w="1982" w:type="dxa"/>
                  <w:tcBorders>
                    <w:tl2br w:val="nil"/>
                    <w:tr2bl w:val="nil"/>
                  </w:tcBorders>
                  <w:vAlign w:val="center"/>
                </w:tcPr>
                <w:p w14:paraId="14907DD4">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应急培训计划</w:t>
                  </w:r>
                </w:p>
              </w:tc>
              <w:tc>
                <w:tcPr>
                  <w:tcW w:w="4718" w:type="dxa"/>
                  <w:tcBorders>
                    <w:tl2br w:val="nil"/>
                    <w:tr2bl w:val="nil"/>
                  </w:tcBorders>
                  <w:vAlign w:val="center"/>
                </w:tcPr>
                <w:p w14:paraId="4513144E">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定期安排有关人员进行培训与演练</w:t>
                  </w:r>
                </w:p>
              </w:tc>
            </w:tr>
            <w:tr w14:paraId="5CAA73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83" w:type="dxa"/>
                  <w:tcBorders>
                    <w:tl2br w:val="nil"/>
                    <w:tr2bl w:val="nil"/>
                  </w:tcBorders>
                  <w:vAlign w:val="center"/>
                </w:tcPr>
                <w:p w14:paraId="4B220CF2">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Times New Roman" w:cs="Times New Roman"/>
                      <w:color w:val="auto"/>
                      <w:spacing w:val="-10"/>
                      <w:sz w:val="21"/>
                      <w:szCs w:val="21"/>
                      <w:highlight w:val="none"/>
                    </w:rPr>
                    <w:t>11</w:t>
                  </w:r>
                </w:p>
              </w:tc>
              <w:tc>
                <w:tcPr>
                  <w:tcW w:w="1982" w:type="dxa"/>
                  <w:tcBorders>
                    <w:tl2br w:val="nil"/>
                    <w:tr2bl w:val="nil"/>
                  </w:tcBorders>
                  <w:vAlign w:val="center"/>
                </w:tcPr>
                <w:p w14:paraId="1047C7DB">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公众教育和信息</w:t>
                  </w:r>
                </w:p>
              </w:tc>
              <w:tc>
                <w:tcPr>
                  <w:tcW w:w="4718" w:type="dxa"/>
                  <w:tcBorders>
                    <w:tl2br w:val="nil"/>
                    <w:tr2bl w:val="nil"/>
                  </w:tcBorders>
                  <w:vAlign w:val="center"/>
                </w:tcPr>
                <w:p w14:paraId="6F409FA3">
                  <w:pPr>
                    <w:keepNext w:val="0"/>
                    <w:keepLines w:val="0"/>
                    <w:pageBreakBefore w:val="0"/>
                    <w:widowControl/>
                    <w:kinsoku w:val="0"/>
                    <w:wordWrap/>
                    <w:overflowPunct/>
                    <w:topLinePunct w:val="0"/>
                    <w:autoSpaceDE w:val="0"/>
                    <w:autoSpaceDN w:val="0"/>
                    <w:bidi w:val="0"/>
                    <w:adjustRightInd/>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对工厂邻近地区开展公众教育、培训和发布有关信息</w:t>
                  </w:r>
                </w:p>
              </w:tc>
            </w:tr>
          </w:tbl>
          <w:p w14:paraId="1672166A">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6.7</w:t>
            </w:r>
            <w:r>
              <w:rPr>
                <w:rFonts w:hint="default" w:ascii="Times New Roman" w:hAnsi="Times New Roman" w:eastAsia="宋体" w:cs="Times New Roman"/>
                <w:b/>
                <w:bCs/>
                <w:color w:val="auto"/>
                <w:spacing w:val="-2"/>
                <w:sz w:val="24"/>
                <w:szCs w:val="24"/>
                <w:highlight w:val="none"/>
              </w:rPr>
              <w:t>环境风险评价结论</w:t>
            </w:r>
          </w:p>
          <w:p w14:paraId="19662890">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建设单位应定期巡检生产车间，并完善和强化事故应急预案和</w:t>
            </w:r>
            <w:r>
              <w:rPr>
                <w:rFonts w:hint="default" w:ascii="Times New Roman" w:hAnsi="Times New Roman" w:eastAsia="宋体" w:cs="Times New Roman"/>
                <w:color w:val="auto"/>
                <w:sz w:val="24"/>
                <w:szCs w:val="24"/>
                <w:highlight w:val="none"/>
              </w:rPr>
              <w:t>对策。在</w:t>
            </w:r>
            <w:r>
              <w:rPr>
                <w:rFonts w:hint="default" w:ascii="Times New Roman" w:hAnsi="Times New Roman" w:eastAsia="宋体" w:cs="Times New Roman"/>
                <w:color w:val="auto"/>
                <w:spacing w:val="1"/>
                <w:sz w:val="24"/>
                <w:szCs w:val="24"/>
                <w:highlight w:val="none"/>
              </w:rPr>
              <w:t>事故发生时组织事故源危害及范围区域内人群的及时安全疏散及事故</w:t>
            </w:r>
            <w:r>
              <w:rPr>
                <w:rFonts w:hint="default" w:ascii="Times New Roman" w:hAnsi="Times New Roman" w:eastAsia="宋体" w:cs="Times New Roman"/>
                <w:color w:val="auto"/>
                <w:sz w:val="24"/>
                <w:szCs w:val="24"/>
                <w:highlight w:val="none"/>
              </w:rPr>
              <w:t>现场的</w:t>
            </w:r>
            <w:r>
              <w:rPr>
                <w:rFonts w:hint="default" w:ascii="Times New Roman" w:hAnsi="Times New Roman" w:eastAsia="宋体" w:cs="Times New Roman"/>
                <w:color w:val="auto"/>
                <w:spacing w:val="1"/>
                <w:sz w:val="24"/>
                <w:szCs w:val="24"/>
                <w:highlight w:val="none"/>
              </w:rPr>
              <w:t>善后工作，将事故影响范围和程度</w:t>
            </w:r>
            <w:r>
              <w:rPr>
                <w:rFonts w:hint="default" w:ascii="Times New Roman" w:hAnsi="Times New Roman" w:cs="Times New Roman"/>
                <w:color w:val="auto"/>
                <w:spacing w:val="1"/>
                <w:sz w:val="24"/>
                <w:szCs w:val="24"/>
                <w:highlight w:val="none"/>
                <w:lang w:val="en-US" w:eastAsia="zh-CN"/>
              </w:rPr>
              <w:t>降</w:t>
            </w:r>
            <w:r>
              <w:rPr>
                <w:rFonts w:hint="default" w:ascii="Times New Roman" w:hAnsi="Times New Roman" w:eastAsia="宋体" w:cs="Times New Roman"/>
                <w:color w:val="auto"/>
                <w:spacing w:val="1"/>
                <w:sz w:val="24"/>
                <w:szCs w:val="24"/>
                <w:highlight w:val="none"/>
              </w:rPr>
              <w:t>至最低。同时建设单位需制定环</w:t>
            </w:r>
            <w:r>
              <w:rPr>
                <w:rFonts w:hint="default" w:ascii="Times New Roman" w:hAnsi="Times New Roman" w:eastAsia="宋体" w:cs="Times New Roman"/>
                <w:color w:val="auto"/>
                <w:sz w:val="24"/>
                <w:szCs w:val="24"/>
                <w:highlight w:val="none"/>
              </w:rPr>
              <w:t>境风险</w:t>
            </w:r>
            <w:r>
              <w:rPr>
                <w:rFonts w:hint="default" w:ascii="Times New Roman" w:hAnsi="Times New Roman" w:eastAsia="宋体" w:cs="Times New Roman"/>
                <w:color w:val="auto"/>
                <w:spacing w:val="1"/>
                <w:sz w:val="24"/>
                <w:szCs w:val="24"/>
                <w:highlight w:val="none"/>
              </w:rPr>
              <w:t>应急预案并到当地生态环境部门备案，并按照要求执行相关规定。在</w:t>
            </w:r>
            <w:r>
              <w:rPr>
                <w:rFonts w:hint="default" w:ascii="Times New Roman" w:hAnsi="Times New Roman" w:eastAsia="宋体" w:cs="Times New Roman"/>
                <w:color w:val="auto"/>
                <w:sz w:val="24"/>
                <w:szCs w:val="24"/>
                <w:highlight w:val="none"/>
              </w:rPr>
              <w:t>认真落</w:t>
            </w:r>
            <w:r>
              <w:rPr>
                <w:rFonts w:hint="default" w:ascii="Times New Roman" w:hAnsi="Times New Roman" w:eastAsia="宋体" w:cs="Times New Roman"/>
                <w:color w:val="auto"/>
                <w:spacing w:val="1"/>
                <w:sz w:val="24"/>
                <w:szCs w:val="24"/>
                <w:highlight w:val="none"/>
              </w:rPr>
              <w:t>实工程拟采取的安全措施及评价所提出的安全设施和安全对策后，工</w:t>
            </w:r>
            <w:r>
              <w:rPr>
                <w:rFonts w:hint="default" w:ascii="Times New Roman" w:hAnsi="Times New Roman" w:eastAsia="宋体" w:cs="Times New Roman"/>
                <w:color w:val="auto"/>
                <w:sz w:val="24"/>
                <w:szCs w:val="24"/>
                <w:highlight w:val="none"/>
              </w:rPr>
              <w:t>程的事</w:t>
            </w:r>
            <w:r>
              <w:rPr>
                <w:rFonts w:hint="default" w:ascii="Times New Roman" w:hAnsi="Times New Roman" w:eastAsia="宋体" w:cs="Times New Roman"/>
                <w:color w:val="auto"/>
                <w:spacing w:val="-1"/>
                <w:sz w:val="24"/>
                <w:szCs w:val="24"/>
                <w:highlight w:val="none"/>
              </w:rPr>
              <w:t>故对周围影响是基本可以接受的。</w:t>
            </w:r>
          </w:p>
          <w:p w14:paraId="7C3051EA">
            <w:pPr>
              <w:keepNext w:val="0"/>
              <w:keepLines w:val="0"/>
              <w:pageBreakBefore w:val="0"/>
              <w:widowControl/>
              <w:kinsoku w:val="0"/>
              <w:wordWrap/>
              <w:overflowPunct/>
              <w:topLinePunct w:val="0"/>
              <w:autoSpaceDE w:val="0"/>
              <w:autoSpaceDN w:val="0"/>
              <w:bidi w:val="0"/>
              <w:snapToGrid w:val="0"/>
              <w:spacing w:line="240" w:lineRule="auto"/>
              <w:ind w:left="0" w:right="0" w:firstLine="446" w:firstLineChars="20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表</w:t>
            </w:r>
            <w:r>
              <w:rPr>
                <w:rFonts w:hint="default" w:ascii="Times New Roman" w:hAnsi="Times New Roman" w:eastAsia="Times New Roman" w:cs="Times New Roman"/>
                <w:color w:val="auto"/>
                <w:spacing w:val="6"/>
                <w:sz w:val="21"/>
                <w:szCs w:val="21"/>
                <w:highlight w:val="none"/>
              </w:rPr>
              <w:t>4-1</w:t>
            </w:r>
            <w:r>
              <w:rPr>
                <w:rFonts w:hint="eastAsia" w:ascii="Times New Roman" w:hAnsi="Times New Roman" w:eastAsia="宋体" w:cs="Times New Roman"/>
                <w:color w:val="auto"/>
                <w:spacing w:val="6"/>
                <w:sz w:val="21"/>
                <w:szCs w:val="21"/>
                <w:highlight w:val="none"/>
                <w:lang w:val="en-US" w:eastAsia="zh-CN"/>
              </w:rPr>
              <w:t xml:space="preserve">4   </w:t>
            </w:r>
            <w:r>
              <w:rPr>
                <w:rFonts w:hint="default" w:ascii="Times New Roman" w:hAnsi="Times New Roman" w:eastAsia="宋体" w:cs="Times New Roman"/>
                <w:b/>
                <w:bCs/>
                <w:color w:val="auto"/>
                <w:spacing w:val="6"/>
                <w:sz w:val="21"/>
                <w:szCs w:val="21"/>
                <w:highlight w:val="none"/>
              </w:rPr>
              <w:t>建设项目环境风险简单分析内容表</w:t>
            </w:r>
          </w:p>
          <w:tbl>
            <w:tblPr>
              <w:tblStyle w:val="54"/>
              <w:tblW w:w="495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87"/>
              <w:gridCol w:w="3006"/>
              <w:gridCol w:w="2590"/>
            </w:tblGrid>
            <w:tr w14:paraId="70A7A2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90" w:type="dxa"/>
                  <w:tcBorders>
                    <w:tl2br w:val="nil"/>
                    <w:tr2bl w:val="nil"/>
                  </w:tcBorders>
                  <w:vAlign w:val="center"/>
                </w:tcPr>
                <w:p w14:paraId="0FB0D8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建设项目名称</w:t>
                  </w:r>
                </w:p>
              </w:tc>
              <w:tc>
                <w:tcPr>
                  <w:tcW w:w="6233" w:type="dxa"/>
                  <w:gridSpan w:val="2"/>
                  <w:tcBorders>
                    <w:tl2br w:val="nil"/>
                    <w:tr2bl w:val="nil"/>
                  </w:tcBorders>
                  <w:vAlign w:val="center"/>
                </w:tcPr>
                <w:p w14:paraId="04C2E5C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eastAsia="zh-CN"/>
                    </w:rPr>
                    <w:t>新疆凯狮威塑业有限责任公司</w:t>
                  </w:r>
                  <w:r>
                    <w:rPr>
                      <w:rFonts w:hint="default" w:ascii="Times New Roman" w:hAnsi="Times New Roman" w:cs="Times New Roman"/>
                      <w:color w:val="auto"/>
                      <w:sz w:val="21"/>
                      <w:szCs w:val="21"/>
                      <w:highlight w:val="none"/>
                      <w:lang w:val="en-US" w:eastAsia="zh-CN"/>
                    </w:rPr>
                    <w:t>扩建年产6000吨地膜项目</w:t>
                  </w:r>
                </w:p>
              </w:tc>
            </w:tr>
            <w:tr w14:paraId="264716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90" w:type="dxa"/>
                  <w:tcBorders>
                    <w:tl2br w:val="nil"/>
                    <w:tr2bl w:val="nil"/>
                  </w:tcBorders>
                  <w:vAlign w:val="center"/>
                </w:tcPr>
                <w:p w14:paraId="1FE59C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5"/>
                      <w:sz w:val="21"/>
                      <w:szCs w:val="21"/>
                      <w:highlight w:val="none"/>
                    </w:rPr>
                    <w:t>建设地点</w:t>
                  </w:r>
                </w:p>
              </w:tc>
              <w:tc>
                <w:tcPr>
                  <w:tcW w:w="6233" w:type="dxa"/>
                  <w:gridSpan w:val="2"/>
                  <w:tcBorders>
                    <w:tl2br w:val="nil"/>
                    <w:tr2bl w:val="nil"/>
                  </w:tcBorders>
                  <w:vAlign w:val="center"/>
                </w:tcPr>
                <w:p w14:paraId="72798C1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pacing w:val="9"/>
                      <w:sz w:val="21"/>
                      <w:szCs w:val="21"/>
                      <w:highlight w:val="none"/>
                    </w:rPr>
                    <w:t>新疆维吾尔自治区</w:t>
                  </w:r>
                  <w:r>
                    <w:rPr>
                      <w:rFonts w:hint="default" w:ascii="Times New Roman" w:hAnsi="Times New Roman" w:cs="Times New Roman"/>
                      <w:color w:val="auto"/>
                      <w:spacing w:val="9"/>
                      <w:sz w:val="21"/>
                      <w:szCs w:val="21"/>
                      <w:highlight w:val="none"/>
                      <w:lang w:val="en-US" w:eastAsia="zh-CN"/>
                    </w:rPr>
                    <w:t>昌吉市六工镇</w:t>
                  </w:r>
                </w:p>
              </w:tc>
            </w:tr>
            <w:tr w14:paraId="35FB73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90" w:type="dxa"/>
                  <w:tcBorders>
                    <w:tl2br w:val="nil"/>
                    <w:tr2bl w:val="nil"/>
                  </w:tcBorders>
                  <w:vAlign w:val="center"/>
                </w:tcPr>
                <w:p w14:paraId="7D0520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6"/>
                      <w:sz w:val="21"/>
                      <w:szCs w:val="21"/>
                      <w:highlight w:val="none"/>
                    </w:rPr>
                    <w:t>地理坐标</w:t>
                  </w:r>
                </w:p>
              </w:tc>
              <w:tc>
                <w:tcPr>
                  <w:tcW w:w="3348" w:type="dxa"/>
                  <w:tcBorders>
                    <w:tl2br w:val="nil"/>
                    <w:tr2bl w:val="nil"/>
                  </w:tcBorders>
                  <w:vAlign w:val="center"/>
                </w:tcPr>
                <w:p w14:paraId="510B605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东经：</w:t>
                  </w:r>
                  <w:r>
                    <w:rPr>
                      <w:rFonts w:hint="default" w:ascii="Times New Roman" w:hAnsi="Times New Roman" w:eastAsia="宋体" w:cs="Times New Roman"/>
                      <w:color w:val="auto"/>
                      <w:sz w:val="21"/>
                      <w:szCs w:val="21"/>
                      <w:highlight w:val="none"/>
                      <w:lang w:val="en-US" w:eastAsia="zh-CN"/>
                    </w:rPr>
                    <w:t>87°24′15.046"，</w:t>
                  </w:r>
                </w:p>
              </w:tc>
              <w:tc>
                <w:tcPr>
                  <w:tcW w:w="2885" w:type="dxa"/>
                  <w:tcBorders>
                    <w:tl2br w:val="nil"/>
                    <w:tr2bl w:val="nil"/>
                  </w:tcBorders>
                  <w:vAlign w:val="center"/>
                </w:tcPr>
                <w:p w14:paraId="703B56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Times New Roman"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北纬</w:t>
                  </w:r>
                  <w:r>
                    <w:rPr>
                      <w:rFonts w:hint="eastAsia"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44°04′17.862"</w:t>
                  </w:r>
                </w:p>
              </w:tc>
            </w:tr>
            <w:tr w14:paraId="66D12F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90" w:type="dxa"/>
                  <w:tcBorders>
                    <w:tl2br w:val="nil"/>
                    <w:tr2bl w:val="nil"/>
                  </w:tcBorders>
                  <w:vAlign w:val="center"/>
                </w:tcPr>
                <w:p w14:paraId="1AB8BB4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主要危险物质及分</w:t>
                  </w:r>
                  <w:r>
                    <w:rPr>
                      <w:rFonts w:hint="default" w:ascii="Times New Roman" w:hAnsi="Times New Roman" w:eastAsia="宋体" w:cs="Times New Roman"/>
                      <w:b/>
                      <w:bCs/>
                      <w:color w:val="auto"/>
                      <w:spacing w:val="-2"/>
                      <w:sz w:val="21"/>
                      <w:szCs w:val="21"/>
                      <w:highlight w:val="none"/>
                    </w:rPr>
                    <w:t>布</w:t>
                  </w:r>
                </w:p>
              </w:tc>
              <w:tc>
                <w:tcPr>
                  <w:tcW w:w="6233" w:type="dxa"/>
                  <w:gridSpan w:val="2"/>
                  <w:tcBorders>
                    <w:tl2br w:val="nil"/>
                    <w:tr2bl w:val="nil"/>
                  </w:tcBorders>
                  <w:vAlign w:val="center"/>
                </w:tcPr>
                <w:p w14:paraId="29A776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所涉及的主要危险废物是废机油，位于</w:t>
                  </w:r>
                  <w:r>
                    <w:rPr>
                      <w:rFonts w:hint="default" w:ascii="Times New Roman" w:hAnsi="Times New Roman" w:cs="Times New Roman"/>
                      <w:color w:val="auto"/>
                      <w:spacing w:val="9"/>
                      <w:sz w:val="21"/>
                      <w:szCs w:val="21"/>
                      <w:highlight w:val="none"/>
                      <w:lang w:eastAsia="zh-CN"/>
                    </w:rPr>
                    <w:t>危废暂存点</w:t>
                  </w:r>
                  <w:r>
                    <w:rPr>
                      <w:rFonts w:hint="default" w:ascii="Times New Roman" w:hAnsi="Times New Roman" w:eastAsia="宋体" w:cs="Times New Roman"/>
                      <w:color w:val="auto"/>
                      <w:spacing w:val="9"/>
                      <w:sz w:val="21"/>
                      <w:szCs w:val="21"/>
                      <w:highlight w:val="none"/>
                    </w:rPr>
                    <w:t>。</w:t>
                  </w:r>
                </w:p>
              </w:tc>
            </w:tr>
            <w:tr w14:paraId="048C0C0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90" w:type="dxa"/>
                  <w:tcBorders>
                    <w:tl2br w:val="nil"/>
                    <w:tr2bl w:val="nil"/>
                  </w:tcBorders>
                  <w:vAlign w:val="center"/>
                </w:tcPr>
                <w:p w14:paraId="328825D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环境影响途径及危害后果（大气、地</w:t>
                  </w:r>
                  <w:r>
                    <w:rPr>
                      <w:rFonts w:hint="default" w:ascii="Times New Roman" w:hAnsi="Times New Roman" w:eastAsia="宋体" w:cs="Times New Roman"/>
                      <w:b/>
                      <w:bCs/>
                      <w:color w:val="auto"/>
                      <w:spacing w:val="6"/>
                      <w:sz w:val="21"/>
                      <w:szCs w:val="21"/>
                      <w:highlight w:val="none"/>
                    </w:rPr>
                    <w:t>表水、地下水等）</w:t>
                  </w:r>
                </w:p>
              </w:tc>
              <w:tc>
                <w:tcPr>
                  <w:tcW w:w="6233" w:type="dxa"/>
                  <w:gridSpan w:val="2"/>
                  <w:tcBorders>
                    <w:tl2br w:val="nil"/>
                    <w:tr2bl w:val="nil"/>
                  </w:tcBorders>
                  <w:vAlign w:val="center"/>
                </w:tcPr>
                <w:p w14:paraId="736079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本项目可能发生的事故包括</w:t>
                  </w:r>
                </w:p>
                <w:p w14:paraId="1F0723E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①危险废物泄漏，引起火灾、爆炸风险事故；</w:t>
                  </w:r>
                </w:p>
                <w:p w14:paraId="315044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②废气处理设施故障，造成周围环境影响；</w:t>
                  </w:r>
                </w:p>
              </w:tc>
            </w:tr>
            <w:tr w14:paraId="3889AA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90" w:type="dxa"/>
                  <w:tcBorders>
                    <w:tl2br w:val="nil"/>
                    <w:tr2bl w:val="nil"/>
                  </w:tcBorders>
                  <w:vAlign w:val="center"/>
                </w:tcPr>
                <w:p w14:paraId="3A8EAEB5">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Chars="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风险防范措施要求</w:t>
                  </w:r>
                </w:p>
              </w:tc>
              <w:tc>
                <w:tcPr>
                  <w:tcW w:w="6233" w:type="dxa"/>
                  <w:gridSpan w:val="2"/>
                  <w:tcBorders>
                    <w:tl2br w:val="nil"/>
                    <w:tr2bl w:val="nil"/>
                  </w:tcBorders>
                  <w:vAlign w:val="center"/>
                </w:tcPr>
                <w:p w14:paraId="61AAB50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9"/>
                      <w:sz w:val="21"/>
                      <w:szCs w:val="21"/>
                      <w:highlight w:val="none"/>
                    </w:rPr>
                    <w:t>设置消火栓、灭火器；建筑物构筑物之间的距离设计合理的防火间距；设备的安全管理；各生产区保证一定的距离，设有隔离带，设双重管理。生产车间的布局和建筑设计符合相关要求，并在生产车间设置消防系统，达到消防部门要求</w:t>
                  </w:r>
                  <w:r>
                    <w:rPr>
                      <w:rFonts w:hint="default" w:ascii="Times New Roman" w:hAnsi="Times New Roman" w:cs="Times New Roman"/>
                      <w:color w:val="auto"/>
                      <w:spacing w:val="9"/>
                      <w:sz w:val="21"/>
                      <w:szCs w:val="21"/>
                      <w:highlight w:val="none"/>
                      <w:lang w:eastAsia="zh-CN"/>
                    </w:rPr>
                    <w:t>；在</w:t>
                  </w:r>
                  <w:r>
                    <w:rPr>
                      <w:rFonts w:hint="default" w:ascii="Times New Roman" w:hAnsi="Times New Roman" w:eastAsia="宋体" w:cs="Times New Roman"/>
                      <w:color w:val="auto"/>
                      <w:spacing w:val="9"/>
                      <w:sz w:val="21"/>
                      <w:szCs w:val="21"/>
                      <w:highlight w:val="none"/>
                    </w:rPr>
                    <w:t>生产车</w:t>
                  </w:r>
                  <w:r>
                    <w:rPr>
                      <w:rFonts w:hint="default" w:ascii="Times New Roman" w:hAnsi="Times New Roman" w:eastAsia="宋体" w:cs="Times New Roman"/>
                      <w:color w:val="auto"/>
                      <w:spacing w:val="8"/>
                      <w:sz w:val="21"/>
                      <w:szCs w:val="21"/>
                      <w:highlight w:val="none"/>
                    </w:rPr>
                    <w:t>间内严格管控明火的使用。</w:t>
                  </w:r>
                </w:p>
              </w:tc>
            </w:tr>
            <w:tr w14:paraId="6E9FB4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1990" w:type="dxa"/>
                  <w:tcBorders>
                    <w:tl2br w:val="nil"/>
                    <w:tr2bl w:val="nil"/>
                  </w:tcBorders>
                  <w:vAlign w:val="center"/>
                </w:tcPr>
                <w:p w14:paraId="4D87383A">
                  <w:pPr>
                    <w:keepNext w:val="0"/>
                    <w:keepLines w:val="0"/>
                    <w:pageBreakBefore w:val="0"/>
                    <w:widowControl/>
                    <w:kinsoku w:val="0"/>
                    <w:wordWrap/>
                    <w:overflowPunct/>
                    <w:topLinePunct w:val="0"/>
                    <w:autoSpaceDE w:val="0"/>
                    <w:autoSpaceDN w:val="0"/>
                    <w:bidi w:val="0"/>
                    <w:adjustRightInd w:val="0"/>
                    <w:snapToGrid w:val="0"/>
                    <w:spacing w:line="240" w:lineRule="auto"/>
                    <w:ind w:right="0" w:firstLineChars="0"/>
                    <w:jc w:val="both"/>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pacing w:val="7"/>
                      <w:sz w:val="21"/>
                      <w:szCs w:val="21"/>
                      <w:highlight w:val="none"/>
                    </w:rPr>
                    <w:t>填表说明（列出项</w:t>
                  </w:r>
                  <w:r>
                    <w:rPr>
                      <w:rFonts w:hint="default" w:ascii="Times New Roman" w:hAnsi="Times New Roman" w:eastAsia="宋体" w:cs="Times New Roman"/>
                      <w:b/>
                      <w:bCs/>
                      <w:color w:val="auto"/>
                      <w:spacing w:val="2"/>
                      <w:sz w:val="21"/>
                      <w:szCs w:val="21"/>
                      <w:highlight w:val="none"/>
                    </w:rPr>
                    <w:t>目相关信息及评价</w:t>
                  </w:r>
                  <w:r>
                    <w:rPr>
                      <w:rFonts w:hint="default" w:ascii="Times New Roman" w:hAnsi="Times New Roman" w:eastAsia="宋体" w:cs="Times New Roman"/>
                      <w:b/>
                      <w:bCs/>
                      <w:color w:val="auto"/>
                      <w:spacing w:val="1"/>
                      <w:sz w:val="21"/>
                      <w:szCs w:val="21"/>
                      <w:highlight w:val="none"/>
                    </w:rPr>
                    <w:t>说明）</w:t>
                  </w:r>
                </w:p>
              </w:tc>
              <w:tc>
                <w:tcPr>
                  <w:tcW w:w="6233" w:type="dxa"/>
                  <w:gridSpan w:val="2"/>
                  <w:tcBorders>
                    <w:tl2br w:val="nil"/>
                    <w:tr2bl w:val="nil"/>
                  </w:tcBorders>
                  <w:vAlign w:val="center"/>
                </w:tcPr>
                <w:p w14:paraId="6A77FBE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firstLineChars="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根据《建设项目环境风险评价技术导则》（</w:t>
                  </w:r>
                  <w:r>
                    <w:rPr>
                      <w:rFonts w:hint="default" w:ascii="Times New Roman" w:hAnsi="Times New Roman" w:eastAsia="Times New Roman" w:cs="Times New Roman"/>
                      <w:color w:val="auto"/>
                      <w:sz w:val="21"/>
                      <w:szCs w:val="21"/>
                      <w:highlight w:val="none"/>
                    </w:rPr>
                    <w:t>HJ</w:t>
                  </w:r>
                  <w:r>
                    <w:rPr>
                      <w:rFonts w:hint="default" w:ascii="Times New Roman" w:hAnsi="Times New Roman" w:eastAsia="Times New Roman" w:cs="Times New Roman"/>
                      <w:color w:val="auto"/>
                      <w:spacing w:val="6"/>
                      <w:sz w:val="21"/>
                      <w:szCs w:val="21"/>
                      <w:highlight w:val="none"/>
                    </w:rPr>
                    <w:t>169-2018</w:t>
                  </w:r>
                  <w:r>
                    <w:rPr>
                      <w:rFonts w:hint="default" w:ascii="Times New Roman" w:hAnsi="Times New Roman" w:eastAsia="宋体" w:cs="Times New Roman"/>
                      <w:color w:val="auto"/>
                      <w:spacing w:val="6"/>
                      <w:sz w:val="21"/>
                      <w:szCs w:val="21"/>
                      <w:highlight w:val="none"/>
                    </w:rPr>
                    <w:t>）表</w:t>
                  </w:r>
                  <w:r>
                    <w:rPr>
                      <w:rFonts w:hint="default" w:ascii="Times New Roman" w:hAnsi="Times New Roman" w:eastAsia="Times New Roman" w:cs="Times New Roman"/>
                      <w:color w:val="auto"/>
                      <w:spacing w:val="6"/>
                      <w:sz w:val="21"/>
                      <w:szCs w:val="21"/>
                      <w:highlight w:val="none"/>
                    </w:rPr>
                    <w:t>1</w:t>
                  </w:r>
                  <w:r>
                    <w:rPr>
                      <w:rFonts w:hint="default" w:ascii="Times New Roman" w:hAnsi="Times New Roman" w:eastAsia="宋体" w:cs="Times New Roman"/>
                      <w:color w:val="auto"/>
                      <w:spacing w:val="6"/>
                      <w:sz w:val="21"/>
                      <w:szCs w:val="21"/>
                      <w:highlight w:val="none"/>
                    </w:rPr>
                    <w:t>，</w:t>
                  </w:r>
                  <w:r>
                    <w:rPr>
                      <w:rFonts w:hint="default" w:ascii="Times New Roman" w:hAnsi="Times New Roman" w:eastAsia="宋体" w:cs="Times New Roman"/>
                      <w:color w:val="auto"/>
                      <w:spacing w:val="9"/>
                      <w:sz w:val="21"/>
                      <w:szCs w:val="21"/>
                      <w:highlight w:val="none"/>
                    </w:rPr>
                    <w:t>可知项目环境风险评价工作等级为简单分析</w:t>
                  </w:r>
                </w:p>
              </w:tc>
            </w:tr>
          </w:tbl>
          <w:p w14:paraId="11FB3D63">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3"/>
                <w:sz w:val="24"/>
                <w:szCs w:val="24"/>
                <w:highlight w:val="none"/>
              </w:rPr>
              <w:t>7</w:t>
            </w:r>
            <w:r>
              <w:rPr>
                <w:rFonts w:hint="default" w:ascii="Times New Roman" w:hAnsi="Times New Roman" w:eastAsia="宋体" w:cs="Times New Roman"/>
                <w:b/>
                <w:bCs/>
                <w:color w:val="auto"/>
                <w:spacing w:val="-3"/>
                <w:sz w:val="24"/>
                <w:szCs w:val="24"/>
                <w:highlight w:val="none"/>
                <w:lang w:val="en-US" w:eastAsia="zh-CN"/>
              </w:rPr>
              <w:t>.</w:t>
            </w:r>
            <w:r>
              <w:rPr>
                <w:rFonts w:hint="default" w:ascii="Times New Roman" w:hAnsi="Times New Roman" w:eastAsia="宋体" w:cs="Times New Roman"/>
                <w:b/>
                <w:bCs/>
                <w:color w:val="auto"/>
                <w:spacing w:val="-3"/>
                <w:sz w:val="24"/>
                <w:szCs w:val="24"/>
                <w:highlight w:val="none"/>
              </w:rPr>
              <w:t>环境管理及监测</w:t>
            </w:r>
          </w:p>
          <w:p w14:paraId="18377667">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7.1</w:t>
            </w:r>
            <w:r>
              <w:rPr>
                <w:rFonts w:hint="default" w:ascii="Times New Roman" w:hAnsi="Times New Roman" w:eastAsia="宋体" w:cs="Times New Roman"/>
                <w:b/>
                <w:bCs/>
                <w:color w:val="auto"/>
                <w:spacing w:val="-2"/>
                <w:sz w:val="24"/>
                <w:szCs w:val="24"/>
                <w:highlight w:val="none"/>
              </w:rPr>
              <w:t>环境管理</w:t>
            </w:r>
          </w:p>
          <w:p w14:paraId="0ABA0F74">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环境管理</w:t>
            </w:r>
            <w:r>
              <w:rPr>
                <w:rFonts w:hint="default" w:ascii="Times New Roman" w:hAnsi="Times New Roman" w:cs="Times New Roman"/>
                <w:color w:val="auto"/>
                <w:spacing w:val="1"/>
                <w:sz w:val="24"/>
                <w:szCs w:val="24"/>
                <w:highlight w:val="none"/>
                <w:lang w:eastAsia="zh-CN"/>
              </w:rPr>
              <w:t>是指</w:t>
            </w:r>
            <w:r>
              <w:rPr>
                <w:rFonts w:hint="default" w:ascii="Times New Roman" w:hAnsi="Times New Roman" w:eastAsia="宋体" w:cs="Times New Roman"/>
                <w:color w:val="auto"/>
                <w:spacing w:val="1"/>
                <w:sz w:val="24"/>
                <w:szCs w:val="24"/>
                <w:highlight w:val="none"/>
              </w:rPr>
              <w:t>工程在施工期、营运期时全面执行和遵守国家、省、市有关环境保护</w:t>
            </w:r>
            <w:r>
              <w:rPr>
                <w:rFonts w:hint="default" w:ascii="Times New Roman" w:hAnsi="Times New Roman" w:cs="Times New Roman"/>
                <w:color w:val="auto"/>
                <w:spacing w:val="1"/>
                <w:sz w:val="24"/>
                <w:szCs w:val="24"/>
                <w:highlight w:val="none"/>
                <w:lang w:eastAsia="zh-CN"/>
              </w:rPr>
              <w:t>法律法规</w:t>
            </w:r>
            <w:r>
              <w:rPr>
                <w:rFonts w:hint="default" w:ascii="Times New Roman" w:hAnsi="Times New Roman" w:eastAsia="宋体" w:cs="Times New Roman"/>
                <w:color w:val="auto"/>
                <w:spacing w:val="1"/>
                <w:sz w:val="24"/>
                <w:szCs w:val="24"/>
                <w:highlight w:val="none"/>
              </w:rPr>
              <w:t>、政策和标准，接受地方环境保护主管部门的</w:t>
            </w:r>
            <w:r>
              <w:rPr>
                <w:rFonts w:hint="default" w:ascii="Times New Roman" w:hAnsi="Times New Roman" w:eastAsia="宋体" w:cs="Times New Roman"/>
                <w:color w:val="auto"/>
                <w:sz w:val="24"/>
                <w:szCs w:val="24"/>
                <w:highlight w:val="none"/>
              </w:rPr>
              <w:t>环境</w:t>
            </w:r>
            <w:r>
              <w:rPr>
                <w:rFonts w:hint="default" w:ascii="Times New Roman" w:hAnsi="Times New Roman" w:eastAsia="宋体" w:cs="Times New Roman"/>
                <w:color w:val="auto"/>
                <w:spacing w:val="1"/>
                <w:sz w:val="24"/>
                <w:szCs w:val="24"/>
                <w:highlight w:val="none"/>
              </w:rPr>
              <w:t>监督，调整和制定环境保护规划和目标，力争把不利影响减小到最低，</w:t>
            </w:r>
            <w:r>
              <w:rPr>
                <w:rFonts w:hint="default" w:ascii="Times New Roman" w:hAnsi="Times New Roman" w:eastAsia="宋体" w:cs="Times New Roman"/>
                <w:color w:val="auto"/>
                <w:sz w:val="24"/>
                <w:szCs w:val="24"/>
                <w:highlight w:val="none"/>
              </w:rPr>
              <w:t>加强</w:t>
            </w:r>
            <w:r>
              <w:rPr>
                <w:rFonts w:hint="default" w:ascii="Times New Roman" w:hAnsi="Times New Roman" w:eastAsia="宋体" w:cs="Times New Roman"/>
                <w:color w:val="auto"/>
                <w:spacing w:val="1"/>
                <w:sz w:val="24"/>
                <w:szCs w:val="24"/>
                <w:highlight w:val="none"/>
              </w:rPr>
              <w:t>项目环境管理，协调解决实现目标过程中的具体问题，及时调整工程运</w:t>
            </w:r>
            <w:r>
              <w:rPr>
                <w:rFonts w:hint="default" w:ascii="Times New Roman" w:hAnsi="Times New Roman" w:eastAsia="宋体" w:cs="Times New Roman"/>
                <w:color w:val="auto"/>
                <w:sz w:val="24"/>
                <w:szCs w:val="24"/>
                <w:highlight w:val="none"/>
              </w:rPr>
              <w:t>行方</w:t>
            </w:r>
            <w:r>
              <w:rPr>
                <w:rFonts w:hint="default" w:ascii="Times New Roman" w:hAnsi="Times New Roman" w:eastAsia="宋体" w:cs="Times New Roman"/>
                <w:color w:val="auto"/>
                <w:spacing w:val="-4"/>
                <w:sz w:val="24"/>
                <w:szCs w:val="24"/>
                <w:highlight w:val="none"/>
              </w:rPr>
              <w:t>式和环境保护措施，以取得更好的综合环境效益，最终达到保护环境的目的。</w:t>
            </w:r>
            <w:r>
              <w:rPr>
                <w:rFonts w:hint="default" w:ascii="Times New Roman" w:hAnsi="Times New Roman" w:eastAsia="宋体" w:cs="Times New Roman"/>
                <w:color w:val="auto"/>
                <w:spacing w:val="1"/>
                <w:sz w:val="24"/>
                <w:szCs w:val="24"/>
                <w:highlight w:val="none"/>
              </w:rPr>
              <w:t>建设项目环境管理是工程管理的重要组成部分，是工程环境保护工作能</w:t>
            </w:r>
            <w:r>
              <w:rPr>
                <w:rFonts w:hint="default" w:ascii="Times New Roman" w:hAnsi="Times New Roman" w:eastAsia="宋体" w:cs="Times New Roman"/>
                <w:color w:val="auto"/>
                <w:sz w:val="24"/>
                <w:szCs w:val="24"/>
                <w:highlight w:val="none"/>
              </w:rPr>
              <w:t>够有</w:t>
            </w:r>
            <w:r>
              <w:rPr>
                <w:rFonts w:hint="default" w:ascii="Times New Roman" w:hAnsi="Times New Roman" w:eastAsia="宋体" w:cs="Times New Roman"/>
                <w:color w:val="auto"/>
                <w:spacing w:val="1"/>
                <w:sz w:val="24"/>
                <w:szCs w:val="24"/>
                <w:highlight w:val="none"/>
              </w:rPr>
              <w:t>效实施的关键。根据本项目的污染物排放特征，其产生的废气及固体废</w:t>
            </w:r>
            <w:r>
              <w:rPr>
                <w:rFonts w:hint="default" w:ascii="Times New Roman" w:hAnsi="Times New Roman" w:eastAsia="宋体" w:cs="Times New Roman"/>
                <w:color w:val="auto"/>
                <w:sz w:val="24"/>
                <w:szCs w:val="24"/>
                <w:highlight w:val="none"/>
              </w:rPr>
              <w:t>物存</w:t>
            </w:r>
            <w:r>
              <w:rPr>
                <w:rFonts w:hint="default" w:ascii="Times New Roman" w:hAnsi="Times New Roman" w:eastAsia="宋体" w:cs="Times New Roman"/>
                <w:color w:val="auto"/>
                <w:spacing w:val="-4"/>
                <w:sz w:val="24"/>
                <w:szCs w:val="24"/>
                <w:highlight w:val="none"/>
              </w:rPr>
              <w:t>在一定的污染隐患。一旦管理不善将可能出现污染事故，从而影响周围环境。</w:t>
            </w:r>
            <w:r>
              <w:rPr>
                <w:rFonts w:hint="default" w:ascii="Times New Roman" w:hAnsi="Times New Roman" w:eastAsia="宋体" w:cs="Times New Roman"/>
                <w:color w:val="auto"/>
                <w:spacing w:val="-1"/>
                <w:sz w:val="24"/>
                <w:szCs w:val="24"/>
                <w:highlight w:val="none"/>
              </w:rPr>
              <w:t>因此，运营期的环境管理十分重要，运营期应做好以下工作：</w:t>
            </w:r>
          </w:p>
          <w:p w14:paraId="241DF162">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1</w:t>
            </w:r>
            <w:r>
              <w:rPr>
                <w:rFonts w:hint="default" w:ascii="Times New Roman" w:hAnsi="Times New Roman" w:eastAsia="宋体" w:cs="Times New Roman"/>
                <w:color w:val="auto"/>
                <w:spacing w:val="-3"/>
                <w:sz w:val="24"/>
                <w:szCs w:val="24"/>
                <w:highlight w:val="none"/>
              </w:rPr>
              <w:t>）制定污染治理操作规程，记录污染治理设施运行及检</w:t>
            </w:r>
            <w:r>
              <w:rPr>
                <w:rFonts w:hint="default" w:ascii="Times New Roman" w:hAnsi="Times New Roman" w:eastAsia="宋体" w:cs="Times New Roman"/>
                <w:color w:val="auto"/>
                <w:spacing w:val="-4"/>
                <w:sz w:val="24"/>
                <w:szCs w:val="24"/>
                <w:highlight w:val="none"/>
              </w:rPr>
              <w:t>修情况，确保</w:t>
            </w:r>
            <w:r>
              <w:rPr>
                <w:rFonts w:hint="default" w:ascii="Times New Roman" w:hAnsi="Times New Roman" w:eastAsia="宋体" w:cs="Times New Roman"/>
                <w:color w:val="auto"/>
                <w:spacing w:val="-2"/>
                <w:sz w:val="24"/>
                <w:szCs w:val="24"/>
                <w:highlight w:val="none"/>
              </w:rPr>
              <w:t>治理设施常年正常运行。</w:t>
            </w:r>
          </w:p>
          <w:p w14:paraId="6C1ABEC3">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2</w:t>
            </w:r>
            <w:r>
              <w:rPr>
                <w:rFonts w:hint="default" w:ascii="Times New Roman" w:hAnsi="Times New Roman" w:eastAsia="宋体" w:cs="Times New Roman"/>
                <w:color w:val="auto"/>
                <w:spacing w:val="-3"/>
                <w:sz w:val="24"/>
                <w:szCs w:val="24"/>
                <w:highlight w:val="none"/>
              </w:rPr>
              <w:t>）安全环保科除执行各项有关环境保护工作的指令外，</w:t>
            </w:r>
            <w:r>
              <w:rPr>
                <w:rFonts w:hint="default" w:ascii="Times New Roman" w:hAnsi="Times New Roman" w:eastAsia="宋体" w:cs="Times New Roman"/>
                <w:color w:val="auto"/>
                <w:spacing w:val="-4"/>
                <w:sz w:val="24"/>
                <w:szCs w:val="24"/>
                <w:highlight w:val="none"/>
              </w:rPr>
              <w:t>还应接受当地</w:t>
            </w:r>
            <w:r>
              <w:rPr>
                <w:rFonts w:hint="default" w:ascii="Times New Roman" w:hAnsi="Times New Roman" w:eastAsia="宋体" w:cs="Times New Roman"/>
                <w:color w:val="auto"/>
                <w:spacing w:val="1"/>
                <w:sz w:val="24"/>
                <w:szCs w:val="24"/>
                <w:highlight w:val="none"/>
              </w:rPr>
              <w:t>环境保护局的监督检查，组织环保监测及统计工作，配合上级部门对</w:t>
            </w:r>
            <w:r>
              <w:rPr>
                <w:rFonts w:hint="default" w:ascii="Times New Roman" w:hAnsi="Times New Roman" w:eastAsia="宋体" w:cs="Times New Roman"/>
                <w:color w:val="auto"/>
                <w:sz w:val="24"/>
                <w:szCs w:val="24"/>
                <w:highlight w:val="none"/>
              </w:rPr>
              <w:t>本企业</w:t>
            </w:r>
            <w:r>
              <w:rPr>
                <w:rFonts w:hint="default" w:ascii="Times New Roman" w:hAnsi="Times New Roman" w:eastAsia="宋体" w:cs="Times New Roman"/>
                <w:color w:val="auto"/>
                <w:spacing w:val="1"/>
                <w:sz w:val="24"/>
                <w:szCs w:val="24"/>
                <w:highlight w:val="none"/>
              </w:rPr>
              <w:t>环保项目进行检查验收，定期与不定期地上报各项管理工作的执行情</w:t>
            </w:r>
            <w:r>
              <w:rPr>
                <w:rFonts w:hint="default" w:ascii="Times New Roman" w:hAnsi="Times New Roman" w:eastAsia="宋体" w:cs="Times New Roman"/>
                <w:color w:val="auto"/>
                <w:sz w:val="24"/>
                <w:szCs w:val="24"/>
                <w:highlight w:val="none"/>
              </w:rPr>
              <w:t>况以及</w:t>
            </w:r>
            <w:r>
              <w:rPr>
                <w:rFonts w:hint="default" w:ascii="Times New Roman" w:hAnsi="Times New Roman" w:eastAsia="宋体" w:cs="Times New Roman"/>
                <w:color w:val="auto"/>
                <w:spacing w:val="1"/>
                <w:sz w:val="24"/>
                <w:szCs w:val="24"/>
                <w:highlight w:val="none"/>
              </w:rPr>
              <w:t>各项有关环境参数、污染源排放指标，建立污染源及厂区周围环境质</w:t>
            </w:r>
            <w:r>
              <w:rPr>
                <w:rFonts w:hint="default" w:ascii="Times New Roman" w:hAnsi="Times New Roman" w:eastAsia="宋体" w:cs="Times New Roman"/>
                <w:color w:val="auto"/>
                <w:sz w:val="24"/>
                <w:szCs w:val="24"/>
                <w:highlight w:val="none"/>
              </w:rPr>
              <w:t>量监测</w:t>
            </w:r>
            <w:r>
              <w:rPr>
                <w:rFonts w:hint="default" w:ascii="Times New Roman" w:hAnsi="Times New Roman" w:eastAsia="宋体" w:cs="Times New Roman"/>
                <w:color w:val="auto"/>
                <w:spacing w:val="1"/>
                <w:sz w:val="24"/>
                <w:szCs w:val="24"/>
                <w:highlight w:val="none"/>
              </w:rPr>
              <w:t>数据档案，定期编写环保简报，制定全厂环保年度计划和长远规划，</w:t>
            </w:r>
            <w:r>
              <w:rPr>
                <w:rFonts w:hint="default" w:ascii="Times New Roman" w:hAnsi="Times New Roman" w:eastAsia="宋体" w:cs="Times New Roman"/>
                <w:color w:val="auto"/>
                <w:sz w:val="24"/>
                <w:szCs w:val="24"/>
                <w:highlight w:val="none"/>
              </w:rPr>
              <w:t>为区域</w:t>
            </w:r>
            <w:r>
              <w:rPr>
                <w:rFonts w:hint="default" w:ascii="Times New Roman" w:hAnsi="Times New Roman" w:eastAsia="宋体" w:cs="Times New Roman"/>
                <w:color w:val="auto"/>
                <w:spacing w:val="-2"/>
                <w:sz w:val="24"/>
                <w:szCs w:val="24"/>
                <w:highlight w:val="none"/>
              </w:rPr>
              <w:t>整体环境控制服务。</w:t>
            </w:r>
          </w:p>
          <w:p w14:paraId="66FEBADF">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w:t>
            </w:r>
            <w:r>
              <w:rPr>
                <w:rFonts w:hint="default" w:ascii="Times New Roman" w:hAnsi="Times New Roman" w:eastAsia="Times New Roman" w:cs="Times New Roman"/>
                <w:color w:val="auto"/>
                <w:spacing w:val="-2"/>
                <w:sz w:val="24"/>
                <w:szCs w:val="24"/>
                <w:highlight w:val="none"/>
              </w:rPr>
              <w:t>3</w:t>
            </w:r>
            <w:r>
              <w:rPr>
                <w:rFonts w:hint="default" w:ascii="Times New Roman" w:hAnsi="Times New Roman" w:eastAsia="宋体" w:cs="Times New Roman"/>
                <w:color w:val="auto"/>
                <w:spacing w:val="-2"/>
                <w:sz w:val="24"/>
                <w:szCs w:val="24"/>
                <w:highlight w:val="none"/>
              </w:rPr>
              <w:t>）确保污染治理措施执行</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rPr>
              <w:t>三同时</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宋体" w:cs="Times New Roman"/>
                <w:color w:val="auto"/>
                <w:spacing w:val="-2"/>
                <w:sz w:val="24"/>
                <w:szCs w:val="24"/>
                <w:highlight w:val="none"/>
              </w:rPr>
              <w:t>，检查、监督</w:t>
            </w:r>
            <w:r>
              <w:rPr>
                <w:rFonts w:hint="default" w:ascii="Times New Roman" w:hAnsi="Times New Roman" w:eastAsia="宋体" w:cs="Times New Roman"/>
                <w:color w:val="auto"/>
                <w:spacing w:val="-3"/>
                <w:sz w:val="24"/>
                <w:szCs w:val="24"/>
                <w:highlight w:val="none"/>
              </w:rPr>
              <w:t>全厂环保设施的正常</w:t>
            </w:r>
            <w:r>
              <w:rPr>
                <w:rFonts w:hint="default" w:ascii="Times New Roman" w:hAnsi="Times New Roman" w:eastAsia="宋体" w:cs="Times New Roman"/>
                <w:color w:val="auto"/>
                <w:spacing w:val="-1"/>
                <w:sz w:val="24"/>
                <w:szCs w:val="24"/>
                <w:highlight w:val="none"/>
              </w:rPr>
              <w:t>高效运行，使各项治理设施达到设计要求。</w:t>
            </w:r>
          </w:p>
          <w:p w14:paraId="033CF54E">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4</w:t>
            </w:r>
            <w:r>
              <w:rPr>
                <w:rFonts w:hint="default" w:ascii="Times New Roman" w:hAnsi="Times New Roman" w:eastAsia="宋体" w:cs="Times New Roman"/>
                <w:color w:val="auto"/>
                <w:spacing w:val="-3"/>
                <w:sz w:val="24"/>
                <w:szCs w:val="24"/>
                <w:highlight w:val="none"/>
              </w:rPr>
              <w:t>）控制场内运输过程中粉尘无组织排放。运输产生粉尘</w:t>
            </w:r>
            <w:r>
              <w:rPr>
                <w:rFonts w:hint="default" w:ascii="Times New Roman" w:hAnsi="Times New Roman" w:eastAsia="宋体" w:cs="Times New Roman"/>
                <w:color w:val="auto"/>
                <w:spacing w:val="-4"/>
                <w:sz w:val="24"/>
                <w:szCs w:val="24"/>
                <w:highlight w:val="none"/>
              </w:rPr>
              <w:t>的物料，其车</w:t>
            </w:r>
            <w:r>
              <w:rPr>
                <w:rFonts w:hint="default" w:ascii="Times New Roman" w:hAnsi="Times New Roman" w:eastAsia="宋体" w:cs="Times New Roman"/>
                <w:color w:val="auto"/>
                <w:spacing w:val="1"/>
                <w:sz w:val="24"/>
                <w:szCs w:val="24"/>
                <w:highlight w:val="none"/>
              </w:rPr>
              <w:t>辆应采取密闭、苫盖等措施。厂区道路应硬化，并采取洒水、喷雾等降</w:t>
            </w:r>
            <w:r>
              <w:rPr>
                <w:rFonts w:hint="default" w:ascii="Times New Roman" w:hAnsi="Times New Roman" w:eastAsia="宋体" w:cs="Times New Roman"/>
                <w:color w:val="auto"/>
                <w:sz w:val="24"/>
                <w:szCs w:val="24"/>
                <w:highlight w:val="none"/>
              </w:rPr>
              <w:t>尘措</w:t>
            </w:r>
            <w:r>
              <w:rPr>
                <w:rFonts w:hint="default" w:ascii="Times New Roman" w:hAnsi="Times New Roman" w:eastAsia="宋体" w:cs="Times New Roman"/>
                <w:color w:val="auto"/>
                <w:spacing w:val="-5"/>
                <w:sz w:val="24"/>
                <w:szCs w:val="24"/>
                <w:highlight w:val="none"/>
              </w:rPr>
              <w:t>施。</w:t>
            </w:r>
          </w:p>
          <w:p w14:paraId="3A8E71AF">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5</w:t>
            </w:r>
            <w:r>
              <w:rPr>
                <w:rFonts w:hint="default" w:ascii="Times New Roman" w:hAnsi="Times New Roman" w:eastAsia="宋体" w:cs="Times New Roman"/>
                <w:color w:val="auto"/>
                <w:spacing w:val="-3"/>
                <w:sz w:val="24"/>
                <w:szCs w:val="24"/>
                <w:highlight w:val="none"/>
              </w:rPr>
              <w:t>）污染防治设施应在满足设计工况的条件下运行，并根据工艺要求，</w:t>
            </w:r>
            <w:r>
              <w:rPr>
                <w:rFonts w:hint="default" w:ascii="Times New Roman" w:hAnsi="Times New Roman" w:eastAsia="宋体" w:cs="Times New Roman"/>
                <w:color w:val="auto"/>
                <w:spacing w:val="-1"/>
                <w:sz w:val="24"/>
                <w:szCs w:val="24"/>
                <w:highlight w:val="none"/>
              </w:rPr>
              <w:t>定期对设备、电气、自控仪表及构筑物进行检查维护，确保污染防治设施可</w:t>
            </w:r>
            <w:r>
              <w:rPr>
                <w:rFonts w:hint="default" w:ascii="Times New Roman" w:hAnsi="Times New Roman" w:eastAsia="宋体" w:cs="Times New Roman"/>
                <w:color w:val="auto"/>
                <w:spacing w:val="-3"/>
                <w:sz w:val="24"/>
                <w:szCs w:val="24"/>
                <w:highlight w:val="none"/>
              </w:rPr>
              <w:t>靠运行。</w:t>
            </w:r>
          </w:p>
          <w:p w14:paraId="5B83937D">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6</w:t>
            </w:r>
            <w:r>
              <w:rPr>
                <w:rFonts w:hint="default" w:ascii="Times New Roman" w:hAnsi="Times New Roman" w:eastAsia="宋体" w:cs="Times New Roman"/>
                <w:color w:val="auto"/>
                <w:spacing w:val="-3"/>
                <w:sz w:val="24"/>
                <w:szCs w:val="24"/>
                <w:highlight w:val="none"/>
              </w:rPr>
              <w:t>）加强环保知识宣传教育，</w:t>
            </w:r>
            <w:r>
              <w:rPr>
                <w:rFonts w:hint="default" w:ascii="Times New Roman" w:hAnsi="Times New Roman" w:cs="Times New Roman"/>
                <w:color w:val="auto"/>
                <w:spacing w:val="-3"/>
                <w:sz w:val="24"/>
                <w:szCs w:val="24"/>
                <w:highlight w:val="none"/>
                <w:lang w:eastAsia="zh-CN"/>
              </w:rPr>
              <w:t>增强</w:t>
            </w:r>
            <w:r>
              <w:rPr>
                <w:rFonts w:hint="default" w:ascii="Times New Roman" w:hAnsi="Times New Roman" w:eastAsia="宋体" w:cs="Times New Roman"/>
                <w:color w:val="auto"/>
                <w:spacing w:val="-3"/>
                <w:sz w:val="24"/>
                <w:szCs w:val="24"/>
                <w:highlight w:val="none"/>
              </w:rPr>
              <w:t>职工环境意识，把环境意识贯彻到企</w:t>
            </w:r>
            <w:r>
              <w:rPr>
                <w:rFonts w:hint="default" w:ascii="Times New Roman" w:hAnsi="Times New Roman" w:eastAsia="宋体" w:cs="Times New Roman"/>
                <w:color w:val="auto"/>
                <w:spacing w:val="-12"/>
                <w:sz w:val="24"/>
                <w:szCs w:val="24"/>
                <w:highlight w:val="none"/>
              </w:rPr>
              <w:t>业各车间班组及每个职工的日常生产、生活中；推广治理方面的先进技术</w:t>
            </w:r>
            <w:r>
              <w:rPr>
                <w:rFonts w:hint="default" w:ascii="Times New Roman" w:hAnsi="Times New Roman" w:cs="Times New Roman"/>
                <w:color w:val="auto"/>
                <w:spacing w:val="-12"/>
                <w:sz w:val="24"/>
                <w:szCs w:val="24"/>
                <w:highlight w:val="none"/>
                <w:lang w:eastAsia="zh-CN"/>
              </w:rPr>
              <w:t>。</w:t>
            </w:r>
          </w:p>
          <w:p w14:paraId="78A3DD77">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7</w:t>
            </w:r>
            <w:r>
              <w:rPr>
                <w:rFonts w:hint="default" w:ascii="Times New Roman" w:hAnsi="Times New Roman" w:eastAsia="宋体" w:cs="Times New Roman"/>
                <w:color w:val="auto"/>
                <w:spacing w:val="-3"/>
                <w:sz w:val="24"/>
                <w:szCs w:val="24"/>
                <w:highlight w:val="none"/>
              </w:rPr>
              <w:t>）组织制定环境保护管理的规章制度并监督执行；制定</w:t>
            </w:r>
            <w:r>
              <w:rPr>
                <w:rFonts w:hint="default" w:ascii="Times New Roman" w:hAnsi="Times New Roman" w:eastAsia="宋体" w:cs="Times New Roman"/>
                <w:color w:val="auto"/>
                <w:spacing w:val="-4"/>
                <w:sz w:val="24"/>
                <w:szCs w:val="24"/>
                <w:highlight w:val="none"/>
              </w:rPr>
              <w:t>并组织实施各</w:t>
            </w:r>
            <w:r>
              <w:rPr>
                <w:rFonts w:hint="default" w:ascii="Times New Roman" w:hAnsi="Times New Roman" w:eastAsia="宋体" w:cs="Times New Roman"/>
                <w:color w:val="auto"/>
                <w:spacing w:val="-1"/>
                <w:sz w:val="24"/>
                <w:szCs w:val="24"/>
                <w:highlight w:val="none"/>
              </w:rPr>
              <w:t>项环境保护的规划和计划；贯彻执行环境保护法规和标准。</w:t>
            </w:r>
          </w:p>
          <w:p w14:paraId="62299FC4">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8</w:t>
            </w:r>
            <w:r>
              <w:rPr>
                <w:rFonts w:hint="default" w:ascii="Times New Roman" w:hAnsi="Times New Roman" w:eastAsia="宋体" w:cs="Times New Roman"/>
                <w:color w:val="auto"/>
                <w:spacing w:val="-3"/>
                <w:sz w:val="24"/>
                <w:szCs w:val="24"/>
                <w:highlight w:val="none"/>
              </w:rPr>
              <w:t>）项目建成后及时进行环保验收并申请排污许可证。排</w:t>
            </w:r>
            <w:r>
              <w:rPr>
                <w:rFonts w:hint="default" w:ascii="Times New Roman" w:hAnsi="Times New Roman" w:eastAsia="宋体" w:cs="Times New Roman"/>
                <w:color w:val="auto"/>
                <w:spacing w:val="-4"/>
                <w:sz w:val="24"/>
                <w:szCs w:val="24"/>
                <w:highlight w:val="none"/>
              </w:rPr>
              <w:t>污单位在申请</w:t>
            </w:r>
            <w:r>
              <w:rPr>
                <w:rFonts w:hint="default" w:ascii="Times New Roman" w:hAnsi="Times New Roman" w:eastAsia="宋体" w:cs="Times New Roman"/>
                <w:color w:val="auto"/>
                <w:spacing w:val="-10"/>
                <w:sz w:val="24"/>
                <w:szCs w:val="24"/>
                <w:highlight w:val="none"/>
              </w:rPr>
              <w:t>排污许可证时，应按《排污许可证申请与核发技术规范橡胶和塑料制品》（</w:t>
            </w:r>
            <w:r>
              <w:rPr>
                <w:rFonts w:hint="default" w:ascii="Times New Roman" w:hAnsi="Times New Roman" w:eastAsia="Times New Roman" w:cs="Times New Roman"/>
                <w:color w:val="auto"/>
                <w:spacing w:val="-10"/>
                <w:sz w:val="24"/>
                <w:szCs w:val="24"/>
                <w:highlight w:val="none"/>
              </w:rPr>
              <w:t>HJ</w:t>
            </w:r>
            <w:r>
              <w:rPr>
                <w:rFonts w:hint="default" w:ascii="Times New Roman" w:hAnsi="Times New Roman" w:eastAsia="Times New Roman" w:cs="Times New Roman"/>
                <w:color w:val="auto"/>
                <w:spacing w:val="-1"/>
                <w:sz w:val="24"/>
                <w:szCs w:val="24"/>
                <w:highlight w:val="none"/>
              </w:rPr>
              <w:t>1122-2020</w:t>
            </w:r>
            <w:r>
              <w:rPr>
                <w:rFonts w:hint="default" w:ascii="Times New Roman" w:hAnsi="Times New Roman" w:eastAsia="宋体" w:cs="Times New Roman"/>
                <w:color w:val="auto"/>
                <w:spacing w:val="-1"/>
                <w:sz w:val="24"/>
                <w:szCs w:val="24"/>
                <w:highlight w:val="none"/>
              </w:rPr>
              <w:t>）相关标准规定，在全国排污许可证管</w:t>
            </w:r>
            <w:r>
              <w:rPr>
                <w:rFonts w:hint="default" w:ascii="Times New Roman" w:hAnsi="Times New Roman" w:eastAsia="宋体" w:cs="Times New Roman"/>
                <w:color w:val="auto"/>
                <w:spacing w:val="-2"/>
                <w:sz w:val="24"/>
                <w:szCs w:val="24"/>
                <w:highlight w:val="none"/>
              </w:rPr>
              <w:t>理信息平台中明确环境管理</w:t>
            </w:r>
            <w:r>
              <w:rPr>
                <w:rFonts w:hint="default" w:ascii="Times New Roman" w:hAnsi="Times New Roman" w:eastAsia="宋体" w:cs="Times New Roman"/>
                <w:color w:val="auto"/>
                <w:spacing w:val="1"/>
                <w:sz w:val="24"/>
                <w:szCs w:val="24"/>
                <w:highlight w:val="none"/>
              </w:rPr>
              <w:t>台账记录要求。建立环境管理台账制度，落实环境管理台账记录的责</w:t>
            </w:r>
            <w:r>
              <w:rPr>
                <w:rFonts w:hint="default" w:ascii="Times New Roman" w:hAnsi="Times New Roman" w:eastAsia="宋体" w:cs="Times New Roman"/>
                <w:color w:val="auto"/>
                <w:sz w:val="24"/>
                <w:szCs w:val="24"/>
                <w:highlight w:val="none"/>
              </w:rPr>
              <w:t>任单位</w:t>
            </w:r>
            <w:r>
              <w:rPr>
                <w:rFonts w:hint="default" w:ascii="Times New Roman" w:hAnsi="Times New Roman" w:eastAsia="宋体" w:cs="Times New Roman"/>
                <w:color w:val="auto"/>
                <w:spacing w:val="1"/>
                <w:sz w:val="24"/>
                <w:szCs w:val="24"/>
                <w:highlight w:val="none"/>
              </w:rPr>
              <w:t>和责任人，明确工作职责，包括台账的记录、整理、维护和管理等，</w:t>
            </w:r>
            <w:r>
              <w:rPr>
                <w:rFonts w:hint="default" w:ascii="Times New Roman" w:hAnsi="Times New Roman" w:eastAsia="宋体" w:cs="Times New Roman"/>
                <w:color w:val="auto"/>
                <w:sz w:val="24"/>
                <w:szCs w:val="24"/>
                <w:highlight w:val="none"/>
              </w:rPr>
              <w:t>台账记</w:t>
            </w:r>
            <w:r>
              <w:rPr>
                <w:rFonts w:hint="default" w:ascii="Times New Roman" w:hAnsi="Times New Roman" w:eastAsia="宋体" w:cs="Times New Roman"/>
                <w:color w:val="auto"/>
                <w:spacing w:val="-4"/>
                <w:sz w:val="24"/>
                <w:szCs w:val="24"/>
                <w:highlight w:val="none"/>
              </w:rPr>
              <w:t>录频次和内容须满足排污许可证环境管理要求，并对台账记录结果的真实性、</w:t>
            </w:r>
            <w:r>
              <w:rPr>
                <w:rFonts w:hint="default" w:ascii="Times New Roman" w:hAnsi="Times New Roman" w:eastAsia="宋体" w:cs="Times New Roman"/>
                <w:color w:val="auto"/>
                <w:spacing w:val="-1"/>
                <w:sz w:val="24"/>
                <w:szCs w:val="24"/>
                <w:highlight w:val="none"/>
              </w:rPr>
              <w:t>完整性和规范性负责。</w:t>
            </w:r>
          </w:p>
          <w:p w14:paraId="2AB2CF40">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7.2</w:t>
            </w:r>
            <w:r>
              <w:rPr>
                <w:rFonts w:hint="default" w:ascii="Times New Roman" w:hAnsi="Times New Roman" w:eastAsia="宋体" w:cs="Times New Roman"/>
                <w:b/>
                <w:bCs/>
                <w:color w:val="auto"/>
                <w:spacing w:val="-2"/>
                <w:sz w:val="24"/>
                <w:szCs w:val="24"/>
                <w:highlight w:val="none"/>
              </w:rPr>
              <w:t>危险废物环境管理计划</w:t>
            </w:r>
          </w:p>
          <w:p w14:paraId="278B0C38">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1</w:t>
            </w:r>
            <w:r>
              <w:rPr>
                <w:rFonts w:hint="default" w:ascii="Times New Roman" w:hAnsi="Times New Roman" w:eastAsia="宋体" w:cs="Times New Roman"/>
                <w:color w:val="auto"/>
                <w:spacing w:val="-3"/>
                <w:sz w:val="24"/>
                <w:szCs w:val="24"/>
                <w:highlight w:val="none"/>
              </w:rPr>
              <w:t>）危险废物产生</w:t>
            </w:r>
          </w:p>
          <w:p w14:paraId="5B40CE4B">
            <w:pPr>
              <w:keepNext w:val="0"/>
              <w:keepLines w:val="0"/>
              <w:pageBreakBefore w:val="0"/>
              <w:widowControl/>
              <w:kinsoku w:val="0"/>
              <w:wordWrap/>
              <w:overflowPunct/>
              <w:topLinePunct w:val="0"/>
              <w:autoSpaceDE w:val="0"/>
              <w:autoSpaceDN w:val="0"/>
              <w:bidi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危险废物产生情况应按《危险废物管理计划和管理台账制定技术导则》</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HJ1259-2022</w:t>
            </w:r>
            <w:r>
              <w:rPr>
                <w:rFonts w:hint="default" w:ascii="Times New Roman" w:hAnsi="Times New Roman" w:eastAsia="宋体" w:cs="Times New Roman"/>
                <w:color w:val="auto"/>
                <w:spacing w:val="-1"/>
                <w:sz w:val="24"/>
                <w:szCs w:val="24"/>
                <w:highlight w:val="none"/>
              </w:rPr>
              <w:t>）附录</w:t>
            </w:r>
            <w:r>
              <w:rPr>
                <w:rFonts w:hint="default" w:ascii="Times New Roman" w:hAnsi="Times New Roman" w:eastAsia="Times New Roman" w:cs="Times New Roman"/>
                <w:color w:val="auto"/>
                <w:spacing w:val="-1"/>
                <w:sz w:val="24"/>
                <w:szCs w:val="24"/>
                <w:highlight w:val="none"/>
              </w:rPr>
              <w:t>A.3</w:t>
            </w:r>
            <w:r>
              <w:rPr>
                <w:rFonts w:hint="default" w:ascii="Times New Roman" w:hAnsi="Times New Roman" w:eastAsia="宋体" w:cs="Times New Roman"/>
                <w:color w:val="auto"/>
                <w:spacing w:val="-1"/>
                <w:sz w:val="24"/>
                <w:szCs w:val="24"/>
                <w:highlight w:val="none"/>
              </w:rPr>
              <w:t>填写，填写应满足以下要求。</w:t>
            </w:r>
          </w:p>
          <w:p w14:paraId="2061DBD9">
            <w:pPr>
              <w:keepNext w:val="0"/>
              <w:keepLines w:val="0"/>
              <w:pageBreakBefore w:val="0"/>
              <w:widowControl/>
              <w:kinsoku w:val="0"/>
              <w:wordWrap/>
              <w:overflowPunct/>
              <w:topLinePunct w:val="0"/>
              <w:autoSpaceDE w:val="0"/>
              <w:autoSpaceDN w:val="0"/>
              <w:bidi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①危险废物名称、类别、代码和危险特性：依据《国家危险废物名录》</w:t>
            </w:r>
            <w:r>
              <w:rPr>
                <w:rFonts w:hint="default" w:ascii="Times New Roman" w:hAnsi="Times New Roman" w:eastAsia="宋体" w:cs="Times New Roman"/>
                <w:color w:val="auto"/>
                <w:spacing w:val="-2"/>
                <w:sz w:val="24"/>
                <w:szCs w:val="24"/>
                <w:highlight w:val="none"/>
              </w:rPr>
              <w:t>或根据</w:t>
            </w:r>
            <w:r>
              <w:rPr>
                <w:rFonts w:hint="default" w:ascii="Times New Roman" w:hAnsi="Times New Roman" w:eastAsia="Times New Roman" w:cs="Times New Roman"/>
                <w:color w:val="auto"/>
                <w:spacing w:val="-2"/>
                <w:sz w:val="24"/>
                <w:szCs w:val="24"/>
                <w:highlight w:val="none"/>
              </w:rPr>
              <w:t>GB5085.1~7</w:t>
            </w:r>
            <w:r>
              <w:rPr>
                <w:rFonts w:hint="default" w:ascii="Times New Roman" w:hAnsi="Times New Roman" w:eastAsia="宋体" w:cs="Times New Roman"/>
                <w:color w:val="auto"/>
                <w:spacing w:val="-2"/>
                <w:sz w:val="24"/>
                <w:szCs w:val="24"/>
                <w:highlight w:val="none"/>
              </w:rPr>
              <w:t>和</w:t>
            </w:r>
            <w:r>
              <w:rPr>
                <w:rFonts w:hint="default" w:ascii="Times New Roman" w:hAnsi="Times New Roman" w:eastAsia="Times New Roman" w:cs="Times New Roman"/>
                <w:color w:val="auto"/>
                <w:spacing w:val="-2"/>
                <w:sz w:val="24"/>
                <w:szCs w:val="24"/>
                <w:highlight w:val="none"/>
              </w:rPr>
              <w:t>HJ298</w:t>
            </w:r>
            <w:r>
              <w:rPr>
                <w:rFonts w:hint="default" w:ascii="Times New Roman" w:hAnsi="Times New Roman" w:eastAsia="宋体" w:cs="Times New Roman"/>
                <w:color w:val="auto"/>
                <w:spacing w:val="-2"/>
                <w:sz w:val="24"/>
                <w:szCs w:val="24"/>
                <w:highlight w:val="none"/>
              </w:rPr>
              <w:t>判定并填写。有行业俗称或单位内部名称的，</w:t>
            </w:r>
            <w:r>
              <w:rPr>
                <w:rFonts w:hint="default" w:ascii="Times New Roman" w:hAnsi="Times New Roman" w:eastAsia="宋体" w:cs="Times New Roman"/>
                <w:color w:val="auto"/>
                <w:spacing w:val="-1"/>
                <w:sz w:val="24"/>
                <w:szCs w:val="24"/>
                <w:highlight w:val="none"/>
              </w:rPr>
              <w:t>同时填写行业俗称或单位内部名称。</w:t>
            </w:r>
          </w:p>
          <w:p w14:paraId="621A87A4">
            <w:pPr>
              <w:keepNext w:val="0"/>
              <w:keepLines w:val="0"/>
              <w:pageBreakBefore w:val="0"/>
              <w:widowControl/>
              <w:kinsoku w:val="0"/>
              <w:wordWrap/>
              <w:overflowPunct/>
              <w:topLinePunct w:val="0"/>
              <w:autoSpaceDE w:val="0"/>
              <w:autoSpaceDN w:val="0"/>
              <w:bidi w:val="0"/>
              <w:snapToGrid w:val="0"/>
              <w:spacing w:line="360" w:lineRule="auto"/>
              <w:ind w:left="0" w:right="0" w:firstLine="46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4"/>
                <w:sz w:val="24"/>
                <w:szCs w:val="24"/>
                <w:highlight w:val="none"/>
              </w:rPr>
              <w:t>②有害成分名称：危险废物中对环境有害的主要污染物名称，如苯系物、</w:t>
            </w:r>
            <w:r>
              <w:rPr>
                <w:rFonts w:hint="default" w:ascii="Times New Roman" w:hAnsi="Times New Roman" w:eastAsia="宋体" w:cs="Times New Roman"/>
                <w:color w:val="auto"/>
                <w:spacing w:val="-2"/>
                <w:sz w:val="24"/>
                <w:szCs w:val="24"/>
                <w:highlight w:val="none"/>
              </w:rPr>
              <w:t>氰化物、砷等。</w:t>
            </w:r>
          </w:p>
          <w:p w14:paraId="55315C95">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③产生危险废物设施名称和编码：依据排污许可证副本中载明的编码。</w:t>
            </w:r>
            <w:r>
              <w:rPr>
                <w:rFonts w:hint="default" w:ascii="Times New Roman" w:hAnsi="Times New Roman" w:eastAsia="宋体" w:cs="Times New Roman"/>
                <w:color w:val="auto"/>
                <w:spacing w:val="-2"/>
                <w:sz w:val="24"/>
                <w:szCs w:val="24"/>
                <w:highlight w:val="none"/>
              </w:rPr>
              <w:t>若无编码，则根据</w:t>
            </w:r>
            <w:r>
              <w:rPr>
                <w:rFonts w:hint="default" w:ascii="Times New Roman" w:hAnsi="Times New Roman" w:eastAsia="Times New Roman" w:cs="Times New Roman"/>
                <w:color w:val="auto"/>
                <w:spacing w:val="-2"/>
                <w:sz w:val="24"/>
                <w:szCs w:val="24"/>
                <w:highlight w:val="none"/>
              </w:rPr>
              <w:t>HJ608</w:t>
            </w:r>
            <w:r>
              <w:rPr>
                <w:rFonts w:hint="default" w:ascii="Times New Roman" w:hAnsi="Times New Roman" w:eastAsia="宋体" w:cs="Times New Roman"/>
                <w:color w:val="auto"/>
                <w:spacing w:val="-2"/>
                <w:sz w:val="24"/>
                <w:szCs w:val="24"/>
                <w:highlight w:val="none"/>
              </w:rPr>
              <w:t>进行编码并填写生产设施名称、生产设施编码，可</w:t>
            </w:r>
            <w:r>
              <w:rPr>
                <w:rFonts w:hint="default" w:ascii="Times New Roman" w:hAnsi="Times New Roman" w:eastAsia="宋体" w:cs="Times New Roman"/>
                <w:color w:val="auto"/>
                <w:spacing w:val="-1"/>
                <w:sz w:val="24"/>
                <w:szCs w:val="24"/>
                <w:highlight w:val="none"/>
              </w:rPr>
              <w:t>由国家危险废物信息管理系统自动生成。</w:t>
            </w:r>
          </w:p>
          <w:p w14:paraId="2D9C5EF3">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④本年度预计产生量：本年度预计产生的危险废物量。</w:t>
            </w:r>
          </w:p>
          <w:p w14:paraId="619E3F81">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⑤计量单位：填写吨。以升、立方米等体积计量的，应折算成重量吨；</w:t>
            </w:r>
            <w:r>
              <w:rPr>
                <w:rFonts w:hint="default" w:ascii="Times New Roman" w:hAnsi="Times New Roman" w:eastAsia="宋体" w:cs="Times New Roman"/>
                <w:color w:val="auto"/>
                <w:spacing w:val="-2"/>
                <w:sz w:val="24"/>
                <w:szCs w:val="24"/>
                <w:highlight w:val="none"/>
              </w:rPr>
              <w:t>以个数作为计量单位的，除填写个数外，还应折算成重量吨。</w:t>
            </w:r>
          </w:p>
          <w:p w14:paraId="0962B2E9">
            <w:pPr>
              <w:keepNext w:val="0"/>
              <w:keepLines w:val="0"/>
              <w:pageBreakBefore w:val="0"/>
              <w:widowControl/>
              <w:kinsoku w:val="0"/>
              <w:wordWrap/>
              <w:overflowPunct/>
              <w:topLinePunct w:val="0"/>
              <w:autoSpaceDE w:val="0"/>
              <w:autoSpaceDN w:val="0"/>
              <w:bidi w:val="0"/>
              <w:snapToGrid w:val="0"/>
              <w:spacing w:line="360" w:lineRule="auto"/>
              <w:ind w:left="0" w:right="0" w:firstLine="472"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⑥内部治理方式及去向：自行利用设施编码、自行</w:t>
            </w:r>
            <w:r>
              <w:rPr>
                <w:rFonts w:hint="default" w:ascii="Times New Roman" w:hAnsi="Times New Roman" w:eastAsia="宋体" w:cs="Times New Roman"/>
                <w:color w:val="auto"/>
                <w:spacing w:val="-3"/>
                <w:sz w:val="24"/>
                <w:szCs w:val="24"/>
                <w:highlight w:val="none"/>
              </w:rPr>
              <w:t>处置设施编码和贮存</w:t>
            </w:r>
            <w:r>
              <w:rPr>
                <w:rFonts w:hint="default" w:ascii="Times New Roman" w:hAnsi="Times New Roman" w:eastAsia="宋体" w:cs="Times New Roman"/>
                <w:color w:val="auto"/>
                <w:spacing w:val="-2"/>
                <w:sz w:val="24"/>
                <w:szCs w:val="24"/>
                <w:highlight w:val="none"/>
              </w:rPr>
              <w:t>设施编码依据本标准第</w:t>
            </w:r>
          </w:p>
          <w:p w14:paraId="3B195F87">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⑦部分填写的污染防治设施编码填写，可由国家危险废物信息管理系统</w:t>
            </w:r>
            <w:r>
              <w:rPr>
                <w:rFonts w:hint="default" w:ascii="Times New Roman" w:hAnsi="Times New Roman" w:eastAsia="宋体" w:cs="Times New Roman"/>
                <w:color w:val="auto"/>
                <w:spacing w:val="-10"/>
                <w:sz w:val="24"/>
                <w:szCs w:val="24"/>
                <w:highlight w:val="none"/>
              </w:rPr>
              <w:t>自动生成。</w:t>
            </w:r>
          </w:p>
          <w:p w14:paraId="63C22A91">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2</w:t>
            </w:r>
            <w:r>
              <w:rPr>
                <w:rFonts w:hint="default" w:ascii="Times New Roman" w:hAnsi="Times New Roman" w:eastAsia="宋体" w:cs="Times New Roman"/>
                <w:color w:val="auto"/>
                <w:spacing w:val="-3"/>
                <w:sz w:val="24"/>
                <w:szCs w:val="24"/>
                <w:highlight w:val="none"/>
              </w:rPr>
              <w:t>）危险废物贮存</w:t>
            </w:r>
          </w:p>
          <w:p w14:paraId="6F50FE81">
            <w:pPr>
              <w:keepNext w:val="0"/>
              <w:keepLines w:val="0"/>
              <w:pageBreakBefore w:val="0"/>
              <w:widowControl/>
              <w:kinsoku w:val="0"/>
              <w:wordWrap/>
              <w:overflowPunct/>
              <w:topLinePunct w:val="0"/>
              <w:autoSpaceDE w:val="0"/>
              <w:autoSpaceDN w:val="0"/>
              <w:bidi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危险废物贮存情况应按《危险废物管理计划和管理台账制定技术导则》</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HJ1259-2022</w:t>
            </w:r>
            <w:r>
              <w:rPr>
                <w:rFonts w:hint="default" w:ascii="Times New Roman" w:hAnsi="Times New Roman" w:eastAsia="宋体" w:cs="Times New Roman"/>
                <w:color w:val="auto"/>
                <w:spacing w:val="-1"/>
                <w:sz w:val="24"/>
                <w:szCs w:val="24"/>
                <w:highlight w:val="none"/>
              </w:rPr>
              <w:t>）附录</w:t>
            </w:r>
            <w:r>
              <w:rPr>
                <w:rFonts w:hint="default" w:ascii="Times New Roman" w:hAnsi="Times New Roman" w:eastAsia="Times New Roman" w:cs="Times New Roman"/>
                <w:color w:val="auto"/>
                <w:spacing w:val="-1"/>
                <w:sz w:val="24"/>
                <w:szCs w:val="24"/>
                <w:highlight w:val="none"/>
              </w:rPr>
              <w:t>A.4</w:t>
            </w:r>
            <w:r>
              <w:rPr>
                <w:rFonts w:hint="default" w:ascii="Times New Roman" w:hAnsi="Times New Roman" w:eastAsia="宋体" w:cs="Times New Roman"/>
                <w:color w:val="auto"/>
                <w:spacing w:val="-1"/>
                <w:sz w:val="24"/>
                <w:szCs w:val="24"/>
                <w:highlight w:val="none"/>
              </w:rPr>
              <w:t>填写，填写应满足以下要求。</w:t>
            </w:r>
          </w:p>
          <w:p w14:paraId="3EB2C2AE">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①危险废物名称、类别、代码、有害成分名称、形态、危险特性的相关</w:t>
            </w:r>
            <w:r>
              <w:rPr>
                <w:rFonts w:hint="default" w:ascii="Times New Roman" w:hAnsi="Times New Roman" w:eastAsia="宋体" w:cs="Times New Roman"/>
                <w:color w:val="auto"/>
                <w:spacing w:val="-1"/>
                <w:sz w:val="24"/>
                <w:szCs w:val="24"/>
                <w:highlight w:val="none"/>
              </w:rPr>
              <w:t>信息填写，可由国家危险废物信息管理系统自动生成。</w:t>
            </w:r>
          </w:p>
          <w:p w14:paraId="5914B4EB">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②贮存设施编码：依据排污许可证副本中载明的编码。若无编码，则根</w:t>
            </w:r>
            <w:r>
              <w:rPr>
                <w:rFonts w:hint="default" w:ascii="Times New Roman" w:hAnsi="Times New Roman" w:eastAsia="宋体" w:cs="Times New Roman"/>
                <w:color w:val="auto"/>
                <w:spacing w:val="-2"/>
                <w:sz w:val="24"/>
                <w:szCs w:val="24"/>
                <w:highlight w:val="none"/>
              </w:rPr>
              <w:t>据</w:t>
            </w:r>
            <w:r>
              <w:rPr>
                <w:rFonts w:hint="default" w:ascii="Times New Roman" w:hAnsi="Times New Roman" w:eastAsia="Times New Roman" w:cs="Times New Roman"/>
                <w:color w:val="auto"/>
                <w:spacing w:val="-2"/>
                <w:sz w:val="24"/>
                <w:szCs w:val="24"/>
                <w:highlight w:val="none"/>
              </w:rPr>
              <w:t>HJ608</w:t>
            </w:r>
            <w:r>
              <w:rPr>
                <w:rFonts w:hint="default" w:ascii="Times New Roman" w:hAnsi="Times New Roman" w:eastAsia="宋体" w:cs="Times New Roman"/>
                <w:color w:val="auto"/>
                <w:spacing w:val="-2"/>
                <w:sz w:val="24"/>
                <w:szCs w:val="24"/>
                <w:highlight w:val="none"/>
              </w:rPr>
              <w:t>进行编码并填写生产设施名称、生产设施编码，可由国家危险废物</w:t>
            </w:r>
            <w:r>
              <w:rPr>
                <w:rFonts w:hint="default" w:ascii="Times New Roman" w:hAnsi="Times New Roman" w:eastAsia="宋体" w:cs="Times New Roman"/>
                <w:color w:val="auto"/>
                <w:spacing w:val="-1"/>
                <w:sz w:val="24"/>
                <w:szCs w:val="24"/>
                <w:highlight w:val="none"/>
              </w:rPr>
              <w:t>信息管理系统自动生成。</w:t>
            </w:r>
          </w:p>
          <w:p w14:paraId="0759F5F7">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③贮存设施类型：根据</w:t>
            </w:r>
            <w:r>
              <w:rPr>
                <w:rFonts w:hint="default" w:ascii="Times New Roman" w:hAnsi="Times New Roman" w:eastAsia="Times New Roman" w:cs="Times New Roman"/>
                <w:color w:val="auto"/>
                <w:spacing w:val="-3"/>
                <w:sz w:val="24"/>
                <w:szCs w:val="24"/>
                <w:highlight w:val="none"/>
              </w:rPr>
              <w:t>GB18597</w:t>
            </w:r>
            <w:r>
              <w:rPr>
                <w:rFonts w:hint="default" w:ascii="Times New Roman" w:hAnsi="Times New Roman" w:eastAsia="宋体" w:cs="Times New Roman"/>
                <w:color w:val="auto"/>
                <w:spacing w:val="-3"/>
                <w:sz w:val="24"/>
                <w:szCs w:val="24"/>
                <w:highlight w:val="none"/>
              </w:rPr>
              <w:t>中贮存设施类型填写。</w:t>
            </w:r>
          </w:p>
          <w:p w14:paraId="40602BC9">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④包装形式：包括包装容器、材质、规格等。</w:t>
            </w:r>
          </w:p>
          <w:p w14:paraId="4AF9C39B">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⑤本年度预计剩余贮存量：预计截至本年底贮存设施内危险废物的库存</w:t>
            </w:r>
            <w:r>
              <w:rPr>
                <w:rFonts w:hint="default" w:ascii="Times New Roman" w:hAnsi="Times New Roman" w:eastAsia="宋体" w:cs="Times New Roman"/>
                <w:color w:val="auto"/>
                <w:spacing w:val="-5"/>
                <w:sz w:val="24"/>
                <w:szCs w:val="24"/>
                <w:highlight w:val="none"/>
              </w:rPr>
              <w:t>量。</w:t>
            </w:r>
          </w:p>
          <w:p w14:paraId="63A29575">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⑥计量单位：填写吨。以升、立方米等体积计量的，应折算成重量吨；</w:t>
            </w:r>
            <w:r>
              <w:rPr>
                <w:rFonts w:hint="default" w:ascii="Times New Roman" w:hAnsi="Times New Roman" w:eastAsia="宋体" w:cs="Times New Roman"/>
                <w:color w:val="auto"/>
                <w:spacing w:val="-2"/>
                <w:sz w:val="24"/>
                <w:szCs w:val="24"/>
                <w:highlight w:val="none"/>
              </w:rPr>
              <w:t>以个数作为计量单位的，除填写个数外，还应折算成重量吨。</w:t>
            </w:r>
          </w:p>
          <w:p w14:paraId="380592BC">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⑦危险废物贮存能力应与排污许可证副本中载明的保持一致，或根据产</w:t>
            </w:r>
            <w:r>
              <w:rPr>
                <w:rFonts w:hint="default" w:ascii="Times New Roman" w:hAnsi="Times New Roman" w:eastAsia="宋体" w:cs="Times New Roman"/>
                <w:color w:val="auto"/>
                <w:spacing w:val="-1"/>
                <w:sz w:val="24"/>
                <w:szCs w:val="24"/>
                <w:highlight w:val="none"/>
              </w:rPr>
              <w:t>生危险废物的单位环境影响评价文件及审批意见确定。</w:t>
            </w:r>
          </w:p>
          <w:p w14:paraId="24C8545E">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w:t>
            </w:r>
            <w:r>
              <w:rPr>
                <w:rFonts w:hint="default" w:ascii="Times New Roman" w:hAnsi="Times New Roman" w:eastAsia="Times New Roman" w:cs="Times New Roman"/>
                <w:color w:val="auto"/>
                <w:spacing w:val="-3"/>
                <w:sz w:val="24"/>
                <w:szCs w:val="24"/>
                <w:highlight w:val="none"/>
              </w:rPr>
              <w:t>3</w:t>
            </w:r>
            <w:r>
              <w:rPr>
                <w:rFonts w:hint="default" w:ascii="Times New Roman" w:hAnsi="Times New Roman" w:eastAsia="宋体" w:cs="Times New Roman"/>
                <w:color w:val="auto"/>
                <w:spacing w:val="-3"/>
                <w:sz w:val="24"/>
                <w:szCs w:val="24"/>
                <w:highlight w:val="none"/>
              </w:rPr>
              <w:t>）危险废物转移</w:t>
            </w:r>
          </w:p>
          <w:p w14:paraId="73C2D427">
            <w:pPr>
              <w:keepNext w:val="0"/>
              <w:keepLines w:val="0"/>
              <w:pageBreakBefore w:val="0"/>
              <w:widowControl/>
              <w:kinsoku w:val="0"/>
              <w:wordWrap/>
              <w:overflowPunct/>
              <w:topLinePunct w:val="0"/>
              <w:autoSpaceDE w:val="0"/>
              <w:autoSpaceDN w:val="0"/>
              <w:bidi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危险废物转移情况应按《危险废物管理计划和管理台账制定技术导则》</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HJ1259-2022</w:t>
            </w:r>
            <w:r>
              <w:rPr>
                <w:rFonts w:hint="default" w:ascii="Times New Roman" w:hAnsi="Times New Roman" w:eastAsia="宋体" w:cs="Times New Roman"/>
                <w:color w:val="auto"/>
                <w:spacing w:val="-1"/>
                <w:sz w:val="24"/>
                <w:szCs w:val="24"/>
                <w:highlight w:val="none"/>
              </w:rPr>
              <w:t>）附录</w:t>
            </w:r>
            <w:r>
              <w:rPr>
                <w:rFonts w:hint="default" w:ascii="Times New Roman" w:hAnsi="Times New Roman" w:eastAsia="Times New Roman" w:cs="Times New Roman"/>
                <w:color w:val="auto"/>
                <w:spacing w:val="-1"/>
                <w:sz w:val="24"/>
                <w:szCs w:val="24"/>
                <w:highlight w:val="none"/>
              </w:rPr>
              <w:t>A.7</w:t>
            </w:r>
            <w:r>
              <w:rPr>
                <w:rFonts w:hint="default" w:ascii="Times New Roman" w:hAnsi="Times New Roman" w:eastAsia="宋体" w:cs="Times New Roman"/>
                <w:color w:val="auto"/>
                <w:spacing w:val="-1"/>
                <w:sz w:val="24"/>
                <w:szCs w:val="24"/>
                <w:highlight w:val="none"/>
              </w:rPr>
              <w:t>填写，填写应满足以下要求。</w:t>
            </w:r>
          </w:p>
          <w:p w14:paraId="2390AB33">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①转移类型：指省内转移、跨省转移和境外转移。</w:t>
            </w:r>
          </w:p>
          <w:p w14:paraId="1F7529D9">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②危险废物名称、类别、代码、有害成分名称、形态、危险特性填写相</w:t>
            </w:r>
            <w:r>
              <w:rPr>
                <w:rFonts w:hint="default" w:ascii="Times New Roman" w:hAnsi="Times New Roman" w:eastAsia="宋体" w:cs="Times New Roman"/>
                <w:color w:val="auto"/>
                <w:spacing w:val="-1"/>
                <w:sz w:val="24"/>
                <w:szCs w:val="24"/>
                <w:highlight w:val="none"/>
              </w:rPr>
              <w:t>关信息，可由国家危险废物信息管理系统自动生成。</w:t>
            </w:r>
          </w:p>
          <w:p w14:paraId="3C1C5C92">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②本年度预计转移量：本年度预计转移的危险废物量。</w:t>
            </w:r>
          </w:p>
          <w:p w14:paraId="418FBDC1">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③计量单位：填写吨。以升、立方米等体积计量的，应折算成重量吨；</w:t>
            </w:r>
            <w:r>
              <w:rPr>
                <w:rFonts w:hint="default" w:ascii="Times New Roman" w:hAnsi="Times New Roman" w:eastAsia="宋体" w:cs="Times New Roman"/>
                <w:color w:val="auto"/>
                <w:spacing w:val="-2"/>
                <w:sz w:val="24"/>
                <w:szCs w:val="24"/>
                <w:highlight w:val="none"/>
              </w:rPr>
              <w:t>以个数作为计量单位的，除填写个数外，还应折算成重量吨。</w:t>
            </w:r>
          </w:p>
          <w:p w14:paraId="60A66528">
            <w:pPr>
              <w:keepNext w:val="0"/>
              <w:keepLines w:val="0"/>
              <w:pageBreakBefore w:val="0"/>
              <w:widowControl/>
              <w:kinsoku w:val="0"/>
              <w:wordWrap/>
              <w:overflowPunct/>
              <w:topLinePunct w:val="0"/>
              <w:autoSpaceDE w:val="0"/>
              <w:autoSpaceDN w:val="0"/>
              <w:bidi w:val="0"/>
              <w:snapToGrid w:val="0"/>
              <w:spacing w:line="360" w:lineRule="auto"/>
              <w:ind w:left="0" w:right="0" w:firstLine="468"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④利用</w:t>
            </w:r>
            <w:r>
              <w:rPr>
                <w:rFonts w:hint="default" w:ascii="Times New Roman" w:hAnsi="Times New Roman" w:eastAsia="Times New Roman" w:cs="Times New Roman"/>
                <w:color w:val="auto"/>
                <w:spacing w:val="-3"/>
                <w:sz w:val="24"/>
                <w:szCs w:val="24"/>
                <w:highlight w:val="none"/>
              </w:rPr>
              <w:t>/</w:t>
            </w:r>
            <w:r>
              <w:rPr>
                <w:rFonts w:hint="default" w:ascii="Times New Roman" w:hAnsi="Times New Roman" w:eastAsia="宋体" w:cs="Times New Roman"/>
                <w:color w:val="auto"/>
                <w:spacing w:val="-3"/>
                <w:sz w:val="24"/>
                <w:szCs w:val="24"/>
                <w:highlight w:val="none"/>
              </w:rPr>
              <w:t>处置方式代码：根据</w:t>
            </w:r>
            <w:r>
              <w:rPr>
                <w:rFonts w:hint="default" w:ascii="Times New Roman" w:hAnsi="Times New Roman" w:eastAsia="Times New Roman" w:cs="Times New Roman"/>
                <w:color w:val="auto"/>
                <w:spacing w:val="-3"/>
                <w:sz w:val="24"/>
                <w:szCs w:val="24"/>
                <w:highlight w:val="none"/>
              </w:rPr>
              <w:t>HJ1033</w:t>
            </w:r>
            <w:r>
              <w:rPr>
                <w:rFonts w:hint="default" w:ascii="Times New Roman" w:hAnsi="Times New Roman" w:eastAsia="宋体" w:cs="Times New Roman"/>
                <w:color w:val="auto"/>
                <w:spacing w:val="-3"/>
                <w:sz w:val="24"/>
                <w:szCs w:val="24"/>
                <w:highlight w:val="none"/>
              </w:rPr>
              <w:t>附录</w:t>
            </w:r>
            <w:r>
              <w:rPr>
                <w:rFonts w:hint="default" w:ascii="Times New Roman" w:hAnsi="Times New Roman" w:eastAsia="Times New Roman" w:cs="Times New Roman"/>
                <w:color w:val="auto"/>
                <w:spacing w:val="-3"/>
                <w:sz w:val="24"/>
                <w:szCs w:val="24"/>
                <w:highlight w:val="none"/>
              </w:rPr>
              <w:t>F</w:t>
            </w:r>
            <w:r>
              <w:rPr>
                <w:rFonts w:hint="default" w:ascii="Times New Roman" w:hAnsi="Times New Roman" w:eastAsia="宋体" w:cs="Times New Roman"/>
                <w:color w:val="auto"/>
                <w:spacing w:val="-3"/>
                <w:sz w:val="24"/>
                <w:szCs w:val="24"/>
                <w:highlight w:val="none"/>
              </w:rPr>
              <w:t>填写。</w:t>
            </w:r>
          </w:p>
          <w:p w14:paraId="30114E85">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⑤拟接收单位类型：危险废物经营许可证持有单位、危险废物利用处置</w:t>
            </w:r>
            <w:r>
              <w:rPr>
                <w:rFonts w:hint="default" w:ascii="Times New Roman" w:hAnsi="Times New Roman" w:eastAsia="宋体" w:cs="Times New Roman"/>
                <w:color w:val="auto"/>
                <w:sz w:val="24"/>
                <w:szCs w:val="24"/>
                <w:highlight w:val="none"/>
              </w:rPr>
              <w:t>环节豁免管理单位、中华人民共和国境外的危</w:t>
            </w:r>
            <w:r>
              <w:rPr>
                <w:rFonts w:hint="default" w:ascii="Times New Roman" w:hAnsi="Times New Roman" w:eastAsia="宋体" w:cs="Times New Roman"/>
                <w:color w:val="auto"/>
                <w:spacing w:val="-1"/>
                <w:sz w:val="24"/>
                <w:szCs w:val="24"/>
                <w:highlight w:val="none"/>
              </w:rPr>
              <w:t>险废物利用处置单位等。</w:t>
            </w:r>
            <w:r>
              <w:rPr>
                <w:rFonts w:hint="default" w:ascii="Times New Roman" w:hAnsi="Times New Roman" w:eastAsia="宋体" w:cs="Times New Roman"/>
                <w:color w:val="auto"/>
                <w:spacing w:val="1"/>
                <w:sz w:val="24"/>
                <w:szCs w:val="24"/>
                <w:highlight w:val="none"/>
              </w:rPr>
              <w:t>⑥拟接收危险废物经营许可证持有单位名称、经营许可证编号：应当与国家危险废物信息管理系统中登记的危险废物经营许可证持</w:t>
            </w:r>
            <w:r>
              <w:rPr>
                <w:rFonts w:hint="default" w:ascii="Times New Roman" w:hAnsi="Times New Roman" w:eastAsia="宋体" w:cs="Times New Roman"/>
                <w:color w:val="auto"/>
                <w:sz w:val="24"/>
                <w:szCs w:val="24"/>
                <w:highlight w:val="none"/>
              </w:rPr>
              <w:t>有单位相关信息</w:t>
            </w:r>
            <w:r>
              <w:rPr>
                <w:rFonts w:hint="default" w:ascii="Times New Roman" w:hAnsi="Times New Roman" w:eastAsia="宋体" w:cs="Times New Roman"/>
                <w:color w:val="auto"/>
                <w:spacing w:val="-1"/>
                <w:sz w:val="24"/>
                <w:szCs w:val="24"/>
                <w:highlight w:val="none"/>
              </w:rPr>
              <w:t>关联并一致，可由国家危险废物信息管理系统自动生成。</w:t>
            </w:r>
          </w:p>
          <w:p w14:paraId="322D2C10">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⑦危险废物利用处置环节豁免管理单位的相关信息应在国家危险废物信</w:t>
            </w:r>
            <w:r>
              <w:rPr>
                <w:rFonts w:hint="default" w:ascii="Times New Roman" w:hAnsi="Times New Roman" w:eastAsia="宋体" w:cs="Times New Roman"/>
                <w:color w:val="auto"/>
                <w:spacing w:val="-3"/>
                <w:sz w:val="24"/>
                <w:szCs w:val="24"/>
                <w:highlight w:val="none"/>
              </w:rPr>
              <w:t>息管理系统中登记。</w:t>
            </w:r>
          </w:p>
          <w:p w14:paraId="2C59AF38">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⑧危险废物出口至境外的，应在国家危险废物信息管理系统中填写中华</w:t>
            </w:r>
            <w:r>
              <w:rPr>
                <w:rFonts w:hint="default" w:ascii="Times New Roman" w:hAnsi="Times New Roman" w:eastAsia="宋体" w:cs="Times New Roman"/>
                <w:color w:val="auto"/>
                <w:spacing w:val="-1"/>
                <w:sz w:val="24"/>
                <w:szCs w:val="24"/>
                <w:highlight w:val="none"/>
              </w:rPr>
              <w:t>人民共和国境外的危险废物利用处置单位信息。</w:t>
            </w:r>
          </w:p>
          <w:p w14:paraId="2E4931FC">
            <w:pPr>
              <w:keepNext w:val="0"/>
              <w:keepLines w:val="0"/>
              <w:pageBreakBefore w:val="0"/>
              <w:widowControl/>
              <w:kinsoku w:val="0"/>
              <w:wordWrap/>
              <w:overflowPunct/>
              <w:topLinePunct w:val="0"/>
              <w:autoSpaceDE w:val="0"/>
              <w:autoSpaceDN w:val="0"/>
              <w:bidi w:val="0"/>
              <w:snapToGrid w:val="0"/>
              <w:spacing w:line="360" w:lineRule="auto"/>
              <w:ind w:right="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Times New Roman" w:cs="Times New Roman"/>
                <w:b/>
                <w:bCs/>
                <w:color w:val="auto"/>
                <w:spacing w:val="-2"/>
                <w:sz w:val="24"/>
                <w:szCs w:val="24"/>
                <w:highlight w:val="none"/>
              </w:rPr>
              <w:t>7.3</w:t>
            </w:r>
            <w:r>
              <w:rPr>
                <w:rFonts w:hint="default" w:ascii="Times New Roman" w:hAnsi="Times New Roman" w:eastAsia="宋体" w:cs="Times New Roman"/>
                <w:b/>
                <w:bCs/>
                <w:color w:val="auto"/>
                <w:spacing w:val="-2"/>
                <w:sz w:val="24"/>
                <w:szCs w:val="24"/>
                <w:highlight w:val="none"/>
              </w:rPr>
              <w:t>环境监测</w:t>
            </w:r>
          </w:p>
          <w:p w14:paraId="36CC9045">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环境监测是保证环境管理措施落实的一个基本手段。环境监测能及时、准确地提供环境质量、污染源状况及发展趋势、环保设施运行效果的信</w:t>
            </w:r>
            <w:r>
              <w:rPr>
                <w:rFonts w:hint="default" w:ascii="Times New Roman" w:hAnsi="Times New Roman" w:eastAsia="宋体" w:cs="Times New Roman"/>
                <w:color w:val="auto"/>
                <w:sz w:val="24"/>
                <w:szCs w:val="24"/>
                <w:highlight w:val="none"/>
              </w:rPr>
              <w:t>息。</w:t>
            </w:r>
            <w:r>
              <w:rPr>
                <w:rFonts w:hint="default" w:ascii="Times New Roman" w:hAnsi="Times New Roman" w:eastAsia="宋体" w:cs="Times New Roman"/>
                <w:color w:val="auto"/>
                <w:spacing w:val="1"/>
                <w:sz w:val="24"/>
                <w:szCs w:val="24"/>
                <w:highlight w:val="none"/>
              </w:rPr>
              <w:t>及时发现环境管理措施的不足而及时修正，使环境质量和环境资源维持</w:t>
            </w:r>
            <w:r>
              <w:rPr>
                <w:rFonts w:hint="default" w:ascii="Times New Roman" w:hAnsi="Times New Roman" w:eastAsia="宋体" w:cs="Times New Roman"/>
                <w:color w:val="auto"/>
                <w:sz w:val="24"/>
                <w:szCs w:val="24"/>
                <w:highlight w:val="none"/>
              </w:rPr>
              <w:t>在期</w:t>
            </w:r>
            <w:r>
              <w:rPr>
                <w:rFonts w:hint="default" w:ascii="Times New Roman" w:hAnsi="Times New Roman" w:eastAsia="宋体" w:cs="Times New Roman"/>
                <w:color w:val="auto"/>
                <w:spacing w:val="-2"/>
                <w:sz w:val="24"/>
                <w:szCs w:val="24"/>
                <w:highlight w:val="none"/>
              </w:rPr>
              <w:t>望值之内。</w:t>
            </w:r>
          </w:p>
          <w:p w14:paraId="4231640C">
            <w:pPr>
              <w:keepNext w:val="0"/>
              <w:keepLines w:val="0"/>
              <w:pageBreakBefore w:val="0"/>
              <w:widowControl/>
              <w:kinsoku w:val="0"/>
              <w:wordWrap/>
              <w:overflowPunct/>
              <w:topLinePunct w:val="0"/>
              <w:autoSpaceDE w:val="0"/>
              <w:autoSpaceDN w:val="0"/>
              <w:bidi w:val="0"/>
              <w:snapToGrid w:val="0"/>
              <w:spacing w:line="360" w:lineRule="auto"/>
              <w:ind w:left="0" w:right="0" w:firstLine="488" w:firstLineChars="200"/>
              <w:jc w:val="both"/>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rPr>
              <w:t>根据《排污单位自行监测技术指南总则》（</w:t>
            </w:r>
            <w:r>
              <w:rPr>
                <w:rFonts w:hint="default" w:ascii="Times New Roman" w:hAnsi="Times New Roman" w:eastAsia="Times New Roman" w:cs="Times New Roman"/>
                <w:color w:val="auto"/>
                <w:sz w:val="24"/>
                <w:szCs w:val="24"/>
                <w:highlight w:val="none"/>
              </w:rPr>
              <w:t>HJ</w:t>
            </w:r>
            <w:r>
              <w:rPr>
                <w:rFonts w:hint="default" w:ascii="Times New Roman" w:hAnsi="Times New Roman" w:eastAsia="Times New Roman" w:cs="Times New Roman"/>
                <w:color w:val="auto"/>
                <w:spacing w:val="2"/>
                <w:sz w:val="24"/>
                <w:szCs w:val="24"/>
                <w:highlight w:val="none"/>
              </w:rPr>
              <w:t>819-2017</w:t>
            </w:r>
            <w:r>
              <w:rPr>
                <w:rFonts w:hint="default" w:ascii="Times New Roman" w:hAnsi="Times New Roman" w:eastAsia="宋体" w:cs="Times New Roman"/>
                <w:color w:val="auto"/>
                <w:spacing w:val="2"/>
                <w:sz w:val="24"/>
                <w:szCs w:val="24"/>
                <w:highlight w:val="none"/>
              </w:rPr>
              <w:t>）相关规定，</w:t>
            </w:r>
            <w:r>
              <w:rPr>
                <w:rFonts w:hint="default" w:ascii="Times New Roman" w:hAnsi="Times New Roman" w:eastAsia="宋体" w:cs="Times New Roman"/>
                <w:color w:val="auto"/>
                <w:spacing w:val="1"/>
                <w:sz w:val="24"/>
                <w:szCs w:val="24"/>
                <w:highlight w:val="none"/>
              </w:rPr>
              <w:t>排污单位应按照最新的监测方案开展监测活动，可根据自身条件和能</w:t>
            </w:r>
            <w:r>
              <w:rPr>
                <w:rFonts w:hint="default" w:ascii="Times New Roman" w:hAnsi="Times New Roman" w:eastAsia="宋体" w:cs="Times New Roman"/>
                <w:color w:val="auto"/>
                <w:sz w:val="24"/>
                <w:szCs w:val="24"/>
                <w:highlight w:val="none"/>
              </w:rPr>
              <w:t>力，利用自有人员、场所和设备进行自行监测；也可委托其他有资质的检（监）</w:t>
            </w:r>
            <w:r>
              <w:rPr>
                <w:rFonts w:hint="default" w:ascii="Times New Roman" w:hAnsi="Times New Roman" w:eastAsia="宋体" w:cs="Times New Roman"/>
                <w:color w:val="auto"/>
                <w:spacing w:val="1"/>
                <w:sz w:val="24"/>
                <w:szCs w:val="24"/>
                <w:highlight w:val="none"/>
              </w:rPr>
              <w:t>测机构代其开展自行监测。排污单位应建立自行监测质量管理制度，</w:t>
            </w:r>
            <w:r>
              <w:rPr>
                <w:rFonts w:hint="default" w:ascii="Times New Roman" w:hAnsi="Times New Roman" w:eastAsia="宋体" w:cs="Times New Roman"/>
                <w:color w:val="auto"/>
                <w:sz w:val="24"/>
                <w:szCs w:val="24"/>
                <w:highlight w:val="none"/>
              </w:rPr>
              <w:t>按照相</w:t>
            </w:r>
            <w:r>
              <w:rPr>
                <w:rFonts w:hint="default" w:ascii="Times New Roman" w:hAnsi="Times New Roman" w:eastAsia="宋体" w:cs="Times New Roman"/>
                <w:color w:val="auto"/>
                <w:spacing w:val="1"/>
                <w:sz w:val="24"/>
                <w:szCs w:val="24"/>
                <w:highlight w:val="none"/>
              </w:rPr>
              <w:t>关技术规范要求做好监测质量保证与质量控制，记录好与监测有关的</w:t>
            </w:r>
            <w:r>
              <w:rPr>
                <w:rFonts w:hint="default" w:ascii="Times New Roman" w:hAnsi="Times New Roman" w:eastAsia="宋体" w:cs="Times New Roman"/>
                <w:color w:val="auto"/>
                <w:sz w:val="24"/>
                <w:szCs w:val="24"/>
                <w:highlight w:val="none"/>
              </w:rPr>
              <w:t>数据，</w:t>
            </w:r>
            <w:r>
              <w:rPr>
                <w:rFonts w:hint="default" w:ascii="Times New Roman" w:hAnsi="Times New Roman" w:eastAsia="宋体" w:cs="Times New Roman"/>
                <w:color w:val="auto"/>
                <w:spacing w:val="1"/>
                <w:sz w:val="24"/>
                <w:szCs w:val="24"/>
                <w:highlight w:val="none"/>
              </w:rPr>
              <w:t>按照规定进行保存并依据《企业事业单位环境信息公开办法》（环境</w:t>
            </w:r>
            <w:r>
              <w:rPr>
                <w:rFonts w:hint="default" w:ascii="Times New Roman" w:hAnsi="Times New Roman" w:eastAsia="宋体" w:cs="Times New Roman"/>
                <w:color w:val="auto"/>
                <w:sz w:val="24"/>
                <w:szCs w:val="24"/>
                <w:highlight w:val="none"/>
              </w:rPr>
              <w:t>保护部</w:t>
            </w:r>
            <w:r>
              <w:rPr>
                <w:rFonts w:hint="default" w:ascii="Times New Roman" w:hAnsi="Times New Roman" w:eastAsia="宋体" w:cs="Times New Roman"/>
                <w:color w:val="auto"/>
                <w:spacing w:val="-3"/>
                <w:sz w:val="24"/>
                <w:szCs w:val="24"/>
                <w:highlight w:val="none"/>
              </w:rPr>
              <w:t>令第</w:t>
            </w:r>
            <w:r>
              <w:rPr>
                <w:rFonts w:hint="default" w:ascii="Times New Roman" w:hAnsi="Times New Roman" w:eastAsia="Times New Roman" w:cs="Times New Roman"/>
                <w:color w:val="auto"/>
                <w:spacing w:val="-3"/>
                <w:sz w:val="24"/>
                <w:szCs w:val="24"/>
                <w:highlight w:val="none"/>
              </w:rPr>
              <w:t>31</w:t>
            </w:r>
            <w:r>
              <w:rPr>
                <w:rFonts w:hint="default" w:ascii="Times New Roman" w:hAnsi="Times New Roman" w:eastAsia="宋体" w:cs="Times New Roman"/>
                <w:color w:val="auto"/>
                <w:spacing w:val="-3"/>
                <w:sz w:val="24"/>
                <w:szCs w:val="24"/>
                <w:highlight w:val="none"/>
              </w:rPr>
              <w:t>号）、《国家重点监控企业自行监测及</w:t>
            </w:r>
            <w:r>
              <w:rPr>
                <w:rFonts w:hint="default" w:ascii="Times New Roman" w:hAnsi="Times New Roman" w:eastAsia="宋体" w:cs="Times New Roman"/>
                <w:color w:val="auto"/>
                <w:spacing w:val="-4"/>
                <w:sz w:val="24"/>
                <w:szCs w:val="24"/>
                <w:highlight w:val="none"/>
              </w:rPr>
              <w:t>信息公开办法（试行）》（环</w:t>
            </w:r>
            <w:r>
              <w:rPr>
                <w:rFonts w:hint="default" w:ascii="Times New Roman" w:hAnsi="Times New Roman" w:eastAsia="宋体" w:cs="Times New Roman"/>
                <w:color w:val="auto"/>
                <w:spacing w:val="-1"/>
                <w:sz w:val="24"/>
                <w:szCs w:val="24"/>
                <w:highlight w:val="none"/>
              </w:rPr>
              <w:t>发〔</w:t>
            </w:r>
            <w:r>
              <w:rPr>
                <w:rFonts w:hint="default" w:ascii="Times New Roman" w:hAnsi="Times New Roman" w:eastAsia="Times New Roman" w:cs="Times New Roman"/>
                <w:color w:val="auto"/>
                <w:spacing w:val="-1"/>
                <w:sz w:val="24"/>
                <w:szCs w:val="24"/>
                <w:highlight w:val="none"/>
              </w:rPr>
              <w:t>2013</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pacing w:val="-1"/>
                <w:sz w:val="24"/>
                <w:szCs w:val="24"/>
                <w:highlight w:val="none"/>
              </w:rPr>
              <w:t>81</w:t>
            </w:r>
            <w:r>
              <w:rPr>
                <w:rFonts w:hint="default" w:ascii="Times New Roman" w:hAnsi="Times New Roman" w:eastAsia="宋体" w:cs="Times New Roman"/>
                <w:color w:val="auto"/>
                <w:spacing w:val="-1"/>
                <w:sz w:val="24"/>
                <w:szCs w:val="24"/>
                <w:highlight w:val="none"/>
              </w:rPr>
              <w:t>号）要求向社会公开监测结果。非重点排</w:t>
            </w:r>
            <w:r>
              <w:rPr>
                <w:rFonts w:hint="default" w:ascii="Times New Roman" w:hAnsi="Times New Roman" w:eastAsia="宋体" w:cs="Times New Roman"/>
                <w:color w:val="auto"/>
                <w:spacing w:val="-2"/>
                <w:sz w:val="24"/>
                <w:szCs w:val="24"/>
                <w:highlight w:val="none"/>
              </w:rPr>
              <w:t>污单位的信息公开要</w:t>
            </w:r>
            <w:r>
              <w:rPr>
                <w:rFonts w:hint="default" w:ascii="Times New Roman" w:hAnsi="Times New Roman" w:eastAsia="宋体" w:cs="Times New Roman"/>
                <w:color w:val="auto"/>
                <w:spacing w:val="-1"/>
                <w:sz w:val="24"/>
                <w:szCs w:val="24"/>
                <w:highlight w:val="none"/>
              </w:rPr>
              <w:t>求</w:t>
            </w:r>
            <w:r>
              <w:rPr>
                <w:rFonts w:hint="default" w:ascii="Times New Roman" w:hAnsi="Times New Roman" w:cs="Times New Roman"/>
                <w:color w:val="auto"/>
                <w:spacing w:val="-1"/>
                <w:sz w:val="24"/>
                <w:szCs w:val="24"/>
                <w:highlight w:val="none"/>
                <w:lang w:val="en-US" w:eastAsia="zh-CN"/>
              </w:rPr>
              <w:t>由</w:t>
            </w:r>
            <w:r>
              <w:rPr>
                <w:rFonts w:hint="default" w:ascii="Times New Roman" w:hAnsi="Times New Roman" w:eastAsia="宋体" w:cs="Times New Roman"/>
                <w:color w:val="auto"/>
                <w:spacing w:val="-1"/>
                <w:sz w:val="24"/>
                <w:szCs w:val="24"/>
                <w:highlight w:val="none"/>
              </w:rPr>
              <w:t>地方环境保护主管部门确定。</w:t>
            </w:r>
          </w:p>
          <w:p w14:paraId="546A7A17">
            <w:pPr>
              <w:keepNext w:val="0"/>
              <w:keepLines w:val="0"/>
              <w:pageBreakBefore w:val="0"/>
              <w:widowControl/>
              <w:kinsoku w:val="0"/>
              <w:wordWrap/>
              <w:overflowPunct/>
              <w:topLinePunct w:val="0"/>
              <w:autoSpaceDE w:val="0"/>
              <w:autoSpaceDN w:val="0"/>
              <w:bidi w:val="0"/>
              <w:snapToGrid w:val="0"/>
              <w:spacing w:line="360" w:lineRule="auto"/>
              <w:ind w:left="0" w:right="0" w:firstLine="484" w:firstLineChars="200"/>
              <w:textAlignment w:val="baseline"/>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根据生产特征和污染物的排放特征，依据国家颁布的环境质量标准，污染物排放标准及地方环保部门的要求，根据《排污单位自行监测技术指南总</w:t>
            </w:r>
            <w:r>
              <w:rPr>
                <w:rFonts w:hint="default" w:ascii="Times New Roman" w:hAnsi="Times New Roman" w:eastAsia="宋体" w:cs="Times New Roman"/>
                <w:color w:val="auto"/>
                <w:sz w:val="24"/>
                <w:szCs w:val="24"/>
                <w:highlight w:val="none"/>
              </w:rPr>
              <w:t>则》（</w:t>
            </w:r>
            <w:r>
              <w:rPr>
                <w:rFonts w:hint="default" w:ascii="Times New Roman" w:hAnsi="Times New Roman" w:eastAsia="Times New Roman" w:cs="Times New Roman"/>
                <w:color w:val="auto"/>
                <w:sz w:val="24"/>
                <w:szCs w:val="24"/>
                <w:highlight w:val="none"/>
              </w:rPr>
              <w:t>HJ819-2017</w:t>
            </w:r>
            <w:r>
              <w:rPr>
                <w:rFonts w:hint="default" w:ascii="Times New Roman" w:hAnsi="Times New Roman" w:eastAsia="宋体" w:cs="Times New Roman"/>
                <w:color w:val="auto"/>
                <w:sz w:val="24"/>
                <w:szCs w:val="24"/>
                <w:highlight w:val="none"/>
              </w:rPr>
              <w:t>）有关规定，结合本项目主要排</w:t>
            </w:r>
            <w:r>
              <w:rPr>
                <w:rFonts w:hint="default" w:ascii="Times New Roman" w:hAnsi="Times New Roman" w:eastAsia="宋体" w:cs="Times New Roman"/>
                <w:color w:val="auto"/>
                <w:spacing w:val="-1"/>
                <w:sz w:val="24"/>
                <w:szCs w:val="24"/>
                <w:highlight w:val="none"/>
              </w:rPr>
              <w:t>污特点，监测项目应包括</w:t>
            </w:r>
            <w:r>
              <w:rPr>
                <w:rFonts w:hint="default" w:ascii="Times New Roman" w:hAnsi="Times New Roman" w:eastAsia="宋体" w:cs="Times New Roman"/>
                <w:color w:val="auto"/>
                <w:sz w:val="24"/>
                <w:szCs w:val="24"/>
                <w:highlight w:val="none"/>
              </w:rPr>
              <w:t>大气污染物、厂界噪声。采样、分析方法按国家环保局颁发的</w:t>
            </w:r>
            <w:r>
              <w:rPr>
                <w:rFonts w:hint="default" w:ascii="Times New Roman" w:hAnsi="Times New Roman" w:eastAsia="Times New Roman" w:cs="Times New Roman"/>
                <w:color w:val="auto"/>
                <w:sz w:val="24"/>
                <w:szCs w:val="24"/>
                <w:highlight w:val="none"/>
              </w:rPr>
              <w:t>G</w:t>
            </w:r>
            <w:r>
              <w:rPr>
                <w:rFonts w:hint="default" w:ascii="Times New Roman" w:hAnsi="Times New Roman" w:eastAsia="Times New Roman" w:cs="Times New Roman"/>
                <w:color w:val="auto"/>
                <w:spacing w:val="-1"/>
                <w:sz w:val="24"/>
                <w:szCs w:val="24"/>
                <w:highlight w:val="none"/>
              </w:rPr>
              <w:t>B/T16157</w:t>
            </w:r>
            <w:r>
              <w:rPr>
                <w:rFonts w:hint="default" w:ascii="Times New Roman" w:hAnsi="Times New Roman" w:eastAsia="宋体" w:cs="Times New Roman"/>
                <w:color w:val="auto"/>
                <w:spacing w:val="-1"/>
                <w:sz w:val="24"/>
                <w:szCs w:val="24"/>
                <w:highlight w:val="none"/>
              </w:rPr>
              <w:t>、</w:t>
            </w:r>
            <w:r>
              <w:rPr>
                <w:rFonts w:hint="default" w:ascii="Times New Roman" w:hAnsi="Times New Roman" w:eastAsia="Times New Roman" w:cs="Times New Roman"/>
                <w:color w:val="auto"/>
                <w:sz w:val="24"/>
                <w:szCs w:val="24"/>
                <w:highlight w:val="none"/>
              </w:rPr>
              <w:t>HJ/T397</w:t>
            </w:r>
            <w:r>
              <w:rPr>
                <w:rFonts w:hint="default" w:ascii="Times New Roman" w:hAnsi="Times New Roman" w:eastAsia="宋体" w:cs="Times New Roman"/>
                <w:color w:val="auto"/>
                <w:sz w:val="24"/>
                <w:szCs w:val="24"/>
                <w:highlight w:val="none"/>
              </w:rPr>
              <w:t>、</w:t>
            </w:r>
            <w:r>
              <w:rPr>
                <w:rFonts w:hint="default" w:ascii="Times New Roman" w:hAnsi="Times New Roman" w:eastAsia="Times New Roman" w:cs="Times New Roman"/>
                <w:color w:val="auto"/>
                <w:sz w:val="24"/>
                <w:szCs w:val="24"/>
                <w:highlight w:val="none"/>
              </w:rPr>
              <w:t>HJ/T75</w:t>
            </w:r>
            <w:r>
              <w:rPr>
                <w:rFonts w:hint="default" w:ascii="Times New Roman" w:hAnsi="Times New Roman" w:eastAsia="宋体" w:cs="Times New Roman"/>
                <w:color w:val="auto"/>
                <w:sz w:val="24"/>
                <w:szCs w:val="24"/>
                <w:highlight w:val="none"/>
              </w:rPr>
              <w:t>、</w:t>
            </w:r>
            <w:r>
              <w:rPr>
                <w:rFonts w:hint="default" w:ascii="Times New Roman" w:hAnsi="Times New Roman" w:eastAsia="Times New Roman" w:cs="Times New Roman"/>
                <w:color w:val="auto"/>
                <w:sz w:val="24"/>
                <w:szCs w:val="24"/>
                <w:highlight w:val="none"/>
              </w:rPr>
              <w:t>HJ/T76</w:t>
            </w:r>
            <w:r>
              <w:rPr>
                <w:rFonts w:hint="default" w:ascii="Times New Roman" w:hAnsi="Times New Roman" w:eastAsia="宋体" w:cs="Times New Roman"/>
                <w:color w:val="auto"/>
                <w:sz w:val="24"/>
                <w:szCs w:val="24"/>
                <w:highlight w:val="none"/>
              </w:rPr>
              <w:t>以及《环境监测技术规范</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空</w:t>
            </w:r>
            <w:r>
              <w:rPr>
                <w:rFonts w:hint="default" w:ascii="Times New Roman" w:hAnsi="Times New Roman" w:eastAsia="宋体" w:cs="Times New Roman"/>
                <w:color w:val="auto"/>
                <w:spacing w:val="-1"/>
                <w:sz w:val="24"/>
                <w:szCs w:val="24"/>
                <w:highlight w:val="none"/>
              </w:rPr>
              <w:t>气与废气监测分析方法》等进行。具体监测计划表见表</w:t>
            </w:r>
            <w:r>
              <w:rPr>
                <w:rFonts w:hint="default" w:ascii="Times New Roman" w:hAnsi="Times New Roman" w:eastAsia="Times New Roman" w:cs="Times New Roman"/>
                <w:color w:val="auto"/>
                <w:spacing w:val="-1"/>
                <w:sz w:val="24"/>
                <w:szCs w:val="24"/>
                <w:highlight w:val="none"/>
              </w:rPr>
              <w:t>4-1</w:t>
            </w:r>
            <w:r>
              <w:rPr>
                <w:rFonts w:hint="default" w:ascii="Times New Roman" w:hAnsi="Times New Roman" w:eastAsia="宋体" w:cs="Times New Roman"/>
                <w:color w:val="auto"/>
                <w:spacing w:val="-1"/>
                <w:sz w:val="24"/>
                <w:szCs w:val="24"/>
                <w:highlight w:val="none"/>
                <w:lang w:val="en-US" w:eastAsia="zh-CN"/>
              </w:rPr>
              <w:t>5</w:t>
            </w:r>
            <w:r>
              <w:rPr>
                <w:rFonts w:hint="default" w:ascii="Times New Roman" w:hAnsi="Times New Roman" w:eastAsia="宋体" w:cs="Times New Roman"/>
                <w:color w:val="auto"/>
                <w:spacing w:val="-1"/>
                <w:sz w:val="24"/>
                <w:szCs w:val="24"/>
                <w:highlight w:val="none"/>
              </w:rPr>
              <w:t>。</w:t>
            </w:r>
          </w:p>
          <w:p w14:paraId="3CFC24EF">
            <w:pPr>
              <w:keepNext w:val="0"/>
              <w:keepLines w:val="0"/>
              <w:pageBreakBefore w:val="0"/>
              <w:widowControl/>
              <w:kinsoku w:val="0"/>
              <w:wordWrap/>
              <w:overflowPunct/>
              <w:topLinePunct w:val="0"/>
              <w:autoSpaceDE w:val="0"/>
              <w:autoSpaceDN w:val="0"/>
              <w:bidi w:val="0"/>
              <w:snapToGrid w:val="0"/>
              <w:spacing w:line="240" w:lineRule="auto"/>
              <w:ind w:left="0" w:right="0" w:firstLine="442" w:firstLineChars="200"/>
              <w:jc w:val="center"/>
              <w:textAlignment w:val="baseline"/>
              <w:rPr>
                <w:rFonts w:hint="default" w:ascii="Times New Roman" w:hAnsi="Times New Roman" w:eastAsia="宋体" w:cs="Times New Roman"/>
                <w:b/>
                <w:bCs/>
                <w:color w:val="auto"/>
                <w:spacing w:val="5"/>
                <w:sz w:val="21"/>
                <w:szCs w:val="21"/>
                <w:highlight w:val="none"/>
              </w:rPr>
            </w:pPr>
            <w:r>
              <w:rPr>
                <w:rFonts w:hint="default" w:ascii="Times New Roman" w:hAnsi="Times New Roman" w:eastAsia="宋体" w:cs="Times New Roman"/>
                <w:b/>
                <w:bCs/>
                <w:color w:val="auto"/>
                <w:spacing w:val="5"/>
                <w:sz w:val="21"/>
                <w:szCs w:val="21"/>
                <w:highlight w:val="none"/>
              </w:rPr>
              <w:t>表</w:t>
            </w:r>
            <w:r>
              <w:rPr>
                <w:rFonts w:hint="default" w:ascii="Times New Roman" w:hAnsi="Times New Roman" w:eastAsia="Times New Roman" w:cs="Times New Roman"/>
                <w:b/>
                <w:bCs/>
                <w:color w:val="auto"/>
                <w:spacing w:val="5"/>
                <w:sz w:val="21"/>
                <w:szCs w:val="21"/>
                <w:highlight w:val="none"/>
              </w:rPr>
              <w:t>4-1</w:t>
            </w:r>
            <w:r>
              <w:rPr>
                <w:rFonts w:hint="default" w:ascii="Times New Roman" w:hAnsi="Times New Roman" w:eastAsia="宋体" w:cs="Times New Roman"/>
                <w:b/>
                <w:bCs/>
                <w:color w:val="auto"/>
                <w:spacing w:val="5"/>
                <w:sz w:val="21"/>
                <w:szCs w:val="21"/>
                <w:highlight w:val="none"/>
                <w:lang w:val="en-US" w:eastAsia="zh-CN"/>
              </w:rPr>
              <w:t>5</w:t>
            </w:r>
            <w:r>
              <w:rPr>
                <w:rFonts w:hint="eastAsia" w:ascii="Times New Roman" w:hAnsi="Times New Roman" w:cs="Times New Roman"/>
                <w:b/>
                <w:bCs/>
                <w:color w:val="auto"/>
                <w:spacing w:val="5"/>
                <w:sz w:val="21"/>
                <w:szCs w:val="21"/>
                <w:highlight w:val="none"/>
                <w:lang w:val="en-US" w:eastAsia="zh-CN"/>
              </w:rPr>
              <w:t xml:space="preserve">   </w:t>
            </w:r>
            <w:r>
              <w:rPr>
                <w:rFonts w:hint="default" w:ascii="Times New Roman" w:hAnsi="Times New Roman" w:eastAsia="宋体" w:cs="Times New Roman"/>
                <w:b/>
                <w:bCs/>
                <w:color w:val="auto"/>
                <w:spacing w:val="5"/>
                <w:sz w:val="21"/>
                <w:szCs w:val="21"/>
                <w:highlight w:val="none"/>
              </w:rPr>
              <w:t>项目监测计划一览表</w:t>
            </w:r>
          </w:p>
          <w:tbl>
            <w:tblPr>
              <w:tblStyle w:val="54"/>
              <w:tblW w:w="495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43"/>
              <w:gridCol w:w="684"/>
              <w:gridCol w:w="524"/>
              <w:gridCol w:w="524"/>
              <w:gridCol w:w="839"/>
              <w:gridCol w:w="670"/>
              <w:gridCol w:w="578"/>
              <w:gridCol w:w="3030"/>
            </w:tblGrid>
            <w:tr w14:paraId="43C37B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3" w:type="dxa"/>
                  <w:tcBorders>
                    <w:bottom w:val="single" w:color="000000" w:sz="12" w:space="0"/>
                  </w:tcBorders>
                  <w:vAlign w:val="center"/>
                </w:tcPr>
                <w:p w14:paraId="256B32C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pacing w:val="6"/>
                      <w:position w:val="-1"/>
                      <w:sz w:val="21"/>
                      <w:szCs w:val="21"/>
                      <w:highlight w:val="none"/>
                    </w:rPr>
                    <w:t>分类</w:t>
                  </w:r>
                </w:p>
              </w:tc>
              <w:tc>
                <w:tcPr>
                  <w:tcW w:w="684" w:type="dxa"/>
                  <w:tcBorders>
                    <w:bottom w:val="single" w:color="000000" w:sz="12" w:space="0"/>
                  </w:tcBorders>
                  <w:vAlign w:val="center"/>
                </w:tcPr>
                <w:p w14:paraId="3EEC89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4"/>
                      <w:sz w:val="21"/>
                      <w:szCs w:val="21"/>
                      <w:highlight w:val="none"/>
                    </w:rPr>
                    <w:t>监测</w:t>
                  </w:r>
                  <w:r>
                    <w:rPr>
                      <w:rFonts w:hint="default" w:ascii="Times New Roman" w:hAnsi="Times New Roman" w:eastAsia="宋体" w:cs="Times New Roman"/>
                      <w:b/>
                      <w:bCs/>
                      <w:color w:val="auto"/>
                      <w:spacing w:val="5"/>
                      <w:sz w:val="21"/>
                      <w:szCs w:val="21"/>
                      <w:highlight w:val="none"/>
                    </w:rPr>
                    <w:t>对象</w:t>
                  </w:r>
                </w:p>
              </w:tc>
              <w:tc>
                <w:tcPr>
                  <w:tcW w:w="524" w:type="dxa"/>
                  <w:tcBorders>
                    <w:bottom w:val="single" w:color="000000" w:sz="12" w:space="0"/>
                  </w:tcBorders>
                  <w:vAlign w:val="center"/>
                </w:tcPr>
                <w:p w14:paraId="346D2A9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污染</w:t>
                  </w:r>
                  <w:r>
                    <w:rPr>
                      <w:rFonts w:hint="default" w:ascii="Times New Roman" w:hAnsi="Times New Roman" w:eastAsia="宋体" w:cs="Times New Roman"/>
                      <w:b/>
                      <w:bCs/>
                      <w:color w:val="auto"/>
                      <w:spacing w:val="1"/>
                      <w:sz w:val="21"/>
                      <w:szCs w:val="21"/>
                      <w:highlight w:val="none"/>
                    </w:rPr>
                    <w:t>源</w:t>
                  </w:r>
                </w:p>
              </w:tc>
              <w:tc>
                <w:tcPr>
                  <w:tcW w:w="524" w:type="dxa"/>
                  <w:tcBorders>
                    <w:bottom w:val="single" w:color="000000" w:sz="12" w:space="0"/>
                  </w:tcBorders>
                  <w:vAlign w:val="center"/>
                </w:tcPr>
                <w:p w14:paraId="640813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监测项</w:t>
                  </w:r>
                  <w:r>
                    <w:rPr>
                      <w:rFonts w:hint="default" w:ascii="Times New Roman" w:hAnsi="Times New Roman" w:eastAsia="宋体" w:cs="Times New Roman"/>
                      <w:b/>
                      <w:bCs/>
                      <w:color w:val="auto"/>
                      <w:spacing w:val="6"/>
                      <w:position w:val="1"/>
                      <w:sz w:val="21"/>
                      <w:szCs w:val="21"/>
                      <w:highlight w:val="none"/>
                    </w:rPr>
                    <w:t>目</w:t>
                  </w:r>
                </w:p>
              </w:tc>
              <w:tc>
                <w:tcPr>
                  <w:tcW w:w="839" w:type="dxa"/>
                  <w:tcBorders>
                    <w:bottom w:val="single" w:color="000000" w:sz="12" w:space="0"/>
                  </w:tcBorders>
                  <w:vAlign w:val="center"/>
                </w:tcPr>
                <w:p w14:paraId="39602D4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监测位</w:t>
                  </w:r>
                  <w:r>
                    <w:rPr>
                      <w:rFonts w:hint="default" w:ascii="Times New Roman" w:hAnsi="Times New Roman" w:eastAsia="宋体" w:cs="Times New Roman"/>
                      <w:b/>
                      <w:bCs/>
                      <w:color w:val="auto"/>
                      <w:spacing w:val="2"/>
                      <w:sz w:val="21"/>
                      <w:szCs w:val="21"/>
                      <w:highlight w:val="none"/>
                    </w:rPr>
                    <w:t>置</w:t>
                  </w:r>
                </w:p>
              </w:tc>
              <w:tc>
                <w:tcPr>
                  <w:tcW w:w="670" w:type="dxa"/>
                  <w:tcBorders>
                    <w:bottom w:val="single" w:color="000000" w:sz="12" w:space="0"/>
                  </w:tcBorders>
                  <w:vAlign w:val="center"/>
                </w:tcPr>
                <w:p w14:paraId="3AC61E4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采样频次</w:t>
                  </w:r>
                </w:p>
              </w:tc>
              <w:tc>
                <w:tcPr>
                  <w:tcW w:w="578" w:type="dxa"/>
                  <w:tcBorders>
                    <w:bottom w:val="single" w:color="000000" w:sz="12" w:space="0"/>
                  </w:tcBorders>
                  <w:vAlign w:val="center"/>
                </w:tcPr>
                <w:p w14:paraId="357250C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6"/>
                      <w:sz w:val="21"/>
                      <w:szCs w:val="21"/>
                      <w:highlight w:val="none"/>
                    </w:rPr>
                    <w:t>监测单</w:t>
                  </w:r>
                  <w:r>
                    <w:rPr>
                      <w:rFonts w:hint="default" w:ascii="Times New Roman" w:hAnsi="Times New Roman" w:eastAsia="宋体" w:cs="Times New Roman"/>
                      <w:b/>
                      <w:bCs/>
                      <w:color w:val="auto"/>
                      <w:sz w:val="21"/>
                      <w:szCs w:val="21"/>
                      <w:highlight w:val="none"/>
                    </w:rPr>
                    <w:t>位</w:t>
                  </w:r>
                </w:p>
              </w:tc>
              <w:tc>
                <w:tcPr>
                  <w:tcW w:w="3030" w:type="dxa"/>
                  <w:tcBorders>
                    <w:bottom w:val="single" w:color="000000" w:sz="12" w:space="0"/>
                  </w:tcBorders>
                  <w:vAlign w:val="center"/>
                </w:tcPr>
                <w:p w14:paraId="79DDD8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7"/>
                      <w:sz w:val="21"/>
                      <w:szCs w:val="21"/>
                      <w:highlight w:val="none"/>
                    </w:rPr>
                    <w:t>执行标准</w:t>
                  </w:r>
                </w:p>
              </w:tc>
            </w:tr>
            <w:tr w14:paraId="27D703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3" w:type="dxa"/>
                  <w:vMerge w:val="restart"/>
                  <w:tcBorders>
                    <w:top w:val="single" w:color="000000" w:sz="12" w:space="0"/>
                    <w:tl2br w:val="nil"/>
                    <w:tr2bl w:val="nil"/>
                  </w:tcBorders>
                  <w:vAlign w:val="center"/>
                </w:tcPr>
                <w:p w14:paraId="4D1F9F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废气</w:t>
                  </w:r>
                </w:p>
              </w:tc>
              <w:tc>
                <w:tcPr>
                  <w:tcW w:w="684" w:type="dxa"/>
                  <w:tcBorders>
                    <w:top w:val="single" w:color="000000" w:sz="12" w:space="0"/>
                    <w:tl2br w:val="nil"/>
                    <w:tr2bl w:val="nil"/>
                  </w:tcBorders>
                  <w:vAlign w:val="center"/>
                </w:tcPr>
                <w:p w14:paraId="1866D4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有组</w:t>
                  </w:r>
                  <w:r>
                    <w:rPr>
                      <w:rFonts w:hint="default" w:ascii="Times New Roman" w:hAnsi="Times New Roman" w:eastAsia="宋体" w:cs="Times New Roman"/>
                      <w:color w:val="auto"/>
                      <w:spacing w:val="3"/>
                      <w:sz w:val="21"/>
                      <w:szCs w:val="21"/>
                      <w:highlight w:val="none"/>
                    </w:rPr>
                    <w:t>织排</w:t>
                  </w:r>
                  <w:r>
                    <w:rPr>
                      <w:rFonts w:hint="default" w:ascii="Times New Roman" w:hAnsi="Times New Roman" w:eastAsia="宋体" w:cs="Times New Roman"/>
                      <w:color w:val="auto"/>
                      <w:spacing w:val="4"/>
                      <w:sz w:val="21"/>
                      <w:szCs w:val="21"/>
                      <w:highlight w:val="none"/>
                    </w:rPr>
                    <w:t>放非</w:t>
                  </w:r>
                  <w:r>
                    <w:rPr>
                      <w:rFonts w:hint="default" w:ascii="Times New Roman" w:hAnsi="Times New Roman" w:eastAsia="宋体" w:cs="Times New Roman"/>
                      <w:color w:val="auto"/>
                      <w:spacing w:val="-9"/>
                      <w:sz w:val="21"/>
                      <w:szCs w:val="21"/>
                      <w:highlight w:val="none"/>
                    </w:rPr>
                    <w:t>甲烷</w:t>
                  </w:r>
                  <w:r>
                    <w:rPr>
                      <w:rFonts w:hint="default" w:ascii="Times New Roman" w:hAnsi="Times New Roman" w:eastAsia="宋体" w:cs="Times New Roman"/>
                      <w:color w:val="auto"/>
                      <w:spacing w:val="2"/>
                      <w:sz w:val="21"/>
                      <w:szCs w:val="21"/>
                      <w:highlight w:val="none"/>
                    </w:rPr>
                    <w:t>总烃</w:t>
                  </w:r>
                </w:p>
              </w:tc>
              <w:tc>
                <w:tcPr>
                  <w:tcW w:w="524" w:type="dxa"/>
                  <w:tcBorders>
                    <w:top w:val="single" w:color="000000" w:sz="12" w:space="0"/>
                    <w:tl2br w:val="nil"/>
                    <w:tr2bl w:val="nil"/>
                  </w:tcBorders>
                  <w:vAlign w:val="center"/>
                </w:tcPr>
                <w:p w14:paraId="1938FDA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排气筒</w:t>
                  </w:r>
                  <w:r>
                    <w:rPr>
                      <w:rFonts w:hint="default" w:ascii="Times New Roman" w:hAnsi="Times New Roman" w:eastAsia="宋体" w:cs="Times New Roman"/>
                      <w:color w:val="auto"/>
                      <w:spacing w:val="6"/>
                      <w:position w:val="1"/>
                      <w:sz w:val="21"/>
                      <w:szCs w:val="21"/>
                      <w:highlight w:val="none"/>
                    </w:rPr>
                    <w:t>口</w:t>
                  </w:r>
                </w:p>
              </w:tc>
              <w:tc>
                <w:tcPr>
                  <w:tcW w:w="524" w:type="dxa"/>
                  <w:tcBorders>
                    <w:top w:val="single" w:color="000000" w:sz="12" w:space="0"/>
                    <w:tl2br w:val="nil"/>
                    <w:tr2bl w:val="nil"/>
                  </w:tcBorders>
                  <w:vAlign w:val="center"/>
                </w:tcPr>
                <w:p w14:paraId="3D77277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非</w:t>
                  </w:r>
                  <w:r>
                    <w:rPr>
                      <w:rFonts w:hint="default" w:ascii="Times New Roman" w:hAnsi="Times New Roman" w:eastAsia="宋体" w:cs="Times New Roman"/>
                      <w:color w:val="auto"/>
                      <w:spacing w:val="6"/>
                      <w:position w:val="1"/>
                      <w:sz w:val="21"/>
                      <w:szCs w:val="21"/>
                      <w:highlight w:val="none"/>
                    </w:rPr>
                    <w:t>甲</w:t>
                  </w:r>
                  <w:r>
                    <w:rPr>
                      <w:rFonts w:hint="default" w:ascii="Times New Roman" w:hAnsi="Times New Roman" w:eastAsia="宋体" w:cs="Times New Roman"/>
                      <w:color w:val="auto"/>
                      <w:spacing w:val="6"/>
                      <w:sz w:val="21"/>
                      <w:szCs w:val="21"/>
                      <w:highlight w:val="none"/>
                    </w:rPr>
                    <w:t>烷总烃</w:t>
                  </w:r>
                </w:p>
              </w:tc>
              <w:tc>
                <w:tcPr>
                  <w:tcW w:w="839" w:type="dxa"/>
                  <w:tcBorders>
                    <w:top w:val="single" w:color="000000" w:sz="12" w:space="0"/>
                    <w:tl2br w:val="nil"/>
                    <w:tr2bl w:val="nil"/>
                  </w:tcBorders>
                  <w:vAlign w:val="center"/>
                </w:tcPr>
                <w:p w14:paraId="0A8815F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排气筒</w:t>
                  </w:r>
                  <w:r>
                    <w:rPr>
                      <w:rFonts w:hint="default" w:ascii="Times New Roman" w:hAnsi="Times New Roman" w:eastAsia="宋体" w:cs="Times New Roman"/>
                      <w:color w:val="auto"/>
                      <w:position w:val="1"/>
                      <w:sz w:val="21"/>
                      <w:szCs w:val="21"/>
                      <w:highlight w:val="none"/>
                    </w:rPr>
                    <w:t>口</w:t>
                  </w:r>
                </w:p>
              </w:tc>
              <w:tc>
                <w:tcPr>
                  <w:tcW w:w="670" w:type="dxa"/>
                  <w:tcBorders>
                    <w:top w:val="single" w:color="000000" w:sz="12" w:space="0"/>
                    <w:tl2br w:val="nil"/>
                    <w:tr2bl w:val="nil"/>
                  </w:tcBorders>
                  <w:vAlign w:val="center"/>
                </w:tcPr>
                <w:p w14:paraId="094072D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r>
                    <w:rPr>
                      <w:rFonts w:hint="default" w:ascii="Times New Roman" w:hAnsi="Times New Roman" w:eastAsia="宋体" w:cs="Times New Roman"/>
                      <w:color w:val="auto"/>
                      <w:sz w:val="21"/>
                      <w:szCs w:val="21"/>
                      <w:highlight w:val="none"/>
                    </w:rPr>
                    <w:t>次</w:t>
                  </w:r>
                  <w:r>
                    <w:rPr>
                      <w:rFonts w:hint="default" w:ascii="Times New Roman" w:hAnsi="Times New Roman" w:eastAsia="Times New Roman"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半年</w:t>
                  </w:r>
                </w:p>
              </w:tc>
              <w:tc>
                <w:tcPr>
                  <w:tcW w:w="578" w:type="dxa"/>
                  <w:vMerge w:val="restart"/>
                  <w:tcBorders>
                    <w:top w:val="single" w:color="000000" w:sz="12" w:space="0"/>
                    <w:tl2br w:val="nil"/>
                    <w:tr2bl w:val="nil"/>
                  </w:tcBorders>
                  <w:vAlign w:val="center"/>
                </w:tcPr>
                <w:p w14:paraId="22B06AC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7"/>
                      <w:sz w:val="21"/>
                      <w:szCs w:val="21"/>
                      <w:highlight w:val="none"/>
                    </w:rPr>
                    <w:t>委托第</w:t>
                  </w:r>
                  <w:r>
                    <w:rPr>
                      <w:rFonts w:hint="default" w:ascii="Times New Roman" w:hAnsi="Times New Roman" w:eastAsia="宋体" w:cs="Times New Roman"/>
                      <w:color w:val="auto"/>
                      <w:spacing w:val="6"/>
                      <w:sz w:val="21"/>
                      <w:szCs w:val="21"/>
                      <w:highlight w:val="none"/>
                    </w:rPr>
                    <w:t>三方监测单位</w:t>
                  </w:r>
                  <w:r>
                    <w:rPr>
                      <w:rFonts w:hint="default" w:ascii="Times New Roman" w:hAnsi="Times New Roman" w:eastAsia="宋体" w:cs="Times New Roman"/>
                      <w:color w:val="auto"/>
                      <w:spacing w:val="4"/>
                      <w:sz w:val="21"/>
                      <w:szCs w:val="21"/>
                      <w:highlight w:val="none"/>
                    </w:rPr>
                    <w:t>监测</w:t>
                  </w:r>
                </w:p>
              </w:tc>
              <w:tc>
                <w:tcPr>
                  <w:tcW w:w="3030" w:type="dxa"/>
                  <w:tcBorders>
                    <w:top w:val="single" w:color="000000" w:sz="12" w:space="0"/>
                    <w:tl2br w:val="nil"/>
                    <w:tr2bl w:val="nil"/>
                  </w:tcBorders>
                  <w:vAlign w:val="center"/>
                </w:tcPr>
                <w:p w14:paraId="129C06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《合成树脂工业污染物排放标准》</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4"/>
                      <w:sz w:val="21"/>
                      <w:szCs w:val="21"/>
                      <w:highlight w:val="none"/>
                    </w:rPr>
                    <w:t>31572-2015</w:t>
                  </w:r>
                  <w:r>
                    <w:rPr>
                      <w:rFonts w:hint="default" w:ascii="Times New Roman" w:hAnsi="Times New Roman" w:eastAsia="宋体" w:cs="Times New Roman"/>
                      <w:color w:val="auto"/>
                      <w:spacing w:val="4"/>
                      <w:sz w:val="21"/>
                      <w:szCs w:val="21"/>
                      <w:highlight w:val="none"/>
                    </w:rPr>
                    <w:t>，含</w:t>
                  </w:r>
                  <w:r>
                    <w:rPr>
                      <w:rFonts w:hint="default" w:ascii="Times New Roman" w:hAnsi="Times New Roman" w:eastAsia="Times New Roman" w:cs="Times New Roman"/>
                      <w:color w:val="auto"/>
                      <w:spacing w:val="4"/>
                      <w:sz w:val="21"/>
                      <w:szCs w:val="21"/>
                      <w:highlight w:val="none"/>
                    </w:rPr>
                    <w:t>2024</w:t>
                  </w:r>
                  <w:r>
                    <w:rPr>
                      <w:rFonts w:hint="default" w:ascii="Times New Roman" w:hAnsi="Times New Roman" w:eastAsia="宋体" w:cs="Times New Roman"/>
                      <w:color w:val="auto"/>
                      <w:spacing w:val="4"/>
                      <w:sz w:val="21"/>
                      <w:szCs w:val="21"/>
                      <w:highlight w:val="none"/>
                    </w:rPr>
                    <w:t>年修改单）中的表</w:t>
                  </w:r>
                  <w:r>
                    <w:rPr>
                      <w:rFonts w:hint="default" w:ascii="Times New Roman" w:hAnsi="Times New Roman" w:eastAsia="Times New Roman" w:cs="Times New Roman"/>
                      <w:color w:val="auto"/>
                      <w:spacing w:val="4"/>
                      <w:sz w:val="21"/>
                      <w:szCs w:val="21"/>
                      <w:highlight w:val="none"/>
                    </w:rPr>
                    <w:t>4</w:t>
                  </w:r>
                  <w:r>
                    <w:rPr>
                      <w:rFonts w:hint="default" w:ascii="Times New Roman" w:hAnsi="Times New Roman" w:eastAsia="宋体" w:cs="Times New Roman"/>
                      <w:color w:val="auto"/>
                      <w:spacing w:val="4"/>
                      <w:sz w:val="21"/>
                      <w:szCs w:val="21"/>
                      <w:highlight w:val="none"/>
                    </w:rPr>
                    <w:t>大气污染物排放限值要求</w:t>
                  </w:r>
                </w:p>
              </w:tc>
            </w:tr>
            <w:tr w14:paraId="5B975F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3" w:type="dxa"/>
                  <w:vMerge w:val="continue"/>
                  <w:tcBorders>
                    <w:tl2br w:val="nil"/>
                    <w:tr2bl w:val="nil"/>
                  </w:tcBorders>
                  <w:vAlign w:val="center"/>
                </w:tcPr>
                <w:p w14:paraId="32C6EC23">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684" w:type="dxa"/>
                  <w:tcBorders>
                    <w:tl2br w:val="nil"/>
                    <w:tr2bl w:val="nil"/>
                  </w:tcBorders>
                  <w:vAlign w:val="center"/>
                </w:tcPr>
                <w:p w14:paraId="0E0DF6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无组织非</w:t>
                  </w:r>
                  <w:r>
                    <w:rPr>
                      <w:rFonts w:hint="default" w:ascii="Times New Roman" w:hAnsi="Times New Roman" w:eastAsia="宋体" w:cs="Times New Roman"/>
                      <w:color w:val="auto"/>
                      <w:spacing w:val="-9"/>
                      <w:sz w:val="21"/>
                      <w:szCs w:val="21"/>
                      <w:highlight w:val="none"/>
                    </w:rPr>
                    <w:t>甲烷</w:t>
                  </w:r>
                  <w:r>
                    <w:rPr>
                      <w:rFonts w:hint="default" w:ascii="Times New Roman" w:hAnsi="Times New Roman" w:eastAsia="宋体" w:cs="Times New Roman"/>
                      <w:color w:val="auto"/>
                      <w:spacing w:val="2"/>
                      <w:sz w:val="21"/>
                      <w:szCs w:val="21"/>
                      <w:highlight w:val="none"/>
                    </w:rPr>
                    <w:t>总烃</w:t>
                  </w:r>
                </w:p>
              </w:tc>
              <w:tc>
                <w:tcPr>
                  <w:tcW w:w="524" w:type="dxa"/>
                  <w:tcBorders>
                    <w:tl2br w:val="nil"/>
                    <w:tr2bl w:val="nil"/>
                  </w:tcBorders>
                  <w:vAlign w:val="center"/>
                </w:tcPr>
                <w:p w14:paraId="0B66855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厂区</w:t>
                  </w:r>
                </w:p>
              </w:tc>
              <w:tc>
                <w:tcPr>
                  <w:tcW w:w="524" w:type="dxa"/>
                  <w:tcBorders>
                    <w:tl2br w:val="nil"/>
                    <w:tr2bl w:val="nil"/>
                  </w:tcBorders>
                  <w:vAlign w:val="center"/>
                </w:tcPr>
                <w:p w14:paraId="1083F5C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非</w:t>
                  </w:r>
                  <w:r>
                    <w:rPr>
                      <w:rFonts w:hint="default" w:ascii="Times New Roman" w:hAnsi="Times New Roman" w:eastAsia="宋体" w:cs="Times New Roman"/>
                      <w:color w:val="auto"/>
                      <w:spacing w:val="6"/>
                      <w:position w:val="1"/>
                      <w:sz w:val="21"/>
                      <w:szCs w:val="21"/>
                      <w:highlight w:val="none"/>
                    </w:rPr>
                    <w:t>甲</w:t>
                  </w:r>
                  <w:r>
                    <w:rPr>
                      <w:rFonts w:hint="default" w:ascii="Times New Roman" w:hAnsi="Times New Roman" w:eastAsia="宋体" w:cs="Times New Roman"/>
                      <w:color w:val="auto"/>
                      <w:spacing w:val="6"/>
                      <w:sz w:val="21"/>
                      <w:szCs w:val="21"/>
                      <w:highlight w:val="none"/>
                    </w:rPr>
                    <w:t>烷总烃</w:t>
                  </w:r>
                </w:p>
              </w:tc>
              <w:tc>
                <w:tcPr>
                  <w:tcW w:w="839" w:type="dxa"/>
                  <w:tcBorders>
                    <w:tl2br w:val="nil"/>
                    <w:tr2bl w:val="nil"/>
                  </w:tcBorders>
                  <w:vAlign w:val="center"/>
                </w:tcPr>
                <w:p w14:paraId="53248A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生产车</w:t>
                  </w:r>
                  <w:r>
                    <w:rPr>
                      <w:rFonts w:hint="default" w:ascii="Times New Roman" w:hAnsi="Times New Roman" w:eastAsia="宋体" w:cs="Times New Roman"/>
                      <w:color w:val="auto"/>
                      <w:spacing w:val="1"/>
                      <w:sz w:val="21"/>
                      <w:szCs w:val="21"/>
                      <w:highlight w:val="none"/>
                    </w:rPr>
                    <w:t>间门窗</w:t>
                  </w:r>
                  <w:r>
                    <w:rPr>
                      <w:rFonts w:hint="default" w:ascii="Times New Roman" w:hAnsi="Times New Roman" w:eastAsia="宋体" w:cs="Times New Roman"/>
                      <w:color w:val="auto"/>
                      <w:spacing w:val="6"/>
                      <w:sz w:val="21"/>
                      <w:szCs w:val="21"/>
                      <w:highlight w:val="none"/>
                    </w:rPr>
                    <w:t>或通风</w:t>
                  </w:r>
                  <w:r>
                    <w:rPr>
                      <w:rFonts w:hint="default" w:ascii="Times New Roman" w:hAnsi="Times New Roman" w:eastAsia="宋体" w:cs="Times New Roman"/>
                      <w:color w:val="auto"/>
                      <w:spacing w:val="-4"/>
                      <w:sz w:val="21"/>
                      <w:szCs w:val="21"/>
                      <w:highlight w:val="none"/>
                    </w:rPr>
                    <w:t>口、其</w:t>
                  </w:r>
                  <w:r>
                    <w:rPr>
                      <w:rFonts w:hint="default" w:ascii="Times New Roman" w:hAnsi="Times New Roman" w:eastAsia="宋体" w:cs="Times New Roman"/>
                      <w:color w:val="auto"/>
                      <w:spacing w:val="6"/>
                      <w:sz w:val="21"/>
                      <w:szCs w:val="21"/>
                      <w:highlight w:val="none"/>
                    </w:rPr>
                    <w:t>他开口</w:t>
                  </w:r>
                  <w:r>
                    <w:rPr>
                      <w:rFonts w:hint="default" w:ascii="Times New Roman" w:hAnsi="Times New Roman" w:eastAsia="宋体" w:cs="Times New Roman"/>
                      <w:color w:val="auto"/>
                      <w:spacing w:val="-3"/>
                      <w:sz w:val="21"/>
                      <w:szCs w:val="21"/>
                      <w:highlight w:val="none"/>
                    </w:rPr>
                    <w:t>（孔）</w:t>
                  </w:r>
                  <w:r>
                    <w:rPr>
                      <w:rFonts w:hint="default" w:ascii="Times New Roman" w:hAnsi="Times New Roman" w:eastAsia="宋体" w:cs="Times New Roman"/>
                      <w:color w:val="auto"/>
                      <w:spacing w:val="-15"/>
                      <w:sz w:val="21"/>
                      <w:szCs w:val="21"/>
                      <w:highlight w:val="none"/>
                    </w:rPr>
                    <w:t>外</w:t>
                  </w:r>
                  <w:r>
                    <w:rPr>
                      <w:rFonts w:hint="default" w:ascii="Times New Roman" w:hAnsi="Times New Roman" w:eastAsia="Times New Roman" w:cs="Times New Roman"/>
                      <w:color w:val="auto"/>
                      <w:spacing w:val="-15"/>
                      <w:sz w:val="21"/>
                      <w:szCs w:val="21"/>
                      <w:highlight w:val="none"/>
                    </w:rPr>
                    <w:t>1m</w:t>
                  </w:r>
                  <w:r>
                    <w:rPr>
                      <w:rFonts w:hint="default" w:ascii="Times New Roman" w:hAnsi="Times New Roman" w:eastAsia="宋体" w:cs="Times New Roman"/>
                      <w:color w:val="auto"/>
                      <w:spacing w:val="-15"/>
                      <w:sz w:val="21"/>
                      <w:szCs w:val="21"/>
                      <w:highlight w:val="none"/>
                    </w:rPr>
                    <w:t>，</w:t>
                  </w:r>
                  <w:r>
                    <w:rPr>
                      <w:rFonts w:hint="default" w:ascii="Times New Roman" w:hAnsi="Times New Roman" w:eastAsia="宋体" w:cs="Times New Roman"/>
                      <w:color w:val="auto"/>
                      <w:spacing w:val="11"/>
                      <w:sz w:val="21"/>
                      <w:szCs w:val="21"/>
                      <w:highlight w:val="none"/>
                    </w:rPr>
                    <w:t>取</w:t>
                  </w:r>
                  <w:r>
                    <w:rPr>
                      <w:rFonts w:hint="default" w:ascii="Times New Roman" w:hAnsi="Times New Roman" w:eastAsia="Times New Roman" w:cs="Times New Roman"/>
                      <w:color w:val="auto"/>
                      <w:spacing w:val="11"/>
                      <w:sz w:val="21"/>
                      <w:szCs w:val="21"/>
                      <w:highlight w:val="none"/>
                    </w:rPr>
                    <w:t>4</w:t>
                  </w:r>
                  <w:r>
                    <w:rPr>
                      <w:rFonts w:hint="default" w:ascii="Times New Roman" w:hAnsi="Times New Roman" w:eastAsia="宋体" w:cs="Times New Roman"/>
                      <w:color w:val="auto"/>
                      <w:spacing w:val="11"/>
                      <w:sz w:val="21"/>
                      <w:szCs w:val="21"/>
                      <w:highlight w:val="none"/>
                    </w:rPr>
                    <w:t>个</w:t>
                  </w:r>
                  <w:r>
                    <w:rPr>
                      <w:rFonts w:hint="default" w:ascii="Times New Roman" w:hAnsi="Times New Roman" w:eastAsia="宋体" w:cs="Times New Roman"/>
                      <w:color w:val="auto"/>
                      <w:sz w:val="21"/>
                      <w:szCs w:val="21"/>
                      <w:highlight w:val="none"/>
                    </w:rPr>
                    <w:t>点</w:t>
                  </w:r>
                </w:p>
              </w:tc>
              <w:tc>
                <w:tcPr>
                  <w:tcW w:w="670" w:type="dxa"/>
                  <w:tcBorders>
                    <w:tl2br w:val="nil"/>
                    <w:tr2bl w:val="nil"/>
                  </w:tcBorders>
                  <w:vAlign w:val="center"/>
                </w:tcPr>
                <w:p w14:paraId="798B31B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r>
                    <w:rPr>
                      <w:rFonts w:hint="default" w:ascii="Times New Roman" w:hAnsi="Times New Roman" w:eastAsia="宋体" w:cs="Times New Roman"/>
                      <w:color w:val="auto"/>
                      <w:sz w:val="21"/>
                      <w:szCs w:val="21"/>
                      <w:highlight w:val="none"/>
                    </w:rPr>
                    <w:t>次</w:t>
                  </w:r>
                  <w:r>
                    <w:rPr>
                      <w:rFonts w:hint="default" w:ascii="Times New Roman" w:hAnsi="Times New Roman" w:eastAsia="Times New Roman"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年</w:t>
                  </w:r>
                </w:p>
              </w:tc>
              <w:tc>
                <w:tcPr>
                  <w:tcW w:w="578" w:type="dxa"/>
                  <w:vMerge w:val="continue"/>
                  <w:tcBorders>
                    <w:tl2br w:val="nil"/>
                    <w:tr2bl w:val="nil"/>
                  </w:tcBorders>
                  <w:vAlign w:val="center"/>
                </w:tcPr>
                <w:p w14:paraId="45222E2F">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3030" w:type="dxa"/>
                  <w:tcBorders>
                    <w:tl2br w:val="nil"/>
                    <w:tr2bl w:val="nil"/>
                  </w:tcBorders>
                  <w:vAlign w:val="center"/>
                </w:tcPr>
                <w:p w14:paraId="68AF24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《挥发性有机物无组织控制排放</w:t>
                  </w:r>
                  <w:r>
                    <w:rPr>
                      <w:rFonts w:hint="default" w:ascii="Times New Roman" w:hAnsi="Times New Roman" w:eastAsia="宋体" w:cs="Times New Roman"/>
                      <w:color w:val="auto"/>
                      <w:spacing w:val="6"/>
                      <w:sz w:val="21"/>
                      <w:szCs w:val="21"/>
                      <w:highlight w:val="none"/>
                    </w:rPr>
                    <w:t>标准》（</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6"/>
                      <w:sz w:val="21"/>
                      <w:szCs w:val="21"/>
                      <w:highlight w:val="none"/>
                    </w:rPr>
                    <w:t>37822-2019</w:t>
                  </w:r>
                  <w:r>
                    <w:rPr>
                      <w:rFonts w:hint="default" w:ascii="Times New Roman" w:hAnsi="Times New Roman" w:eastAsia="宋体" w:cs="Times New Roman"/>
                      <w:color w:val="auto"/>
                      <w:spacing w:val="6"/>
                      <w:sz w:val="21"/>
                      <w:szCs w:val="21"/>
                      <w:highlight w:val="none"/>
                    </w:rPr>
                    <w:t>）表</w:t>
                  </w:r>
                  <w:r>
                    <w:rPr>
                      <w:rFonts w:hint="default" w:ascii="Times New Roman" w:hAnsi="Times New Roman" w:eastAsia="Times New Roman" w:cs="Times New Roman"/>
                      <w:color w:val="auto"/>
                      <w:spacing w:val="6"/>
                      <w:sz w:val="21"/>
                      <w:szCs w:val="21"/>
                      <w:highlight w:val="none"/>
                    </w:rPr>
                    <w:t>A.1</w:t>
                  </w:r>
                  <w:r>
                    <w:rPr>
                      <w:rFonts w:hint="default" w:ascii="Times New Roman" w:hAnsi="Times New Roman" w:eastAsia="宋体" w:cs="Times New Roman"/>
                      <w:color w:val="auto"/>
                      <w:spacing w:val="5"/>
                      <w:sz w:val="21"/>
                      <w:szCs w:val="21"/>
                      <w:highlight w:val="none"/>
                    </w:rPr>
                    <w:t>中规定排放限值</w:t>
                  </w:r>
                </w:p>
              </w:tc>
            </w:tr>
            <w:tr w14:paraId="222E7D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3" w:type="dxa"/>
                  <w:vMerge w:val="continue"/>
                  <w:tcBorders>
                    <w:tl2br w:val="nil"/>
                    <w:tr2bl w:val="nil"/>
                  </w:tcBorders>
                  <w:vAlign w:val="center"/>
                </w:tcPr>
                <w:p w14:paraId="3F4CA450">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684" w:type="dxa"/>
                  <w:tcBorders>
                    <w:tl2br w:val="nil"/>
                    <w:tr2bl w:val="nil"/>
                  </w:tcBorders>
                  <w:vAlign w:val="center"/>
                </w:tcPr>
                <w:p w14:paraId="5320E50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无组织非</w:t>
                  </w:r>
                  <w:r>
                    <w:rPr>
                      <w:rFonts w:hint="default" w:ascii="Times New Roman" w:hAnsi="Times New Roman" w:eastAsia="宋体" w:cs="Times New Roman"/>
                      <w:color w:val="auto"/>
                      <w:spacing w:val="-9"/>
                      <w:sz w:val="21"/>
                      <w:szCs w:val="21"/>
                      <w:highlight w:val="none"/>
                    </w:rPr>
                    <w:t>甲烷</w:t>
                  </w:r>
                  <w:r>
                    <w:rPr>
                      <w:rFonts w:hint="default" w:ascii="Times New Roman" w:hAnsi="Times New Roman" w:eastAsia="宋体" w:cs="Times New Roman"/>
                      <w:color w:val="auto"/>
                      <w:spacing w:val="2"/>
                      <w:sz w:val="21"/>
                      <w:szCs w:val="21"/>
                      <w:highlight w:val="none"/>
                    </w:rPr>
                    <w:t>总烃</w:t>
                  </w:r>
                </w:p>
              </w:tc>
              <w:tc>
                <w:tcPr>
                  <w:tcW w:w="524" w:type="dxa"/>
                  <w:tcBorders>
                    <w:tl2br w:val="nil"/>
                    <w:tr2bl w:val="nil"/>
                  </w:tcBorders>
                  <w:vAlign w:val="center"/>
                </w:tcPr>
                <w:p w14:paraId="173001C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厂界</w:t>
                  </w:r>
                </w:p>
              </w:tc>
              <w:tc>
                <w:tcPr>
                  <w:tcW w:w="524" w:type="dxa"/>
                  <w:tcBorders>
                    <w:tl2br w:val="nil"/>
                    <w:tr2bl w:val="nil"/>
                  </w:tcBorders>
                  <w:vAlign w:val="center"/>
                </w:tcPr>
                <w:p w14:paraId="0BDD1BC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非</w:t>
                  </w:r>
                  <w:r>
                    <w:rPr>
                      <w:rFonts w:hint="default" w:ascii="Times New Roman" w:hAnsi="Times New Roman" w:eastAsia="宋体" w:cs="Times New Roman"/>
                      <w:color w:val="auto"/>
                      <w:spacing w:val="6"/>
                      <w:position w:val="1"/>
                      <w:sz w:val="21"/>
                      <w:szCs w:val="21"/>
                      <w:highlight w:val="none"/>
                    </w:rPr>
                    <w:t>甲</w:t>
                  </w:r>
                  <w:r>
                    <w:rPr>
                      <w:rFonts w:hint="default" w:ascii="Times New Roman" w:hAnsi="Times New Roman" w:eastAsia="宋体" w:cs="Times New Roman"/>
                      <w:color w:val="auto"/>
                      <w:spacing w:val="6"/>
                      <w:sz w:val="21"/>
                      <w:szCs w:val="21"/>
                      <w:highlight w:val="none"/>
                    </w:rPr>
                    <w:t>烷总烃</w:t>
                  </w:r>
                </w:p>
              </w:tc>
              <w:tc>
                <w:tcPr>
                  <w:tcW w:w="839" w:type="dxa"/>
                  <w:tcBorders>
                    <w:tl2br w:val="nil"/>
                    <w:tr2bl w:val="nil"/>
                  </w:tcBorders>
                  <w:vAlign w:val="center"/>
                </w:tcPr>
                <w:p w14:paraId="1D5FF2B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4"/>
                      <w:sz w:val="21"/>
                      <w:szCs w:val="21"/>
                      <w:highlight w:val="none"/>
                    </w:rPr>
                    <w:t>厂界</w:t>
                  </w:r>
                  <w:r>
                    <w:rPr>
                      <w:rFonts w:hint="default" w:ascii="Times New Roman" w:hAnsi="Times New Roman" w:eastAsia="Times New Roman" w:cs="Times New Roman"/>
                      <w:color w:val="auto"/>
                      <w:spacing w:val="-3"/>
                      <w:sz w:val="21"/>
                      <w:szCs w:val="21"/>
                      <w:highlight w:val="none"/>
                    </w:rPr>
                    <w:t>10m</w:t>
                  </w:r>
                  <w:r>
                    <w:rPr>
                      <w:rFonts w:hint="default" w:ascii="Times New Roman" w:hAnsi="Times New Roman" w:eastAsia="宋体" w:cs="Times New Roman"/>
                      <w:color w:val="auto"/>
                      <w:spacing w:val="-3"/>
                      <w:sz w:val="21"/>
                      <w:szCs w:val="21"/>
                      <w:highlight w:val="none"/>
                    </w:rPr>
                    <w:t>范</w:t>
                  </w:r>
                  <w:r>
                    <w:rPr>
                      <w:rFonts w:hint="default" w:ascii="Times New Roman" w:hAnsi="Times New Roman" w:eastAsia="宋体" w:cs="Times New Roman"/>
                      <w:color w:val="auto"/>
                      <w:spacing w:val="-4"/>
                      <w:sz w:val="21"/>
                      <w:szCs w:val="21"/>
                      <w:highlight w:val="none"/>
                    </w:rPr>
                    <w:t>围内，</w:t>
                  </w:r>
                  <w:r>
                    <w:rPr>
                      <w:rFonts w:hint="default" w:ascii="Times New Roman" w:hAnsi="Times New Roman" w:eastAsia="宋体" w:cs="Times New Roman"/>
                      <w:color w:val="auto"/>
                      <w:spacing w:val="6"/>
                      <w:sz w:val="21"/>
                      <w:szCs w:val="21"/>
                      <w:highlight w:val="none"/>
                    </w:rPr>
                    <w:t>上风向</w:t>
                  </w:r>
                  <w:r>
                    <w:rPr>
                      <w:rFonts w:hint="default" w:ascii="Times New Roman" w:hAnsi="Times New Roman" w:eastAsia="Times New Roman" w:cs="Times New Roman"/>
                      <w:color w:val="auto"/>
                      <w:spacing w:val="-13"/>
                      <w:sz w:val="21"/>
                      <w:szCs w:val="21"/>
                      <w:highlight w:val="none"/>
                    </w:rPr>
                    <w:t>1</w:t>
                  </w:r>
                  <w:r>
                    <w:rPr>
                      <w:rFonts w:hint="default" w:ascii="Times New Roman" w:hAnsi="Times New Roman" w:eastAsia="宋体" w:cs="Times New Roman"/>
                      <w:color w:val="auto"/>
                      <w:spacing w:val="-13"/>
                      <w:sz w:val="21"/>
                      <w:szCs w:val="21"/>
                      <w:highlight w:val="none"/>
                    </w:rPr>
                    <w:t>个点，</w:t>
                  </w:r>
                  <w:r>
                    <w:rPr>
                      <w:rFonts w:hint="default" w:ascii="Times New Roman" w:hAnsi="Times New Roman" w:eastAsia="宋体" w:cs="Times New Roman"/>
                      <w:color w:val="auto"/>
                      <w:spacing w:val="4"/>
                      <w:sz w:val="21"/>
                      <w:szCs w:val="21"/>
                      <w:highlight w:val="none"/>
                    </w:rPr>
                    <w:t>下风向</w:t>
                  </w:r>
                  <w:r>
                    <w:rPr>
                      <w:rFonts w:hint="default" w:ascii="Times New Roman" w:hAnsi="Times New Roman" w:eastAsia="Times New Roman" w:cs="Times New Roman"/>
                      <w:color w:val="auto"/>
                      <w:spacing w:val="1"/>
                      <w:sz w:val="21"/>
                      <w:szCs w:val="21"/>
                      <w:highlight w:val="none"/>
                    </w:rPr>
                    <w:t>3</w:t>
                  </w:r>
                  <w:r>
                    <w:rPr>
                      <w:rFonts w:hint="default" w:ascii="Times New Roman" w:hAnsi="Times New Roman" w:eastAsia="宋体" w:cs="Times New Roman"/>
                      <w:color w:val="auto"/>
                      <w:spacing w:val="1"/>
                      <w:sz w:val="21"/>
                      <w:szCs w:val="21"/>
                      <w:highlight w:val="none"/>
                    </w:rPr>
                    <w:t>个点</w:t>
                  </w:r>
                </w:p>
              </w:tc>
              <w:tc>
                <w:tcPr>
                  <w:tcW w:w="670" w:type="dxa"/>
                  <w:tcBorders>
                    <w:tl2br w:val="nil"/>
                    <w:tr2bl w:val="nil"/>
                  </w:tcBorders>
                  <w:vAlign w:val="center"/>
                </w:tcPr>
                <w:p w14:paraId="1F9F70A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r>
                    <w:rPr>
                      <w:rFonts w:hint="default" w:ascii="Times New Roman" w:hAnsi="Times New Roman" w:eastAsia="宋体" w:cs="Times New Roman"/>
                      <w:color w:val="auto"/>
                      <w:sz w:val="21"/>
                      <w:szCs w:val="21"/>
                      <w:highlight w:val="none"/>
                    </w:rPr>
                    <w:t>次</w:t>
                  </w:r>
                  <w:r>
                    <w:rPr>
                      <w:rFonts w:hint="default" w:ascii="Times New Roman" w:hAnsi="Times New Roman" w:eastAsia="Times New Roman"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年</w:t>
                  </w:r>
                </w:p>
              </w:tc>
              <w:tc>
                <w:tcPr>
                  <w:tcW w:w="578" w:type="dxa"/>
                  <w:vMerge w:val="continue"/>
                  <w:tcBorders>
                    <w:tl2br w:val="nil"/>
                    <w:tr2bl w:val="nil"/>
                  </w:tcBorders>
                  <w:vAlign w:val="center"/>
                </w:tcPr>
                <w:p w14:paraId="74A06E55">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3030" w:type="dxa"/>
                  <w:tcBorders>
                    <w:tl2br w:val="nil"/>
                    <w:tr2bl w:val="nil"/>
                  </w:tcBorders>
                  <w:vAlign w:val="center"/>
                </w:tcPr>
                <w:p w14:paraId="71BF4F1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8"/>
                      <w:sz w:val="21"/>
                      <w:szCs w:val="21"/>
                      <w:highlight w:val="none"/>
                    </w:rPr>
                    <w:t>《合成树脂工业污染物排放标准》</w:t>
                  </w:r>
                  <w:r>
                    <w:rPr>
                      <w:rFonts w:hint="default" w:ascii="Times New Roman" w:hAnsi="Times New Roman" w:eastAsia="宋体" w:cs="Times New Roman"/>
                      <w:color w:val="auto"/>
                      <w:spacing w:val="4"/>
                      <w:sz w:val="21"/>
                      <w:szCs w:val="21"/>
                      <w:highlight w:val="none"/>
                    </w:rPr>
                    <w:t>（</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4"/>
                      <w:sz w:val="21"/>
                      <w:szCs w:val="21"/>
                      <w:highlight w:val="none"/>
                    </w:rPr>
                    <w:t>31572-2015</w:t>
                  </w:r>
                  <w:r>
                    <w:rPr>
                      <w:rFonts w:hint="default" w:ascii="Times New Roman" w:hAnsi="Times New Roman" w:eastAsia="宋体" w:cs="Times New Roman"/>
                      <w:color w:val="auto"/>
                      <w:spacing w:val="4"/>
                      <w:sz w:val="21"/>
                      <w:szCs w:val="21"/>
                      <w:highlight w:val="none"/>
                    </w:rPr>
                    <w:t>，含</w:t>
                  </w:r>
                  <w:r>
                    <w:rPr>
                      <w:rFonts w:hint="default" w:ascii="Times New Roman" w:hAnsi="Times New Roman" w:eastAsia="Times New Roman" w:cs="Times New Roman"/>
                      <w:color w:val="auto"/>
                      <w:spacing w:val="4"/>
                      <w:sz w:val="21"/>
                      <w:szCs w:val="21"/>
                      <w:highlight w:val="none"/>
                    </w:rPr>
                    <w:t>2024</w:t>
                  </w:r>
                  <w:r>
                    <w:rPr>
                      <w:rFonts w:hint="default" w:ascii="Times New Roman" w:hAnsi="Times New Roman" w:eastAsia="宋体" w:cs="Times New Roman"/>
                      <w:color w:val="auto"/>
                      <w:spacing w:val="4"/>
                      <w:sz w:val="21"/>
                      <w:szCs w:val="21"/>
                      <w:highlight w:val="none"/>
                    </w:rPr>
                    <w:t>年修改</w:t>
                  </w:r>
                  <w:r>
                    <w:rPr>
                      <w:rFonts w:hint="default" w:ascii="Times New Roman" w:hAnsi="Times New Roman" w:eastAsia="宋体" w:cs="Times New Roman"/>
                      <w:color w:val="auto"/>
                      <w:spacing w:val="3"/>
                      <w:sz w:val="21"/>
                      <w:szCs w:val="21"/>
                      <w:highlight w:val="none"/>
                    </w:rPr>
                    <w:t>单）中表</w:t>
                  </w:r>
                  <w:r>
                    <w:rPr>
                      <w:rFonts w:hint="default" w:ascii="Times New Roman" w:hAnsi="Times New Roman" w:eastAsia="Times New Roman" w:cs="Times New Roman"/>
                      <w:color w:val="auto"/>
                      <w:spacing w:val="3"/>
                      <w:sz w:val="21"/>
                      <w:szCs w:val="21"/>
                      <w:highlight w:val="none"/>
                    </w:rPr>
                    <w:t>9</w:t>
                  </w:r>
                  <w:r>
                    <w:rPr>
                      <w:rFonts w:hint="default" w:ascii="Times New Roman" w:hAnsi="Times New Roman" w:eastAsia="宋体" w:cs="Times New Roman"/>
                      <w:color w:val="auto"/>
                      <w:spacing w:val="3"/>
                      <w:sz w:val="21"/>
                      <w:szCs w:val="21"/>
                      <w:highlight w:val="none"/>
                    </w:rPr>
                    <w:t>企业边界大气污染物浓</w:t>
                  </w:r>
                  <w:r>
                    <w:rPr>
                      <w:rFonts w:hint="default" w:ascii="Times New Roman" w:hAnsi="Times New Roman" w:eastAsia="宋体" w:cs="Times New Roman"/>
                      <w:color w:val="auto"/>
                      <w:spacing w:val="8"/>
                      <w:sz w:val="21"/>
                      <w:szCs w:val="21"/>
                      <w:highlight w:val="none"/>
                    </w:rPr>
                    <w:t>度限值要求</w:t>
                  </w:r>
                </w:p>
              </w:tc>
            </w:tr>
            <w:tr w14:paraId="20D3A9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543" w:type="dxa"/>
                  <w:tcBorders>
                    <w:tl2br w:val="nil"/>
                    <w:tr2bl w:val="nil"/>
                  </w:tcBorders>
                  <w:vAlign w:val="center"/>
                </w:tcPr>
                <w:p w14:paraId="136E20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噪声</w:t>
                  </w:r>
                </w:p>
              </w:tc>
              <w:tc>
                <w:tcPr>
                  <w:tcW w:w="684" w:type="dxa"/>
                  <w:tcBorders>
                    <w:tl2br w:val="nil"/>
                    <w:tr2bl w:val="nil"/>
                  </w:tcBorders>
                  <w:vAlign w:val="center"/>
                </w:tcPr>
                <w:p w14:paraId="39F5BAA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厂界</w:t>
                  </w:r>
                </w:p>
              </w:tc>
              <w:tc>
                <w:tcPr>
                  <w:tcW w:w="524" w:type="dxa"/>
                  <w:tcBorders>
                    <w:tl2br w:val="nil"/>
                    <w:tr2bl w:val="nil"/>
                  </w:tcBorders>
                  <w:vAlign w:val="center"/>
                </w:tcPr>
                <w:p w14:paraId="728DA1E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厂界</w:t>
                  </w:r>
                </w:p>
              </w:tc>
              <w:tc>
                <w:tcPr>
                  <w:tcW w:w="524" w:type="dxa"/>
                  <w:tcBorders>
                    <w:tl2br w:val="nil"/>
                    <w:tr2bl w:val="nil"/>
                  </w:tcBorders>
                  <w:vAlign w:val="center"/>
                </w:tcPr>
                <w:p w14:paraId="592052E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6"/>
                      <w:sz w:val="21"/>
                      <w:szCs w:val="21"/>
                      <w:highlight w:val="none"/>
                    </w:rPr>
                    <w:t>噪声</w:t>
                  </w:r>
                </w:p>
              </w:tc>
              <w:tc>
                <w:tcPr>
                  <w:tcW w:w="839" w:type="dxa"/>
                  <w:tcBorders>
                    <w:tl2br w:val="nil"/>
                    <w:tr2bl w:val="nil"/>
                  </w:tcBorders>
                  <w:vAlign w:val="center"/>
                </w:tcPr>
                <w:p w14:paraId="25A8343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3"/>
                      <w:sz w:val="21"/>
                      <w:szCs w:val="21"/>
                      <w:highlight w:val="none"/>
                    </w:rPr>
                    <w:t>厂界</w:t>
                  </w:r>
                </w:p>
              </w:tc>
              <w:tc>
                <w:tcPr>
                  <w:tcW w:w="670" w:type="dxa"/>
                  <w:tcBorders>
                    <w:tl2br w:val="nil"/>
                    <w:tr2bl w:val="nil"/>
                  </w:tcBorders>
                  <w:vAlign w:val="center"/>
                </w:tcPr>
                <w:p w14:paraId="574BA9D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Times New Roman" w:cs="Times New Roman"/>
                      <w:color w:val="auto"/>
                      <w:sz w:val="21"/>
                      <w:szCs w:val="21"/>
                      <w:highlight w:val="none"/>
                    </w:rPr>
                    <w:t>1</w:t>
                  </w:r>
                  <w:r>
                    <w:rPr>
                      <w:rFonts w:hint="default" w:ascii="Times New Roman" w:hAnsi="Times New Roman" w:eastAsia="宋体" w:cs="Times New Roman"/>
                      <w:color w:val="auto"/>
                      <w:sz w:val="21"/>
                      <w:szCs w:val="21"/>
                      <w:highlight w:val="none"/>
                    </w:rPr>
                    <w:t>次</w:t>
                  </w:r>
                  <w:r>
                    <w:rPr>
                      <w:rFonts w:hint="default" w:ascii="Times New Roman" w:hAnsi="Times New Roman" w:eastAsia="Times New Roman" w:cs="Times New Roman"/>
                      <w:color w:val="auto"/>
                      <w:spacing w:val="2"/>
                      <w:sz w:val="21"/>
                      <w:szCs w:val="21"/>
                      <w:highlight w:val="none"/>
                    </w:rPr>
                    <w:t>/</w:t>
                  </w:r>
                  <w:r>
                    <w:rPr>
                      <w:rFonts w:hint="default" w:ascii="Times New Roman" w:hAnsi="Times New Roman" w:eastAsia="宋体" w:cs="Times New Roman"/>
                      <w:color w:val="auto"/>
                      <w:sz w:val="21"/>
                      <w:szCs w:val="21"/>
                      <w:highlight w:val="none"/>
                    </w:rPr>
                    <w:t>季</w:t>
                  </w:r>
                  <w:r>
                    <w:rPr>
                      <w:rFonts w:hint="default" w:ascii="Times New Roman" w:hAnsi="Times New Roman" w:eastAsia="宋体" w:cs="Times New Roman"/>
                      <w:color w:val="auto"/>
                      <w:spacing w:val="1"/>
                      <w:sz w:val="21"/>
                      <w:szCs w:val="21"/>
                      <w:highlight w:val="none"/>
                    </w:rPr>
                    <w:t>度</w:t>
                  </w:r>
                </w:p>
              </w:tc>
              <w:tc>
                <w:tcPr>
                  <w:tcW w:w="578" w:type="dxa"/>
                  <w:vMerge w:val="continue"/>
                  <w:tcBorders>
                    <w:tl2br w:val="nil"/>
                    <w:tr2bl w:val="nil"/>
                  </w:tcBorders>
                  <w:vAlign w:val="center"/>
                </w:tcPr>
                <w:p w14:paraId="436EAD2D">
                  <w:pPr>
                    <w:pStyle w:val="63"/>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cs="Times New Roman"/>
                      <w:color w:val="auto"/>
                      <w:sz w:val="21"/>
                      <w:szCs w:val="21"/>
                      <w:highlight w:val="none"/>
                    </w:rPr>
                  </w:pPr>
                </w:p>
              </w:tc>
              <w:tc>
                <w:tcPr>
                  <w:tcW w:w="3030" w:type="dxa"/>
                  <w:tcBorders>
                    <w:tl2br w:val="nil"/>
                    <w:tr2bl w:val="nil"/>
                  </w:tcBorders>
                  <w:vAlign w:val="center"/>
                </w:tcPr>
                <w:p w14:paraId="7882909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pacing w:val="5"/>
                      <w:sz w:val="21"/>
                      <w:szCs w:val="21"/>
                      <w:highlight w:val="none"/>
                    </w:rPr>
                    <w:t>厂界噪声</w:t>
                  </w:r>
                  <w:r>
                    <w:rPr>
                      <w:rFonts w:hint="default" w:ascii="Times New Roman" w:hAnsi="Times New Roman" w:cs="Times New Roman"/>
                      <w:color w:val="auto"/>
                      <w:spacing w:val="5"/>
                      <w:sz w:val="21"/>
                      <w:szCs w:val="21"/>
                      <w:highlight w:val="none"/>
                      <w:lang w:eastAsia="zh-CN"/>
                    </w:rPr>
                    <w:t>达到</w:t>
                  </w:r>
                  <w:r>
                    <w:rPr>
                      <w:rFonts w:hint="default" w:ascii="Times New Roman" w:hAnsi="Times New Roman" w:eastAsia="宋体" w:cs="Times New Roman"/>
                      <w:color w:val="auto"/>
                      <w:spacing w:val="5"/>
                      <w:sz w:val="21"/>
                      <w:szCs w:val="21"/>
                      <w:highlight w:val="none"/>
                    </w:rPr>
                    <w:t>《工业企业厂界环境噪</w:t>
                  </w:r>
                  <w:r>
                    <w:rPr>
                      <w:rFonts w:hint="default" w:ascii="Times New Roman" w:hAnsi="Times New Roman" w:eastAsia="宋体" w:cs="Times New Roman"/>
                      <w:color w:val="auto"/>
                      <w:spacing w:val="2"/>
                      <w:sz w:val="21"/>
                      <w:szCs w:val="21"/>
                      <w:highlight w:val="none"/>
                    </w:rPr>
                    <w:t>声排放标准》（</w:t>
                  </w:r>
                  <w:r>
                    <w:rPr>
                      <w:rFonts w:hint="default" w:ascii="Times New Roman" w:hAnsi="Times New Roman" w:eastAsia="Times New Roman" w:cs="Times New Roman"/>
                      <w:color w:val="auto"/>
                      <w:sz w:val="21"/>
                      <w:szCs w:val="21"/>
                      <w:highlight w:val="none"/>
                    </w:rPr>
                    <w:t>GB</w:t>
                  </w:r>
                  <w:r>
                    <w:rPr>
                      <w:rFonts w:hint="default" w:ascii="Times New Roman" w:hAnsi="Times New Roman" w:eastAsia="Times New Roman" w:cs="Times New Roman"/>
                      <w:color w:val="auto"/>
                      <w:spacing w:val="2"/>
                      <w:sz w:val="21"/>
                      <w:szCs w:val="21"/>
                      <w:highlight w:val="none"/>
                    </w:rPr>
                    <w:t>12348-2008</w:t>
                  </w:r>
                  <w:r>
                    <w:rPr>
                      <w:rFonts w:hint="default" w:ascii="Times New Roman" w:hAnsi="Times New Roman" w:eastAsia="宋体" w:cs="Times New Roman"/>
                      <w:color w:val="auto"/>
                      <w:spacing w:val="2"/>
                      <w:sz w:val="21"/>
                      <w:szCs w:val="21"/>
                      <w:highlight w:val="none"/>
                    </w:rPr>
                    <w:t>）中</w:t>
                  </w:r>
                  <w:r>
                    <w:rPr>
                      <w:rFonts w:hint="default" w:ascii="Times New Roman" w:hAnsi="Times New Roman" w:eastAsia="宋体" w:cs="Times New Roman"/>
                      <w:color w:val="auto"/>
                      <w:sz w:val="21"/>
                      <w:szCs w:val="21"/>
                      <w:highlight w:val="none"/>
                    </w:rPr>
                    <w:t>的</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类标准</w:t>
                  </w:r>
                </w:p>
              </w:tc>
            </w:tr>
          </w:tbl>
          <w:p w14:paraId="67B43F9B">
            <w:pPr>
              <w:keepNext w:val="0"/>
              <w:keepLines w:val="0"/>
              <w:pageBreakBefore w:val="0"/>
              <w:widowControl/>
              <w:kinsoku w:val="0"/>
              <w:wordWrap/>
              <w:overflowPunct/>
              <w:topLinePunct w:val="0"/>
              <w:autoSpaceDE w:val="0"/>
              <w:autoSpaceDN w:val="0"/>
              <w:bidi w:val="0"/>
              <w:snapToGrid w:val="0"/>
              <w:spacing w:line="360" w:lineRule="auto"/>
              <w:ind w:left="0" w:right="0" w:firstLine="502" w:firstLineChars="200"/>
              <w:textAlignment w:val="baseline"/>
              <w:rPr>
                <w:rFonts w:hint="default" w:ascii="Times New Roman" w:hAnsi="Times New Roman" w:eastAsia="宋体" w:cs="Times New Roman"/>
                <w:b/>
                <w:bCs/>
                <w:color w:val="auto"/>
                <w:spacing w:val="5"/>
                <w:sz w:val="24"/>
                <w:szCs w:val="24"/>
                <w:highlight w:val="none"/>
              </w:rPr>
            </w:pPr>
          </w:p>
          <w:p w14:paraId="6009E055">
            <w:pPr>
              <w:pStyle w:val="52"/>
              <w:numPr>
                <w:ilvl w:val="0"/>
                <w:numId w:val="0"/>
              </w:numPr>
              <w:adjustRightInd/>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lang w:val="en-US" w:eastAsia="zh-CN"/>
              </w:rPr>
              <w:t>环保投资</w:t>
            </w:r>
          </w:p>
          <w:p w14:paraId="034F8181">
            <w:pPr>
              <w:pStyle w:val="52"/>
              <w:numPr>
                <w:ilvl w:val="0"/>
                <w:numId w:val="0"/>
              </w:numPr>
              <w:adjustRightInd/>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本项目总投资为</w:t>
            </w:r>
            <w:r>
              <w:rPr>
                <w:rFonts w:hint="default" w:ascii="Times New Roman" w:hAnsi="Times New Roman" w:cs="Times New Roman"/>
                <w:color w:val="auto"/>
                <w:sz w:val="24"/>
                <w:szCs w:val="24"/>
                <w:highlight w:val="none"/>
                <w:lang w:val="en-US" w:eastAsia="zh-CN"/>
              </w:rPr>
              <w:t>1350</w:t>
            </w:r>
            <w:r>
              <w:rPr>
                <w:rFonts w:hint="default" w:ascii="Times New Roman" w:hAnsi="Times New Roman" w:eastAsia="宋体" w:cs="Times New Roman"/>
                <w:color w:val="auto"/>
                <w:sz w:val="24"/>
                <w:szCs w:val="24"/>
                <w:highlight w:val="none"/>
              </w:rPr>
              <w:t>万元</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其中环保投资</w:t>
            </w:r>
            <w:r>
              <w:rPr>
                <w:rFonts w:hint="default" w:ascii="Times New Roman" w:hAnsi="Times New Roman" w:cs="Times New Roman"/>
                <w:color w:val="auto"/>
                <w:sz w:val="24"/>
                <w:szCs w:val="24"/>
                <w:highlight w:val="none"/>
                <w:lang w:val="en-US" w:eastAsia="zh-CN"/>
              </w:rPr>
              <w:t>27</w:t>
            </w:r>
            <w:r>
              <w:rPr>
                <w:rFonts w:hint="default" w:ascii="Times New Roman" w:hAnsi="Times New Roman" w:eastAsia="宋体" w:cs="Times New Roman"/>
                <w:color w:val="auto"/>
                <w:sz w:val="24"/>
                <w:szCs w:val="24"/>
                <w:highlight w:val="none"/>
              </w:rPr>
              <w:t>万元</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占总投资的</w:t>
            </w:r>
            <w:r>
              <w:rPr>
                <w:rFonts w:hint="default" w:ascii="Times New Roman" w:hAnsi="Times New Roman" w:cs="Times New Roman"/>
                <w:color w:val="auto"/>
                <w:sz w:val="24"/>
                <w:szCs w:val="24"/>
                <w:highlight w:val="none"/>
                <w:lang w:val="en-US" w:eastAsia="zh-CN"/>
              </w:rPr>
              <w:t>5.4</w:t>
            </w:r>
            <w:r>
              <w:rPr>
                <w:rFonts w:hint="default" w:ascii="Times New Roman" w:hAnsi="Times New Roman" w:eastAsia="宋体" w:cs="Times New Roman"/>
                <w:color w:val="auto"/>
                <w:sz w:val="24"/>
                <w:szCs w:val="24"/>
                <w:highlight w:val="none"/>
              </w:rPr>
              <w:t>％</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详见表</w:t>
            </w:r>
            <w:r>
              <w:rPr>
                <w:rFonts w:hint="default" w:ascii="Times New Roman" w:hAnsi="Times New Roman" w:cs="Times New Roman"/>
                <w:color w:val="auto"/>
                <w:sz w:val="24"/>
                <w:szCs w:val="24"/>
                <w:highlight w:val="none"/>
                <w:lang w:val="en-US" w:eastAsia="zh-CN"/>
              </w:rPr>
              <w:t>4-12</w:t>
            </w:r>
            <w:r>
              <w:rPr>
                <w:rFonts w:hint="default" w:ascii="Times New Roman" w:hAnsi="Times New Roman" w:eastAsia="宋体" w:cs="Times New Roman"/>
                <w:color w:val="auto"/>
                <w:sz w:val="24"/>
                <w:szCs w:val="24"/>
                <w:highlight w:val="none"/>
              </w:rPr>
              <w:t>。</w:t>
            </w:r>
          </w:p>
          <w:p w14:paraId="1A94660F">
            <w:pPr>
              <w:jc w:val="center"/>
              <w:rPr>
                <w:rFonts w:hint="default" w:ascii="Times New Roman" w:hAnsi="Times New Roman" w:eastAsia="黑体" w:cs="Times New Roman"/>
                <w:b w:val="0"/>
                <w:bCs/>
                <w:color w:val="auto"/>
                <w:sz w:val="24"/>
                <w:szCs w:val="24"/>
                <w:highlight w:val="none"/>
              </w:rPr>
            </w:pPr>
            <w:r>
              <w:rPr>
                <w:rFonts w:hint="default" w:ascii="Times New Roman" w:hAnsi="Times New Roman" w:eastAsia="黑体" w:cs="Times New Roman"/>
                <w:b w:val="0"/>
                <w:bCs/>
                <w:color w:val="auto"/>
                <w:sz w:val="24"/>
                <w:szCs w:val="24"/>
                <w:highlight w:val="none"/>
              </w:rPr>
              <w:t>表</w:t>
            </w:r>
            <w:r>
              <w:rPr>
                <w:rFonts w:hint="default" w:ascii="Times New Roman" w:hAnsi="Times New Roman" w:eastAsia="黑体" w:cs="Times New Roman"/>
                <w:b w:val="0"/>
                <w:bCs/>
                <w:color w:val="auto"/>
                <w:sz w:val="24"/>
                <w:szCs w:val="24"/>
                <w:highlight w:val="none"/>
                <w:lang w:val="en-US" w:eastAsia="zh-CN"/>
              </w:rPr>
              <w:t>4-16</w:t>
            </w:r>
            <w:r>
              <w:rPr>
                <w:rFonts w:hint="default" w:ascii="Times New Roman" w:hAnsi="Times New Roman" w:eastAsia="黑体" w:cs="Times New Roman"/>
                <w:b w:val="0"/>
                <w:bCs/>
                <w:color w:val="auto"/>
                <w:sz w:val="24"/>
                <w:szCs w:val="24"/>
                <w:highlight w:val="none"/>
              </w:rPr>
              <w:t>项目环保投资估算表</w:t>
            </w:r>
          </w:p>
          <w:tbl>
            <w:tblPr>
              <w:tblStyle w:val="24"/>
              <w:tblW w:w="494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3"/>
              <w:gridCol w:w="1663"/>
              <w:gridCol w:w="3781"/>
              <w:gridCol w:w="1365"/>
            </w:tblGrid>
            <w:tr w14:paraId="2A8083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23" w:hRule="atLeast"/>
                <w:jc w:val="center"/>
              </w:trPr>
              <w:tc>
                <w:tcPr>
                  <w:tcW w:w="573" w:type="dxa"/>
                  <w:tcBorders>
                    <w:tl2br w:val="nil"/>
                    <w:tr2bl w:val="nil"/>
                  </w:tcBorders>
                  <w:noWrap w:val="0"/>
                  <w:vAlign w:val="center"/>
                </w:tcPr>
                <w:p w14:paraId="66273B79">
                  <w:pPr>
                    <w:adjustRightInd w:val="0"/>
                    <w:snapToGrid w:val="0"/>
                    <w:ind w:left="-84" w:leftChars="-40" w:right="-84" w:rightChars="-4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序号</w:t>
                  </w:r>
                </w:p>
              </w:tc>
              <w:tc>
                <w:tcPr>
                  <w:tcW w:w="1663" w:type="dxa"/>
                  <w:tcBorders>
                    <w:tl2br w:val="nil"/>
                    <w:tr2bl w:val="nil"/>
                  </w:tcBorders>
                  <w:noWrap w:val="0"/>
                  <w:vAlign w:val="center"/>
                </w:tcPr>
                <w:p w14:paraId="0BFD94A9">
                  <w:pPr>
                    <w:adjustRightInd w:val="0"/>
                    <w:snapToGrid w:val="0"/>
                    <w:ind w:left="-84" w:leftChars="-40" w:right="-84" w:rightChars="-4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类别</w:t>
                  </w:r>
                </w:p>
              </w:tc>
              <w:tc>
                <w:tcPr>
                  <w:tcW w:w="3781" w:type="dxa"/>
                  <w:tcBorders>
                    <w:tl2br w:val="nil"/>
                    <w:tr2bl w:val="nil"/>
                  </w:tcBorders>
                  <w:noWrap w:val="0"/>
                  <w:vAlign w:val="center"/>
                </w:tcPr>
                <w:p w14:paraId="18FADBAE">
                  <w:pPr>
                    <w:adjustRightInd w:val="0"/>
                    <w:snapToGrid w:val="0"/>
                    <w:ind w:left="-42" w:leftChars="-20" w:right="-42" w:rightChars="-2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主要环保措施</w:t>
                  </w:r>
                </w:p>
              </w:tc>
              <w:tc>
                <w:tcPr>
                  <w:tcW w:w="1365" w:type="dxa"/>
                  <w:tcBorders>
                    <w:tl2br w:val="nil"/>
                    <w:tr2bl w:val="nil"/>
                  </w:tcBorders>
                  <w:noWrap w:val="0"/>
                  <w:vAlign w:val="center"/>
                </w:tcPr>
                <w:p w14:paraId="33A17FAE">
                  <w:pPr>
                    <w:adjustRightInd w:val="0"/>
                    <w:snapToGrid w:val="0"/>
                    <w:ind w:left="-84" w:leftChars="-40" w:right="-84" w:rightChars="-40"/>
                    <w:jc w:val="center"/>
                    <w:rPr>
                      <w:rFonts w:hint="default" w:ascii="Times New Roman" w:hAnsi="Times New Roman" w:cs="Times New Roman"/>
                      <w:b/>
                      <w:bCs w:val="0"/>
                      <w:color w:val="auto"/>
                      <w:szCs w:val="21"/>
                      <w:highlight w:val="none"/>
                    </w:rPr>
                  </w:pPr>
                  <w:r>
                    <w:rPr>
                      <w:rFonts w:hint="default" w:ascii="Times New Roman" w:hAnsi="Times New Roman" w:cs="Times New Roman"/>
                      <w:b/>
                      <w:bCs w:val="0"/>
                      <w:color w:val="auto"/>
                      <w:szCs w:val="21"/>
                      <w:highlight w:val="none"/>
                    </w:rPr>
                    <w:t>投资估算(万元)</w:t>
                  </w:r>
                </w:p>
              </w:tc>
            </w:tr>
            <w:tr w14:paraId="25724E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3" w:type="dxa"/>
                  <w:tcBorders>
                    <w:tl2br w:val="nil"/>
                    <w:tr2bl w:val="nil"/>
                  </w:tcBorders>
                  <w:noWrap w:val="0"/>
                  <w:vAlign w:val="center"/>
                </w:tcPr>
                <w:p w14:paraId="2C659D6F">
                  <w:pPr>
                    <w:adjustRightInd w:val="0"/>
                    <w:snapToGrid w:val="0"/>
                    <w:ind w:left="-84" w:leftChars="-40" w:right="-84" w:rightChars="-4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1</w:t>
                  </w:r>
                </w:p>
              </w:tc>
              <w:tc>
                <w:tcPr>
                  <w:tcW w:w="1663" w:type="dxa"/>
                  <w:vMerge w:val="restart"/>
                  <w:tcBorders>
                    <w:tl2br w:val="nil"/>
                    <w:tr2bl w:val="nil"/>
                  </w:tcBorders>
                  <w:noWrap w:val="0"/>
                  <w:vAlign w:val="center"/>
                </w:tcPr>
                <w:p w14:paraId="107126EC">
                  <w:pPr>
                    <w:adjustRightInd w:val="0"/>
                    <w:snapToGrid w:val="0"/>
                    <w:ind w:left="-84" w:leftChars="-40" w:right="-84" w:rightChars="-4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废气</w:t>
                  </w:r>
                </w:p>
              </w:tc>
              <w:tc>
                <w:tcPr>
                  <w:tcW w:w="3781" w:type="dxa"/>
                  <w:tcBorders>
                    <w:tl2br w:val="nil"/>
                    <w:tr2bl w:val="nil"/>
                  </w:tcBorders>
                  <w:noWrap w:val="0"/>
                  <w:vAlign w:val="center"/>
                </w:tcPr>
                <w:p w14:paraId="3ED12272">
                  <w:pPr>
                    <w:adjustRightInd w:val="0"/>
                    <w:snapToGrid w:val="0"/>
                    <w:ind w:left="-42" w:leftChars="-20" w:right="-42" w:rightChars="-2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活性炭吸附脱附+催化燃烧装置</w:t>
                  </w:r>
                </w:p>
              </w:tc>
              <w:tc>
                <w:tcPr>
                  <w:tcW w:w="1365" w:type="dxa"/>
                  <w:tcBorders>
                    <w:tl2br w:val="nil"/>
                    <w:tr2bl w:val="nil"/>
                  </w:tcBorders>
                  <w:noWrap w:val="0"/>
                  <w:vAlign w:val="center"/>
                </w:tcPr>
                <w:p w14:paraId="5321B7CE">
                  <w:pPr>
                    <w:adjustRightInd w:val="0"/>
                    <w:snapToGrid w:val="0"/>
                    <w:ind w:left="-84" w:leftChars="-40" w:right="-84" w:rightChars="-4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16</w:t>
                  </w:r>
                </w:p>
              </w:tc>
            </w:tr>
            <w:tr w14:paraId="52A35F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3" w:type="dxa"/>
                  <w:tcBorders>
                    <w:tl2br w:val="nil"/>
                    <w:tr2bl w:val="nil"/>
                  </w:tcBorders>
                  <w:noWrap w:val="0"/>
                  <w:vAlign w:val="center"/>
                </w:tcPr>
                <w:p w14:paraId="3119C976">
                  <w:pPr>
                    <w:adjustRightInd w:val="0"/>
                    <w:snapToGrid w:val="0"/>
                    <w:ind w:left="-84" w:leftChars="-40" w:right="-84" w:rightChars="-4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663" w:type="dxa"/>
                  <w:vMerge w:val="continue"/>
                  <w:tcBorders>
                    <w:tl2br w:val="nil"/>
                    <w:tr2bl w:val="nil"/>
                  </w:tcBorders>
                  <w:noWrap w:val="0"/>
                  <w:vAlign w:val="center"/>
                </w:tcPr>
                <w:p w14:paraId="38C2E2EF">
                  <w:pPr>
                    <w:adjustRightInd w:val="0"/>
                    <w:snapToGrid w:val="0"/>
                    <w:ind w:left="-84" w:leftChars="-40" w:right="-84" w:rightChars="-40"/>
                    <w:jc w:val="center"/>
                    <w:rPr>
                      <w:rFonts w:hint="default" w:ascii="Times New Roman" w:hAnsi="Times New Roman" w:cs="Times New Roman"/>
                      <w:color w:val="auto"/>
                      <w:szCs w:val="21"/>
                      <w:highlight w:val="none"/>
                      <w:lang w:val="en-US" w:eastAsia="zh-CN"/>
                    </w:rPr>
                  </w:pPr>
                </w:p>
              </w:tc>
              <w:tc>
                <w:tcPr>
                  <w:tcW w:w="3781" w:type="dxa"/>
                  <w:tcBorders>
                    <w:tl2br w:val="nil"/>
                    <w:tr2bl w:val="nil"/>
                  </w:tcBorders>
                  <w:noWrap w:val="0"/>
                  <w:vAlign w:val="center"/>
                </w:tcPr>
                <w:p w14:paraId="6577097E">
                  <w:pPr>
                    <w:adjustRightInd w:val="0"/>
                    <w:snapToGrid w:val="0"/>
                    <w:ind w:left="-42" w:leftChars="-20" w:right="-42" w:rightChars="-2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加强厂区排风</w:t>
                  </w:r>
                </w:p>
              </w:tc>
              <w:tc>
                <w:tcPr>
                  <w:tcW w:w="1365" w:type="dxa"/>
                  <w:tcBorders>
                    <w:tl2br w:val="nil"/>
                    <w:tr2bl w:val="nil"/>
                  </w:tcBorders>
                  <w:noWrap w:val="0"/>
                  <w:vAlign w:val="center"/>
                </w:tcPr>
                <w:p w14:paraId="0046A01B">
                  <w:pPr>
                    <w:adjustRightInd w:val="0"/>
                    <w:snapToGrid w:val="0"/>
                    <w:ind w:left="-84" w:leftChars="-40" w:right="-84" w:rightChars="-4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r>
            <w:tr w14:paraId="61E27F3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3" w:type="dxa"/>
                  <w:tcBorders>
                    <w:tl2br w:val="nil"/>
                    <w:tr2bl w:val="nil"/>
                  </w:tcBorders>
                  <w:noWrap w:val="0"/>
                  <w:vAlign w:val="center"/>
                </w:tcPr>
                <w:p w14:paraId="52A13D2E">
                  <w:pPr>
                    <w:adjustRightInd w:val="0"/>
                    <w:snapToGrid w:val="0"/>
                    <w:ind w:left="-84" w:leftChars="-40" w:right="-84" w:rightChars="-4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3</w:t>
                  </w:r>
                </w:p>
              </w:tc>
              <w:tc>
                <w:tcPr>
                  <w:tcW w:w="1663" w:type="dxa"/>
                  <w:tcBorders>
                    <w:tl2br w:val="nil"/>
                    <w:tr2bl w:val="nil"/>
                  </w:tcBorders>
                  <w:noWrap w:val="0"/>
                  <w:vAlign w:val="center"/>
                </w:tcPr>
                <w:p w14:paraId="3F219774">
                  <w:pPr>
                    <w:adjustRightInd w:val="0"/>
                    <w:snapToGrid w:val="0"/>
                    <w:ind w:left="-84" w:leftChars="-40" w:right="-84" w:rightChars="-4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噪声</w:t>
                  </w:r>
                </w:p>
              </w:tc>
              <w:tc>
                <w:tcPr>
                  <w:tcW w:w="3781" w:type="dxa"/>
                  <w:tcBorders>
                    <w:tl2br w:val="nil"/>
                    <w:tr2bl w:val="nil"/>
                  </w:tcBorders>
                  <w:noWrap w:val="0"/>
                  <w:vAlign w:val="center"/>
                </w:tcPr>
                <w:p w14:paraId="38EF4D38">
                  <w:pPr>
                    <w:widowControl/>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隔声、基础减振</w:t>
                  </w:r>
                  <w:r>
                    <w:rPr>
                      <w:rFonts w:hint="default" w:ascii="Times New Roman" w:hAnsi="Times New Roman" w:cs="Times New Roman"/>
                      <w:color w:val="auto"/>
                      <w:szCs w:val="21"/>
                      <w:highlight w:val="none"/>
                      <w:lang w:eastAsia="zh-CN"/>
                    </w:rPr>
                    <w:t>，消声</w:t>
                  </w:r>
                  <w:r>
                    <w:rPr>
                      <w:rFonts w:hint="default" w:ascii="Times New Roman" w:hAnsi="Times New Roman" w:cs="Times New Roman"/>
                      <w:color w:val="auto"/>
                      <w:szCs w:val="21"/>
                      <w:highlight w:val="none"/>
                    </w:rPr>
                    <w:t>等</w:t>
                  </w:r>
                </w:p>
              </w:tc>
              <w:tc>
                <w:tcPr>
                  <w:tcW w:w="1365" w:type="dxa"/>
                  <w:tcBorders>
                    <w:tl2br w:val="nil"/>
                    <w:tr2bl w:val="nil"/>
                  </w:tcBorders>
                  <w:noWrap w:val="0"/>
                  <w:vAlign w:val="center"/>
                </w:tcPr>
                <w:p w14:paraId="3F6D69DA">
                  <w:pPr>
                    <w:adjustRightInd w:val="0"/>
                    <w:snapToGrid w:val="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w:t>
                  </w:r>
                </w:p>
              </w:tc>
            </w:tr>
            <w:tr w14:paraId="1DF1181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3" w:type="dxa"/>
                  <w:tcBorders>
                    <w:tl2br w:val="nil"/>
                    <w:tr2bl w:val="nil"/>
                  </w:tcBorders>
                  <w:noWrap w:val="0"/>
                  <w:vAlign w:val="center"/>
                </w:tcPr>
                <w:p w14:paraId="5A0E6F67">
                  <w:pPr>
                    <w:adjustRightInd w:val="0"/>
                    <w:snapToGrid w:val="0"/>
                    <w:ind w:left="-84" w:leftChars="-40" w:right="-84" w:rightChars="-4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4</w:t>
                  </w:r>
                </w:p>
              </w:tc>
              <w:tc>
                <w:tcPr>
                  <w:tcW w:w="1663" w:type="dxa"/>
                  <w:tcBorders>
                    <w:tl2br w:val="nil"/>
                    <w:tr2bl w:val="nil"/>
                  </w:tcBorders>
                  <w:noWrap w:val="0"/>
                  <w:vAlign w:val="center"/>
                </w:tcPr>
                <w:p w14:paraId="2C676BB6">
                  <w:pPr>
                    <w:adjustRightInd w:val="0"/>
                    <w:snapToGrid w:val="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废水</w:t>
                  </w:r>
                </w:p>
              </w:tc>
              <w:tc>
                <w:tcPr>
                  <w:tcW w:w="3781" w:type="dxa"/>
                  <w:tcBorders>
                    <w:tl2br w:val="nil"/>
                    <w:tr2bl w:val="nil"/>
                  </w:tcBorders>
                  <w:noWrap w:val="0"/>
                  <w:vAlign w:val="center"/>
                </w:tcPr>
                <w:p w14:paraId="1FCB2E6F">
                  <w:pPr>
                    <w:widowControl/>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循环水池（依托）</w:t>
                  </w:r>
                </w:p>
              </w:tc>
              <w:tc>
                <w:tcPr>
                  <w:tcW w:w="1365" w:type="dxa"/>
                  <w:tcBorders>
                    <w:tl2br w:val="nil"/>
                    <w:tr2bl w:val="nil"/>
                  </w:tcBorders>
                  <w:noWrap w:val="0"/>
                  <w:vAlign w:val="center"/>
                </w:tcPr>
                <w:p w14:paraId="75FF7619">
                  <w:pPr>
                    <w:adjustRightInd w:val="0"/>
                    <w:snapToGrid w:val="0"/>
                    <w:ind w:left="-84" w:leftChars="-40" w:right="-84" w:rightChars="-4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r>
            <w:tr w14:paraId="7A3C5B6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3" w:type="dxa"/>
                  <w:tcBorders>
                    <w:tl2br w:val="nil"/>
                    <w:tr2bl w:val="nil"/>
                  </w:tcBorders>
                  <w:noWrap w:val="0"/>
                  <w:vAlign w:val="center"/>
                </w:tcPr>
                <w:p w14:paraId="1D2329BE">
                  <w:pPr>
                    <w:adjustRightInd w:val="0"/>
                    <w:snapToGrid w:val="0"/>
                    <w:ind w:left="-84" w:leftChars="-40" w:right="-84" w:rightChars="-4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5</w:t>
                  </w:r>
                </w:p>
              </w:tc>
              <w:tc>
                <w:tcPr>
                  <w:tcW w:w="1663" w:type="dxa"/>
                  <w:vMerge w:val="restart"/>
                  <w:tcBorders>
                    <w:tl2br w:val="nil"/>
                    <w:tr2bl w:val="nil"/>
                  </w:tcBorders>
                  <w:noWrap w:val="0"/>
                  <w:vAlign w:val="center"/>
                </w:tcPr>
                <w:p w14:paraId="0005E2FD">
                  <w:pPr>
                    <w:adjustRightInd w:val="0"/>
                    <w:snapToGrid w:val="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固废</w:t>
                  </w:r>
                </w:p>
              </w:tc>
              <w:tc>
                <w:tcPr>
                  <w:tcW w:w="3781" w:type="dxa"/>
                  <w:tcBorders>
                    <w:tl2br w:val="nil"/>
                    <w:tr2bl w:val="nil"/>
                  </w:tcBorders>
                  <w:noWrap w:val="0"/>
                  <w:vAlign w:val="center"/>
                </w:tcPr>
                <w:p w14:paraId="44D32251">
                  <w:pPr>
                    <w:widowControl/>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一般工业固体废物贮存区（依托）</w:t>
                  </w:r>
                </w:p>
              </w:tc>
              <w:tc>
                <w:tcPr>
                  <w:tcW w:w="1365" w:type="dxa"/>
                  <w:tcBorders>
                    <w:tl2br w:val="nil"/>
                    <w:tr2bl w:val="nil"/>
                  </w:tcBorders>
                  <w:noWrap w:val="0"/>
                  <w:vAlign w:val="center"/>
                </w:tcPr>
                <w:p w14:paraId="0599D227">
                  <w:pPr>
                    <w:adjustRightInd w:val="0"/>
                    <w:snapToGrid w:val="0"/>
                    <w:ind w:left="-84" w:leftChars="-40" w:right="-84" w:rightChars="-4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0</w:t>
                  </w:r>
                </w:p>
              </w:tc>
            </w:tr>
            <w:tr w14:paraId="5C1ACB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3" w:type="dxa"/>
                  <w:tcBorders>
                    <w:tl2br w:val="nil"/>
                    <w:tr2bl w:val="nil"/>
                  </w:tcBorders>
                  <w:noWrap w:val="0"/>
                  <w:vAlign w:val="center"/>
                </w:tcPr>
                <w:p w14:paraId="0CCD85CD">
                  <w:pPr>
                    <w:adjustRightInd w:val="0"/>
                    <w:snapToGrid w:val="0"/>
                    <w:ind w:left="-84" w:leftChars="-40" w:right="-84" w:rightChars="-4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6</w:t>
                  </w:r>
                </w:p>
              </w:tc>
              <w:tc>
                <w:tcPr>
                  <w:tcW w:w="1663" w:type="dxa"/>
                  <w:vMerge w:val="continue"/>
                  <w:tcBorders>
                    <w:tl2br w:val="nil"/>
                    <w:tr2bl w:val="nil"/>
                  </w:tcBorders>
                  <w:noWrap w:val="0"/>
                  <w:vAlign w:val="center"/>
                </w:tcPr>
                <w:p w14:paraId="08418E70">
                  <w:pPr>
                    <w:adjustRightInd w:val="0"/>
                    <w:snapToGrid w:val="0"/>
                    <w:ind w:left="-84" w:leftChars="-40" w:right="-84" w:rightChars="-40"/>
                    <w:jc w:val="center"/>
                    <w:rPr>
                      <w:rFonts w:hint="default" w:ascii="Times New Roman" w:hAnsi="Times New Roman" w:cs="Times New Roman"/>
                      <w:color w:val="auto"/>
                      <w:szCs w:val="21"/>
                      <w:highlight w:val="none"/>
                    </w:rPr>
                  </w:pPr>
                </w:p>
              </w:tc>
              <w:tc>
                <w:tcPr>
                  <w:tcW w:w="3781" w:type="dxa"/>
                  <w:tcBorders>
                    <w:tl2br w:val="nil"/>
                    <w:tr2bl w:val="nil"/>
                  </w:tcBorders>
                  <w:noWrap w:val="0"/>
                  <w:vAlign w:val="center"/>
                </w:tcPr>
                <w:p w14:paraId="351A6177">
                  <w:pPr>
                    <w:widowControl/>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危废间（整改）</w:t>
                  </w:r>
                </w:p>
              </w:tc>
              <w:tc>
                <w:tcPr>
                  <w:tcW w:w="1365" w:type="dxa"/>
                  <w:tcBorders>
                    <w:tl2br w:val="nil"/>
                    <w:tr2bl w:val="nil"/>
                  </w:tcBorders>
                  <w:noWrap w:val="0"/>
                  <w:vAlign w:val="center"/>
                </w:tcPr>
                <w:p w14:paraId="0DFB72B6">
                  <w:pPr>
                    <w:adjustRightInd w:val="0"/>
                    <w:snapToGrid w:val="0"/>
                    <w:ind w:left="-84" w:leftChars="-40" w:right="-84" w:rightChars="-4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r>
            <w:tr w14:paraId="64E68C0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573" w:type="dxa"/>
                  <w:tcBorders>
                    <w:tl2br w:val="nil"/>
                    <w:tr2bl w:val="nil"/>
                  </w:tcBorders>
                  <w:noWrap w:val="0"/>
                  <w:vAlign w:val="center"/>
                </w:tcPr>
                <w:p w14:paraId="728FA7D6">
                  <w:pPr>
                    <w:adjustRightInd w:val="0"/>
                    <w:snapToGrid w:val="0"/>
                    <w:ind w:left="-84" w:leftChars="-40" w:right="-84" w:rightChars="-40"/>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val="en-US" w:eastAsia="zh-CN" w:bidi="ar-SA"/>
                    </w:rPr>
                    <w:t>7</w:t>
                  </w:r>
                </w:p>
              </w:tc>
              <w:tc>
                <w:tcPr>
                  <w:tcW w:w="1663" w:type="dxa"/>
                  <w:vMerge w:val="continue"/>
                  <w:tcBorders>
                    <w:tl2br w:val="nil"/>
                    <w:tr2bl w:val="nil"/>
                  </w:tcBorders>
                  <w:noWrap w:val="0"/>
                  <w:vAlign w:val="center"/>
                </w:tcPr>
                <w:p w14:paraId="65F40D95">
                  <w:pPr>
                    <w:adjustRightInd w:val="0"/>
                    <w:snapToGrid w:val="0"/>
                    <w:ind w:left="-84" w:leftChars="-40" w:right="-84" w:rightChars="-40"/>
                    <w:jc w:val="center"/>
                    <w:rPr>
                      <w:rFonts w:hint="default" w:ascii="Times New Roman" w:hAnsi="Times New Roman" w:cs="Times New Roman"/>
                      <w:color w:val="auto"/>
                      <w:szCs w:val="21"/>
                      <w:highlight w:val="none"/>
                    </w:rPr>
                  </w:pPr>
                </w:p>
              </w:tc>
              <w:tc>
                <w:tcPr>
                  <w:tcW w:w="3781" w:type="dxa"/>
                  <w:tcBorders>
                    <w:tl2br w:val="nil"/>
                    <w:tr2bl w:val="nil"/>
                  </w:tcBorders>
                  <w:noWrap w:val="0"/>
                  <w:vAlign w:val="center"/>
                </w:tcPr>
                <w:p w14:paraId="26D41673">
                  <w:pPr>
                    <w:widowControl/>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危险废物委托处置</w:t>
                  </w:r>
                </w:p>
              </w:tc>
              <w:tc>
                <w:tcPr>
                  <w:tcW w:w="1365" w:type="dxa"/>
                  <w:tcBorders>
                    <w:tl2br w:val="nil"/>
                    <w:tr2bl w:val="nil"/>
                  </w:tcBorders>
                  <w:noWrap w:val="0"/>
                  <w:vAlign w:val="center"/>
                </w:tcPr>
                <w:p w14:paraId="10F17090">
                  <w:pPr>
                    <w:adjustRightInd w:val="0"/>
                    <w:snapToGrid w:val="0"/>
                    <w:ind w:left="-84" w:leftChars="-40" w:right="-84" w:rightChars="-4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r>
            <w:tr w14:paraId="32F6E0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236" w:type="dxa"/>
                  <w:gridSpan w:val="2"/>
                  <w:tcBorders>
                    <w:tl2br w:val="nil"/>
                    <w:tr2bl w:val="nil"/>
                  </w:tcBorders>
                  <w:noWrap w:val="0"/>
                  <w:vAlign w:val="center"/>
                </w:tcPr>
                <w:p w14:paraId="6551BC4E">
                  <w:pPr>
                    <w:adjustRightInd w:val="0"/>
                    <w:snapToGrid w:val="0"/>
                    <w:ind w:left="-84" w:leftChars="-40" w:right="-84" w:rightChars="-4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总计</w:t>
                  </w:r>
                </w:p>
              </w:tc>
              <w:tc>
                <w:tcPr>
                  <w:tcW w:w="3781" w:type="dxa"/>
                  <w:tcBorders>
                    <w:tl2br w:val="nil"/>
                    <w:tr2bl w:val="nil"/>
                  </w:tcBorders>
                  <w:noWrap w:val="0"/>
                  <w:vAlign w:val="center"/>
                </w:tcPr>
                <w:p w14:paraId="10A5F311">
                  <w:pPr>
                    <w:adjustRightInd w:val="0"/>
                    <w:snapToGrid w:val="0"/>
                    <w:ind w:left="-42" w:leftChars="-20" w:right="-42" w:rightChars="-20"/>
                    <w:rPr>
                      <w:rFonts w:hint="default" w:ascii="Times New Roman" w:hAnsi="Times New Roman" w:cs="Times New Roman"/>
                      <w:color w:val="auto"/>
                      <w:szCs w:val="21"/>
                      <w:highlight w:val="none"/>
                    </w:rPr>
                  </w:pPr>
                </w:p>
              </w:tc>
              <w:tc>
                <w:tcPr>
                  <w:tcW w:w="1365" w:type="dxa"/>
                  <w:tcBorders>
                    <w:tl2br w:val="nil"/>
                    <w:tr2bl w:val="nil"/>
                  </w:tcBorders>
                  <w:noWrap w:val="0"/>
                  <w:vAlign w:val="center"/>
                </w:tcPr>
                <w:p w14:paraId="1C4E551B">
                  <w:pPr>
                    <w:adjustRightInd w:val="0"/>
                    <w:snapToGrid w:val="0"/>
                    <w:ind w:left="-84" w:leftChars="-40" w:right="-84" w:rightChars="-4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27</w:t>
                  </w:r>
                </w:p>
              </w:tc>
            </w:tr>
          </w:tbl>
          <w:p w14:paraId="02222296">
            <w:pPr>
              <w:spacing w:line="360" w:lineRule="auto"/>
              <w:rPr>
                <w:rFonts w:hint="default" w:ascii="Times New Roman" w:hAnsi="Times New Roman" w:cs="Times New Roman"/>
                <w:b/>
                <w:bCs/>
                <w:i w:val="0"/>
                <w:color w:val="auto"/>
                <w:sz w:val="30"/>
                <w:szCs w:val="30"/>
                <w:highlight w:val="none"/>
              </w:rPr>
            </w:pPr>
            <w:bookmarkStart w:id="5" w:name="_Toc1653"/>
            <w:bookmarkStart w:id="6" w:name="_Toc534186612"/>
            <w:bookmarkStart w:id="7" w:name="_Toc451368270"/>
            <w:bookmarkStart w:id="8" w:name="_Toc534186527"/>
            <w:bookmarkStart w:id="9" w:name="_Toc426976992"/>
            <w:bookmarkStart w:id="10" w:name="_Toc366138669"/>
            <w:r>
              <w:rPr>
                <w:rFonts w:hint="default" w:ascii="Times New Roman" w:hAnsi="Times New Roman" w:cs="Times New Roman"/>
                <w:b/>
                <w:bCs/>
                <w:i w:val="0"/>
                <w:snapToGrid w:val="0"/>
                <w:color w:val="auto"/>
                <w:kern w:val="2"/>
                <w:sz w:val="24"/>
                <w:szCs w:val="24"/>
                <w:highlight w:val="none"/>
                <w:lang w:val="en-US" w:eastAsia="zh-CN" w:bidi="ar-SA"/>
              </w:rPr>
              <w:t>9.</w:t>
            </w:r>
            <w:r>
              <w:rPr>
                <w:rFonts w:hint="default" w:ascii="Times New Roman" w:hAnsi="Times New Roman" w:eastAsia="宋体" w:cs="Times New Roman"/>
                <w:b/>
                <w:bCs/>
                <w:i w:val="0"/>
                <w:snapToGrid w:val="0"/>
                <w:color w:val="auto"/>
                <w:kern w:val="2"/>
                <w:sz w:val="24"/>
                <w:szCs w:val="24"/>
                <w:highlight w:val="none"/>
                <w:lang w:val="en-US" w:eastAsia="zh-CN" w:bidi="ar-SA"/>
              </w:rPr>
              <w:t>环境保护竣工验收内容</w:t>
            </w:r>
            <w:bookmarkEnd w:id="5"/>
            <w:bookmarkEnd w:id="6"/>
            <w:bookmarkEnd w:id="7"/>
            <w:bookmarkEnd w:id="8"/>
            <w:bookmarkEnd w:id="9"/>
            <w:bookmarkEnd w:id="10"/>
          </w:p>
          <w:p w14:paraId="5677A803">
            <w:pPr>
              <w:ind w:firstLine="480" w:firstLineChars="200"/>
              <w:rPr>
                <w:rFonts w:hint="default" w:ascii="Times New Roman" w:hAnsi="Times New Roman" w:eastAsia="宋体" w:cs="Times New Roman"/>
                <w:color w:val="auto"/>
                <w:sz w:val="24"/>
                <w:szCs w:val="32"/>
                <w:highlight w:val="none"/>
                <w:lang w:eastAsia="zh-CN"/>
              </w:rPr>
            </w:pPr>
            <w:r>
              <w:rPr>
                <w:rFonts w:hint="default" w:ascii="Times New Roman" w:hAnsi="Times New Roman" w:cs="Times New Roman"/>
                <w:color w:val="auto"/>
                <w:sz w:val="24"/>
                <w:szCs w:val="32"/>
                <w:highlight w:val="none"/>
              </w:rPr>
              <w:t>该项目环境保护</w:t>
            </w:r>
            <w:r>
              <w:rPr>
                <w:rFonts w:hint="default" w:ascii="Times New Roman" w:hAnsi="Times New Roman" w:cs="Times New Roman"/>
                <w:color w:val="auto"/>
                <w:sz w:val="24"/>
                <w:szCs w:val="32"/>
                <w:highlight w:val="none"/>
                <w:lang w:val="en-US" w:eastAsia="zh-CN"/>
              </w:rPr>
              <w:t>竣工</w:t>
            </w:r>
            <w:r>
              <w:rPr>
                <w:rFonts w:hint="default" w:ascii="Times New Roman" w:hAnsi="Times New Roman" w:cs="Times New Roman"/>
                <w:color w:val="auto"/>
                <w:sz w:val="24"/>
                <w:szCs w:val="32"/>
                <w:highlight w:val="none"/>
              </w:rPr>
              <w:t>验收内容见表</w:t>
            </w:r>
            <w:bookmarkStart w:id="11" w:name="_Toc220227623"/>
            <w:r>
              <w:rPr>
                <w:rFonts w:hint="default" w:ascii="Times New Roman" w:hAnsi="Times New Roman" w:cs="Times New Roman"/>
                <w:color w:val="auto"/>
                <w:sz w:val="24"/>
                <w:szCs w:val="32"/>
                <w:highlight w:val="none"/>
                <w:lang w:val="en-US" w:eastAsia="zh-CN"/>
              </w:rPr>
              <w:t>4-1</w:t>
            </w:r>
            <w:r>
              <w:rPr>
                <w:rFonts w:hint="eastAsia" w:ascii="Times New Roman" w:hAnsi="Times New Roman" w:cs="Times New Roman"/>
                <w:color w:val="auto"/>
                <w:sz w:val="24"/>
                <w:szCs w:val="32"/>
                <w:highlight w:val="none"/>
                <w:lang w:val="en-US" w:eastAsia="zh-CN"/>
              </w:rPr>
              <w:t>7</w:t>
            </w:r>
            <w:r>
              <w:rPr>
                <w:rFonts w:hint="default" w:ascii="Times New Roman" w:hAnsi="Times New Roman" w:cs="Times New Roman"/>
                <w:color w:val="auto"/>
                <w:sz w:val="24"/>
                <w:szCs w:val="32"/>
                <w:highlight w:val="none"/>
                <w:lang w:eastAsia="zh-CN"/>
              </w:rPr>
              <w:t>。</w:t>
            </w:r>
          </w:p>
          <w:p w14:paraId="53EE7DCD">
            <w:pPr>
              <w:spacing w:before="120" w:beforeLines="50" w:line="240" w:lineRule="auto"/>
              <w:jc w:val="center"/>
              <w:rPr>
                <w:rFonts w:hint="default" w:ascii="Times New Roman" w:hAnsi="Times New Roman" w:eastAsia="黑体" w:cs="Times New Roman"/>
                <w:b w:val="0"/>
                <w:bCs/>
                <w:color w:val="auto"/>
                <w:sz w:val="24"/>
                <w:szCs w:val="32"/>
                <w:highlight w:val="none"/>
              </w:rPr>
            </w:pPr>
            <w:r>
              <w:rPr>
                <w:rFonts w:hint="default" w:ascii="Times New Roman" w:hAnsi="Times New Roman" w:eastAsia="黑体" w:cs="Times New Roman"/>
                <w:b w:val="0"/>
                <w:bCs/>
                <w:color w:val="auto"/>
                <w:sz w:val="24"/>
                <w:szCs w:val="32"/>
                <w:highlight w:val="none"/>
              </w:rPr>
              <w:t>表</w:t>
            </w:r>
            <w:r>
              <w:rPr>
                <w:rFonts w:hint="default" w:ascii="Times New Roman" w:hAnsi="Times New Roman" w:eastAsia="黑体" w:cs="Times New Roman"/>
                <w:b w:val="0"/>
                <w:bCs/>
                <w:color w:val="auto"/>
                <w:sz w:val="24"/>
                <w:szCs w:val="32"/>
                <w:highlight w:val="none"/>
                <w:lang w:val="en-US" w:eastAsia="zh-CN"/>
              </w:rPr>
              <w:t>4-1</w:t>
            </w:r>
            <w:r>
              <w:rPr>
                <w:rFonts w:hint="eastAsia" w:ascii="Times New Roman" w:hAnsi="Times New Roman" w:eastAsia="黑体" w:cs="Times New Roman"/>
                <w:b w:val="0"/>
                <w:bCs/>
                <w:color w:val="auto"/>
                <w:sz w:val="24"/>
                <w:szCs w:val="32"/>
                <w:highlight w:val="none"/>
                <w:lang w:val="en-US" w:eastAsia="zh-CN"/>
              </w:rPr>
              <w:t xml:space="preserve">7   </w:t>
            </w:r>
            <w:r>
              <w:rPr>
                <w:rFonts w:hint="default" w:ascii="Times New Roman" w:hAnsi="Times New Roman" w:eastAsia="黑体" w:cs="Times New Roman"/>
                <w:b w:val="0"/>
                <w:bCs/>
                <w:color w:val="auto"/>
                <w:sz w:val="24"/>
                <w:szCs w:val="32"/>
                <w:highlight w:val="none"/>
              </w:rPr>
              <w:t>建设项目</w:t>
            </w:r>
            <w:r>
              <w:rPr>
                <w:rFonts w:hint="default" w:ascii="Times New Roman" w:hAnsi="Times New Roman" w:eastAsia="黑体" w:cs="Times New Roman"/>
                <w:b w:val="0"/>
                <w:bCs/>
                <w:color w:val="auto"/>
                <w:sz w:val="24"/>
                <w:szCs w:val="32"/>
                <w:highlight w:val="none"/>
                <w:lang w:val="en-US" w:eastAsia="zh-CN"/>
              </w:rPr>
              <w:t>竣工</w:t>
            </w:r>
            <w:r>
              <w:rPr>
                <w:rFonts w:hint="default" w:ascii="Times New Roman" w:hAnsi="Times New Roman" w:eastAsia="黑体" w:cs="Times New Roman"/>
                <w:b w:val="0"/>
                <w:bCs/>
                <w:color w:val="auto"/>
                <w:sz w:val="24"/>
                <w:szCs w:val="32"/>
                <w:highlight w:val="none"/>
              </w:rPr>
              <w:t>验收内容</w:t>
            </w:r>
            <w:bookmarkEnd w:id="11"/>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6"/>
              <w:gridCol w:w="1017"/>
              <w:gridCol w:w="1168"/>
              <w:gridCol w:w="1064"/>
              <w:gridCol w:w="1543"/>
              <w:gridCol w:w="2067"/>
            </w:tblGrid>
            <w:tr w14:paraId="773B72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bottom w:val="single" w:color="auto" w:sz="12" w:space="0"/>
                  </w:tcBorders>
                  <w:noWrap w:val="0"/>
                  <w:tcMar>
                    <w:left w:w="0" w:type="dxa"/>
                    <w:right w:w="0" w:type="dxa"/>
                  </w:tcMar>
                  <w:vAlign w:val="center"/>
                </w:tcPr>
                <w:p w14:paraId="6A8268C0">
                  <w:pPr>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项目</w:t>
                  </w:r>
                </w:p>
              </w:tc>
              <w:tc>
                <w:tcPr>
                  <w:tcW w:w="682" w:type="pct"/>
                  <w:tcBorders>
                    <w:bottom w:val="single" w:color="auto" w:sz="12" w:space="0"/>
                  </w:tcBorders>
                  <w:noWrap w:val="0"/>
                  <w:vAlign w:val="center"/>
                </w:tcPr>
                <w:p w14:paraId="4DECAC2C">
                  <w:pPr>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污染源</w:t>
                  </w:r>
                </w:p>
              </w:tc>
              <w:tc>
                <w:tcPr>
                  <w:tcW w:w="783" w:type="pct"/>
                  <w:tcBorders>
                    <w:bottom w:val="single" w:color="auto" w:sz="12" w:space="0"/>
                  </w:tcBorders>
                  <w:noWrap w:val="0"/>
                  <w:vAlign w:val="center"/>
                </w:tcPr>
                <w:p w14:paraId="3800E497">
                  <w:pPr>
                    <w:adjustRightInd w:val="0"/>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排放形式</w:t>
                  </w:r>
                </w:p>
              </w:tc>
              <w:tc>
                <w:tcPr>
                  <w:tcW w:w="713" w:type="pct"/>
                  <w:tcBorders>
                    <w:bottom w:val="single" w:color="auto" w:sz="12" w:space="0"/>
                  </w:tcBorders>
                  <w:noWrap w:val="0"/>
                  <w:vAlign w:val="center"/>
                </w:tcPr>
                <w:p w14:paraId="61AD42BF">
                  <w:pPr>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污染物</w:t>
                  </w:r>
                </w:p>
              </w:tc>
              <w:tc>
                <w:tcPr>
                  <w:tcW w:w="1034" w:type="pct"/>
                  <w:tcBorders>
                    <w:bottom w:val="single" w:color="auto" w:sz="12" w:space="0"/>
                  </w:tcBorders>
                  <w:noWrap w:val="0"/>
                  <w:vAlign w:val="center"/>
                </w:tcPr>
                <w:p w14:paraId="1316BB69">
                  <w:pPr>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环保措施</w:t>
                  </w:r>
                </w:p>
              </w:tc>
              <w:tc>
                <w:tcPr>
                  <w:tcW w:w="1386" w:type="pct"/>
                  <w:tcBorders>
                    <w:bottom w:val="single" w:color="auto" w:sz="12" w:space="0"/>
                  </w:tcBorders>
                  <w:noWrap w:val="0"/>
                  <w:tcMar>
                    <w:left w:w="0" w:type="dxa"/>
                    <w:right w:w="0" w:type="dxa"/>
                  </w:tcMar>
                  <w:vAlign w:val="center"/>
                </w:tcPr>
                <w:p w14:paraId="4F2A22BD">
                  <w:pPr>
                    <w:adjustRightInd w:val="0"/>
                    <w:snapToGrid w:val="0"/>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竣工验收标准</w:t>
                  </w:r>
                </w:p>
              </w:tc>
            </w:tr>
            <w:tr w14:paraId="25F612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vMerge w:val="restart"/>
                  <w:tcBorders>
                    <w:top w:val="single" w:color="auto" w:sz="12" w:space="0"/>
                    <w:tl2br w:val="nil"/>
                    <w:tr2bl w:val="nil"/>
                  </w:tcBorders>
                  <w:noWrap w:val="0"/>
                  <w:tcMar>
                    <w:left w:w="0" w:type="dxa"/>
                    <w:right w:w="0" w:type="dxa"/>
                  </w:tcMar>
                  <w:vAlign w:val="center"/>
                </w:tcPr>
                <w:p w14:paraId="62B01E51">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废气</w:t>
                  </w:r>
                </w:p>
              </w:tc>
              <w:tc>
                <w:tcPr>
                  <w:tcW w:w="682" w:type="pct"/>
                  <w:vMerge w:val="restart"/>
                  <w:tcBorders>
                    <w:top w:val="single" w:color="auto" w:sz="12" w:space="0"/>
                    <w:tl2br w:val="nil"/>
                    <w:tr2bl w:val="nil"/>
                  </w:tcBorders>
                  <w:noWrap w:val="0"/>
                  <w:vAlign w:val="center"/>
                </w:tcPr>
                <w:p w14:paraId="55B5D6BC">
                  <w:pPr>
                    <w:ind w:right="23" w:rightChars="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szCs w:val="21"/>
                      <w:highlight w:val="none"/>
                      <w:lang w:eastAsia="zh-CN"/>
                    </w:rPr>
                    <w:t>VOCs（以非甲烷总烃计）</w:t>
                  </w:r>
                  <w:r>
                    <w:rPr>
                      <w:rFonts w:hint="default" w:ascii="Times New Roman" w:hAnsi="Times New Roman" w:eastAsia="宋体" w:cs="Times New Roman"/>
                      <w:bCs/>
                      <w:color w:val="auto"/>
                      <w:szCs w:val="21"/>
                      <w:highlight w:val="none"/>
                      <w:lang w:val="en-US" w:eastAsia="zh-CN"/>
                    </w:rPr>
                    <w:t>DA00</w:t>
                  </w:r>
                  <w:r>
                    <w:rPr>
                      <w:rFonts w:hint="default" w:ascii="Times New Roman" w:hAnsi="Times New Roman" w:cs="Times New Roman"/>
                      <w:bCs/>
                      <w:color w:val="auto"/>
                      <w:szCs w:val="21"/>
                      <w:highlight w:val="none"/>
                      <w:lang w:val="en-US" w:eastAsia="zh-CN"/>
                    </w:rPr>
                    <w:t>3</w:t>
                  </w:r>
                </w:p>
              </w:tc>
              <w:tc>
                <w:tcPr>
                  <w:tcW w:w="783" w:type="pct"/>
                  <w:tcBorders>
                    <w:top w:val="single" w:color="auto" w:sz="12" w:space="0"/>
                    <w:tl2br w:val="nil"/>
                    <w:tr2bl w:val="nil"/>
                  </w:tcBorders>
                  <w:noWrap w:val="0"/>
                  <w:vAlign w:val="center"/>
                </w:tcPr>
                <w:p w14:paraId="4B93B08F">
                  <w:pPr>
                    <w:ind w:right="23"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有组织</w:t>
                  </w:r>
                </w:p>
              </w:tc>
              <w:tc>
                <w:tcPr>
                  <w:tcW w:w="713" w:type="pct"/>
                  <w:vMerge w:val="restart"/>
                  <w:tcBorders>
                    <w:top w:val="single" w:color="auto" w:sz="12" w:space="0"/>
                    <w:tl2br w:val="nil"/>
                    <w:tr2bl w:val="nil"/>
                  </w:tcBorders>
                  <w:noWrap w:val="0"/>
                  <w:vAlign w:val="center"/>
                </w:tcPr>
                <w:p w14:paraId="4CBBD9F7">
                  <w:pPr>
                    <w:ind w:right="23"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非甲烷总烃</w:t>
                  </w:r>
                </w:p>
              </w:tc>
              <w:tc>
                <w:tcPr>
                  <w:tcW w:w="1034" w:type="pct"/>
                  <w:tcBorders>
                    <w:top w:val="single" w:color="auto" w:sz="12" w:space="0"/>
                    <w:tl2br w:val="nil"/>
                    <w:tr2bl w:val="nil"/>
                  </w:tcBorders>
                  <w:noWrap w:val="0"/>
                  <w:vAlign w:val="center"/>
                </w:tcPr>
                <w:p w14:paraId="7B377179">
                  <w:pPr>
                    <w:ind w:right="23" w:rightChars="0"/>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集气罩</w:t>
                  </w:r>
                  <w:r>
                    <w:rPr>
                      <w:rFonts w:hint="default" w:ascii="Times New Roman" w:hAnsi="Times New Roman" w:eastAsia="宋体" w:cs="Times New Roman"/>
                      <w:b w:val="0"/>
                      <w:bCs w:val="0"/>
                      <w:color w:val="auto"/>
                      <w:sz w:val="21"/>
                      <w:szCs w:val="21"/>
                      <w:highlight w:val="none"/>
                      <w:vertAlign w:val="baseline"/>
                      <w:lang w:val="en-US" w:eastAsia="zh-CN"/>
                    </w:rPr>
                    <w:t>+</w:t>
                  </w:r>
                  <w:r>
                    <w:rPr>
                      <w:rFonts w:hint="default" w:ascii="Times New Roman" w:hAnsi="Times New Roman" w:cs="Times New Roman"/>
                      <w:b w:val="0"/>
                      <w:bCs w:val="0"/>
                      <w:color w:val="auto"/>
                      <w:sz w:val="21"/>
                      <w:szCs w:val="21"/>
                      <w:highlight w:val="none"/>
                      <w:vertAlign w:val="baseline"/>
                      <w:lang w:val="en-US" w:eastAsia="zh-CN"/>
                    </w:rPr>
                    <w:t>活性炭吸附脱附+催化燃烧装置</w:t>
                  </w:r>
                  <w:r>
                    <w:rPr>
                      <w:rFonts w:hint="default" w:ascii="Times New Roman" w:hAnsi="Times New Roman" w:eastAsia="宋体" w:cs="Times New Roman"/>
                      <w:b w:val="0"/>
                      <w:bCs w:val="0"/>
                      <w:color w:val="auto"/>
                      <w:sz w:val="21"/>
                      <w:szCs w:val="21"/>
                      <w:highlight w:val="none"/>
                      <w:vertAlign w:val="baseline"/>
                      <w:lang w:val="en-US" w:eastAsia="zh-CN"/>
                    </w:rPr>
                    <w:t>1套+15m高排气筒</w:t>
                  </w:r>
                </w:p>
              </w:tc>
              <w:tc>
                <w:tcPr>
                  <w:tcW w:w="1386" w:type="pct"/>
                  <w:tcBorders>
                    <w:top w:val="single" w:color="auto" w:sz="12" w:space="0"/>
                    <w:tl2br w:val="nil"/>
                    <w:tr2bl w:val="nil"/>
                  </w:tcBorders>
                  <w:noWrap w:val="0"/>
                  <w:tcMar>
                    <w:left w:w="0" w:type="dxa"/>
                    <w:right w:w="0" w:type="dxa"/>
                  </w:tcMar>
                  <w:vAlign w:val="center"/>
                </w:tcPr>
                <w:p w14:paraId="50CD2462">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bCs w:val="0"/>
                      <w:color w:val="auto"/>
                      <w:sz w:val="21"/>
                      <w:szCs w:val="21"/>
                      <w:highlight w:val="none"/>
                    </w:rPr>
                    <w:t>《</w:t>
                  </w:r>
                  <w:r>
                    <w:rPr>
                      <w:rFonts w:hint="default" w:ascii="Times New Roman" w:hAnsi="Times New Roman" w:eastAsia="宋体" w:cs="Times New Roman"/>
                      <w:bCs w:val="0"/>
                      <w:color w:val="auto"/>
                      <w:sz w:val="21"/>
                      <w:szCs w:val="21"/>
                      <w:highlight w:val="none"/>
                      <w:lang w:val="en-US" w:eastAsia="zh-CN"/>
                    </w:rPr>
                    <w:t>合成树脂工业污染物排放标准</w:t>
                  </w:r>
                  <w:r>
                    <w:rPr>
                      <w:rFonts w:hint="default" w:ascii="Times New Roman" w:hAnsi="Times New Roman" w:eastAsia="宋体" w:cs="Times New Roman"/>
                      <w:bCs w:val="0"/>
                      <w:color w:val="auto"/>
                      <w:sz w:val="21"/>
                      <w:szCs w:val="21"/>
                      <w:highlight w:val="none"/>
                    </w:rPr>
                    <w:t>》（GB</w:t>
                  </w:r>
                  <w:r>
                    <w:rPr>
                      <w:rFonts w:hint="default" w:ascii="Times New Roman" w:hAnsi="Times New Roman" w:eastAsia="宋体" w:cs="Times New Roman"/>
                      <w:bCs w:val="0"/>
                      <w:color w:val="auto"/>
                      <w:sz w:val="21"/>
                      <w:szCs w:val="21"/>
                      <w:highlight w:val="none"/>
                      <w:lang w:val="en-US" w:eastAsia="zh-CN"/>
                    </w:rPr>
                    <w:t>31572-2015</w:t>
                  </w:r>
                  <w:r>
                    <w:rPr>
                      <w:rFonts w:hint="default" w:ascii="Times New Roman" w:hAnsi="Times New Roman" w:eastAsia="宋体" w:cs="Times New Roman"/>
                      <w:bCs w:val="0"/>
                      <w:color w:val="auto"/>
                      <w:sz w:val="21"/>
                      <w:szCs w:val="21"/>
                      <w:highlight w:val="none"/>
                    </w:rPr>
                    <w:t>）标准要求</w:t>
                  </w:r>
                </w:p>
              </w:tc>
            </w:tr>
            <w:tr w14:paraId="2DCFF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vMerge w:val="continue"/>
                  <w:tcBorders>
                    <w:tl2br w:val="nil"/>
                    <w:tr2bl w:val="nil"/>
                  </w:tcBorders>
                  <w:noWrap w:val="0"/>
                  <w:tcMar>
                    <w:left w:w="0" w:type="dxa"/>
                    <w:right w:w="0" w:type="dxa"/>
                  </w:tcMar>
                  <w:vAlign w:val="center"/>
                </w:tcPr>
                <w:p w14:paraId="14A13D11">
                  <w:pPr>
                    <w:adjustRightInd w:val="0"/>
                    <w:snapToGrid w:val="0"/>
                    <w:spacing w:line="240" w:lineRule="auto"/>
                    <w:jc w:val="center"/>
                    <w:rPr>
                      <w:rFonts w:hint="default" w:ascii="Times New Roman" w:hAnsi="Times New Roman" w:cs="Times New Roman"/>
                      <w:color w:val="auto"/>
                      <w:sz w:val="21"/>
                      <w:szCs w:val="21"/>
                      <w:highlight w:val="none"/>
                    </w:rPr>
                  </w:pPr>
                </w:p>
              </w:tc>
              <w:tc>
                <w:tcPr>
                  <w:tcW w:w="682" w:type="pct"/>
                  <w:vMerge w:val="continue"/>
                  <w:tcBorders>
                    <w:tl2br w:val="nil"/>
                    <w:tr2bl w:val="nil"/>
                  </w:tcBorders>
                  <w:noWrap w:val="0"/>
                  <w:vAlign w:val="center"/>
                </w:tcPr>
                <w:p w14:paraId="259B6450">
                  <w:pPr>
                    <w:ind w:right="23" w:rightChars="0"/>
                    <w:jc w:val="center"/>
                    <w:rPr>
                      <w:rFonts w:hint="default" w:ascii="Times New Roman" w:hAnsi="Times New Roman" w:eastAsia="宋体" w:cs="Times New Roman"/>
                      <w:bCs/>
                      <w:color w:val="auto"/>
                      <w:szCs w:val="21"/>
                      <w:highlight w:val="none"/>
                      <w:lang w:val="en-US" w:eastAsia="zh-CN"/>
                    </w:rPr>
                  </w:pPr>
                </w:p>
              </w:tc>
              <w:tc>
                <w:tcPr>
                  <w:tcW w:w="783" w:type="pct"/>
                  <w:tcBorders>
                    <w:tl2br w:val="nil"/>
                    <w:tr2bl w:val="nil"/>
                  </w:tcBorders>
                  <w:noWrap w:val="0"/>
                  <w:vAlign w:val="center"/>
                </w:tcPr>
                <w:p w14:paraId="24313EAF">
                  <w:pPr>
                    <w:ind w:right="23" w:right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无组织</w:t>
                  </w:r>
                </w:p>
              </w:tc>
              <w:tc>
                <w:tcPr>
                  <w:tcW w:w="713" w:type="pct"/>
                  <w:vMerge w:val="continue"/>
                  <w:tcBorders>
                    <w:tl2br w:val="nil"/>
                    <w:tr2bl w:val="nil"/>
                  </w:tcBorders>
                  <w:noWrap w:val="0"/>
                  <w:vAlign w:val="center"/>
                </w:tcPr>
                <w:p w14:paraId="2F7DE385">
                  <w:pPr>
                    <w:ind w:right="23" w:rightChars="0"/>
                    <w:jc w:val="center"/>
                    <w:rPr>
                      <w:rFonts w:hint="default" w:ascii="Times New Roman" w:hAnsi="Times New Roman" w:eastAsia="宋体" w:cs="Times New Roman"/>
                      <w:bCs/>
                      <w:color w:val="auto"/>
                      <w:sz w:val="21"/>
                      <w:szCs w:val="21"/>
                      <w:highlight w:val="none"/>
                      <w:lang w:val="en-US" w:eastAsia="zh-CN"/>
                    </w:rPr>
                  </w:pPr>
                </w:p>
              </w:tc>
              <w:tc>
                <w:tcPr>
                  <w:tcW w:w="1034" w:type="pct"/>
                  <w:tcBorders>
                    <w:tl2br w:val="nil"/>
                    <w:tr2bl w:val="nil"/>
                  </w:tcBorders>
                  <w:noWrap w:val="0"/>
                  <w:vAlign w:val="center"/>
                </w:tcPr>
                <w:p w14:paraId="6344A463">
                  <w:pPr>
                    <w:ind w:right="23" w:rightChars="0"/>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加强通风</w:t>
                  </w:r>
                </w:p>
              </w:tc>
              <w:tc>
                <w:tcPr>
                  <w:tcW w:w="1386" w:type="pct"/>
                  <w:tcBorders>
                    <w:tl2br w:val="nil"/>
                    <w:tr2bl w:val="nil"/>
                  </w:tcBorders>
                  <w:noWrap w:val="0"/>
                  <w:tcMar>
                    <w:left w:w="0" w:type="dxa"/>
                    <w:right w:w="0" w:type="dxa"/>
                  </w:tcMar>
                  <w:vAlign w:val="center"/>
                </w:tcPr>
                <w:p w14:paraId="4F447FBF">
                  <w:pPr>
                    <w:adjustRightInd w:val="0"/>
                    <w:snapToGrid w:val="0"/>
                    <w:spacing w:line="240" w:lineRule="auto"/>
                    <w:jc w:val="center"/>
                    <w:rPr>
                      <w:rFonts w:hint="default" w:ascii="Times New Roman" w:hAnsi="Times New Roman" w:eastAsia="宋体" w:cs="Times New Roman"/>
                      <w:bCs w:val="0"/>
                      <w:color w:val="auto"/>
                      <w:sz w:val="21"/>
                      <w:szCs w:val="21"/>
                      <w:highlight w:val="none"/>
                    </w:rPr>
                  </w:pPr>
                  <w:r>
                    <w:rPr>
                      <w:rFonts w:hint="default" w:ascii="Times New Roman" w:hAnsi="Times New Roman" w:eastAsia="宋体" w:cs="Times New Roman"/>
                      <w:bCs w:val="0"/>
                      <w:color w:val="auto"/>
                      <w:sz w:val="21"/>
                      <w:szCs w:val="21"/>
                      <w:highlight w:val="none"/>
                    </w:rPr>
                    <w:t>《</w:t>
                  </w:r>
                  <w:r>
                    <w:rPr>
                      <w:rFonts w:hint="default" w:ascii="Times New Roman" w:hAnsi="Times New Roman" w:eastAsia="宋体" w:cs="Times New Roman"/>
                      <w:bCs w:val="0"/>
                      <w:color w:val="auto"/>
                      <w:sz w:val="21"/>
                      <w:szCs w:val="21"/>
                      <w:highlight w:val="none"/>
                      <w:lang w:val="en-US" w:eastAsia="zh-CN"/>
                    </w:rPr>
                    <w:t>合成树脂工业污染物排放标准</w:t>
                  </w:r>
                  <w:r>
                    <w:rPr>
                      <w:rFonts w:hint="default" w:ascii="Times New Roman" w:hAnsi="Times New Roman" w:eastAsia="宋体" w:cs="Times New Roman"/>
                      <w:bCs w:val="0"/>
                      <w:color w:val="auto"/>
                      <w:sz w:val="21"/>
                      <w:szCs w:val="21"/>
                      <w:highlight w:val="none"/>
                    </w:rPr>
                    <w:t>》（GB</w:t>
                  </w:r>
                  <w:r>
                    <w:rPr>
                      <w:rFonts w:hint="default" w:ascii="Times New Roman" w:hAnsi="Times New Roman" w:eastAsia="宋体" w:cs="Times New Roman"/>
                      <w:bCs w:val="0"/>
                      <w:color w:val="auto"/>
                      <w:sz w:val="21"/>
                      <w:szCs w:val="21"/>
                      <w:highlight w:val="none"/>
                      <w:lang w:val="en-US" w:eastAsia="zh-CN"/>
                    </w:rPr>
                    <w:t>31572-2015</w:t>
                  </w:r>
                  <w:r>
                    <w:rPr>
                      <w:rFonts w:hint="default" w:ascii="Times New Roman" w:hAnsi="Times New Roman" w:eastAsia="宋体" w:cs="Times New Roman"/>
                      <w:bCs w:val="0"/>
                      <w:color w:val="auto"/>
                      <w:sz w:val="21"/>
                      <w:szCs w:val="21"/>
                      <w:highlight w:val="none"/>
                    </w:rPr>
                    <w:t>）标准要求</w:t>
                  </w:r>
                  <w:r>
                    <w:rPr>
                      <w:rFonts w:hint="default" w:ascii="Times New Roman" w:hAnsi="Times New Roman" w:eastAsia="宋体" w:cs="Times New Roman"/>
                      <w:bCs w:val="0"/>
                      <w:color w:val="auto"/>
                      <w:sz w:val="21"/>
                      <w:szCs w:val="21"/>
                      <w:highlight w:val="none"/>
                      <w:lang w:val="en-US" w:eastAsia="zh-CN"/>
                    </w:rPr>
                    <w:t>与《挥发性有机物无组织排放控制标准》（GB37822-2019）中厂房外</w:t>
                  </w:r>
                  <w:r>
                    <w:rPr>
                      <w:rFonts w:hint="default" w:ascii="Times New Roman" w:hAnsi="Times New Roman" w:cs="Times New Roman"/>
                      <w:bCs w:val="0"/>
                      <w:color w:val="auto"/>
                      <w:sz w:val="21"/>
                      <w:szCs w:val="21"/>
                      <w:highlight w:val="none"/>
                      <w:lang w:val="en-US" w:eastAsia="zh-CN"/>
                    </w:rPr>
                    <w:t>VOCs（以非甲烷总烃计）</w:t>
                  </w:r>
                  <w:r>
                    <w:rPr>
                      <w:rFonts w:hint="default" w:ascii="Times New Roman" w:hAnsi="Times New Roman" w:eastAsia="宋体" w:cs="Times New Roman"/>
                      <w:bCs w:val="0"/>
                      <w:color w:val="auto"/>
                      <w:sz w:val="21"/>
                      <w:szCs w:val="21"/>
                      <w:highlight w:val="none"/>
                      <w:lang w:val="en-US" w:eastAsia="zh-CN"/>
                    </w:rPr>
                    <w:t>无组织排放限值监控点处1h平均浓度值6mg/m³的要求</w:t>
                  </w:r>
                </w:p>
              </w:tc>
            </w:tr>
            <w:tr w14:paraId="12D777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399" w:type="pct"/>
                  <w:vMerge w:val="restart"/>
                  <w:tcBorders>
                    <w:tl2br w:val="nil"/>
                    <w:tr2bl w:val="nil"/>
                  </w:tcBorders>
                  <w:noWrap w:val="0"/>
                  <w:tcMar>
                    <w:left w:w="0" w:type="dxa"/>
                    <w:right w:w="0" w:type="dxa"/>
                  </w:tcMar>
                  <w:vAlign w:val="center"/>
                </w:tcPr>
                <w:p w14:paraId="3564A4B9">
                  <w:pPr>
                    <w:adjustRightInd w:val="0"/>
                    <w:snapToGri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固体废物</w:t>
                  </w:r>
                </w:p>
              </w:tc>
              <w:tc>
                <w:tcPr>
                  <w:tcW w:w="1465" w:type="pct"/>
                  <w:gridSpan w:val="2"/>
                  <w:tcBorders>
                    <w:tl2br w:val="nil"/>
                    <w:tr2bl w:val="nil"/>
                  </w:tcBorders>
                  <w:noWrap w:val="0"/>
                  <w:vAlign w:val="center"/>
                </w:tcPr>
                <w:p w14:paraId="52FE1532">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cs="Times New Roman"/>
                      <w:color w:val="auto"/>
                      <w:sz w:val="21"/>
                      <w:szCs w:val="21"/>
                      <w:highlight w:val="none"/>
                      <w:lang w:val="en-US" w:eastAsia="zh-CN"/>
                    </w:rPr>
                    <w:t>生产</w:t>
                  </w:r>
                  <w:r>
                    <w:rPr>
                      <w:rFonts w:hint="default" w:ascii="Times New Roman" w:hAnsi="Times New Roman" w:cs="Times New Roman"/>
                      <w:color w:val="auto"/>
                      <w:sz w:val="21"/>
                      <w:szCs w:val="21"/>
                      <w:highlight w:val="none"/>
                    </w:rPr>
                    <w:t>车间</w:t>
                  </w:r>
                </w:p>
              </w:tc>
              <w:tc>
                <w:tcPr>
                  <w:tcW w:w="713" w:type="pct"/>
                  <w:tcBorders>
                    <w:tl2br w:val="nil"/>
                    <w:tr2bl w:val="nil"/>
                  </w:tcBorders>
                  <w:noWrap w:val="0"/>
                  <w:vAlign w:val="center"/>
                </w:tcPr>
                <w:p w14:paraId="73D3F06A">
                  <w:pPr>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不合格品及边角料</w:t>
                  </w:r>
                </w:p>
              </w:tc>
              <w:tc>
                <w:tcPr>
                  <w:tcW w:w="1034" w:type="pct"/>
                  <w:tcBorders>
                    <w:tl2br w:val="nil"/>
                    <w:tr2bl w:val="nil"/>
                  </w:tcBorders>
                  <w:noWrap w:val="0"/>
                  <w:vAlign w:val="center"/>
                </w:tcPr>
                <w:p w14:paraId="4705811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kern w:val="0"/>
                      <w:szCs w:val="21"/>
                      <w:highlight w:val="none"/>
                    </w:rPr>
                    <w:t>收集后</w:t>
                  </w:r>
                  <w:r>
                    <w:rPr>
                      <w:rFonts w:hint="default" w:ascii="Times New Roman" w:hAnsi="Times New Roman" w:cs="Times New Roman"/>
                      <w:color w:val="auto"/>
                      <w:kern w:val="0"/>
                      <w:szCs w:val="21"/>
                      <w:highlight w:val="none"/>
                      <w:lang w:val="en-US" w:eastAsia="zh-CN"/>
                    </w:rPr>
                    <w:t>回收利用</w:t>
                  </w:r>
                </w:p>
              </w:tc>
              <w:tc>
                <w:tcPr>
                  <w:tcW w:w="1386" w:type="pct"/>
                  <w:tcBorders>
                    <w:tl2br w:val="nil"/>
                    <w:tr2bl w:val="nil"/>
                  </w:tcBorders>
                  <w:noWrap w:val="0"/>
                  <w:tcMar>
                    <w:left w:w="0" w:type="dxa"/>
                    <w:right w:w="0" w:type="dxa"/>
                  </w:tcMar>
                  <w:vAlign w:val="center"/>
                </w:tcPr>
                <w:p w14:paraId="411A6E2D">
                  <w:pPr>
                    <w:adjustRightInd w:val="0"/>
                    <w:snapToGrid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cs="Times New Roman"/>
                      <w:color w:val="auto"/>
                      <w:sz w:val="21"/>
                      <w:szCs w:val="21"/>
                      <w:highlight w:val="none"/>
                      <w:lang w:val="en-US" w:eastAsia="zh-CN"/>
                    </w:rPr>
                    <w:t>一般固废</w:t>
                  </w:r>
                </w:p>
              </w:tc>
            </w:tr>
            <w:tr w14:paraId="18A81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399" w:type="pct"/>
                  <w:vMerge w:val="continue"/>
                  <w:tcBorders>
                    <w:tl2br w:val="nil"/>
                    <w:tr2bl w:val="nil"/>
                  </w:tcBorders>
                  <w:noWrap w:val="0"/>
                  <w:tcMar>
                    <w:left w:w="0" w:type="dxa"/>
                    <w:right w:w="0" w:type="dxa"/>
                  </w:tcMar>
                  <w:vAlign w:val="center"/>
                </w:tcPr>
                <w:p w14:paraId="4D1D7249">
                  <w:pPr>
                    <w:adjustRightInd w:val="0"/>
                    <w:snapToGrid w:val="0"/>
                    <w:spacing w:line="240" w:lineRule="auto"/>
                    <w:jc w:val="center"/>
                    <w:rPr>
                      <w:rFonts w:hint="default" w:ascii="Times New Roman" w:hAnsi="Times New Roman" w:cs="Times New Roman"/>
                      <w:color w:val="auto"/>
                      <w:sz w:val="21"/>
                      <w:szCs w:val="21"/>
                      <w:highlight w:val="none"/>
                    </w:rPr>
                  </w:pPr>
                </w:p>
              </w:tc>
              <w:tc>
                <w:tcPr>
                  <w:tcW w:w="1465" w:type="pct"/>
                  <w:gridSpan w:val="2"/>
                  <w:vMerge w:val="restart"/>
                  <w:tcBorders>
                    <w:tl2br w:val="nil"/>
                    <w:tr2bl w:val="nil"/>
                  </w:tcBorders>
                  <w:noWrap w:val="0"/>
                  <w:vAlign w:val="center"/>
                </w:tcPr>
                <w:p w14:paraId="0AEB8889">
                  <w:pPr>
                    <w:pStyle w:val="37"/>
                    <w:spacing w:before="24" w:after="24" w:line="240" w:lineRule="auto"/>
                    <w:ind w:left="420" w:leftChars="0" w:hanging="420" w:hangingChars="200"/>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 w:val="21"/>
                      <w:szCs w:val="21"/>
                      <w:highlight w:val="none"/>
                      <w:lang w:val="en-US" w:eastAsia="zh-CN"/>
                    </w:rPr>
                    <w:t>危险废物</w:t>
                  </w:r>
                </w:p>
              </w:tc>
              <w:tc>
                <w:tcPr>
                  <w:tcW w:w="713" w:type="pct"/>
                  <w:tcBorders>
                    <w:tl2br w:val="nil"/>
                    <w:tr2bl w:val="nil"/>
                  </w:tcBorders>
                  <w:noWrap w:val="0"/>
                  <w:vAlign w:val="center"/>
                </w:tcPr>
                <w:p w14:paraId="05F139D8">
                  <w:pPr>
                    <w:pStyle w:val="37"/>
                    <w:spacing w:before="24" w:after="24" w:line="240" w:lineRule="auto"/>
                    <w:ind w:left="420" w:leftChars="0" w:hanging="420" w:hangingChars="200"/>
                    <w:rPr>
                      <w:rFonts w:hint="default" w:ascii="Times New Roman" w:hAnsi="Times New Roman" w:cs="Times New Roman"/>
                      <w:bCs/>
                      <w:color w:val="auto"/>
                      <w:kern w:val="0"/>
                      <w:sz w:val="21"/>
                      <w:szCs w:val="21"/>
                      <w:highlight w:val="none"/>
                      <w:lang w:val="en-US" w:eastAsia="zh-CN" w:bidi="ar-SA"/>
                    </w:rPr>
                  </w:pPr>
                  <w:r>
                    <w:rPr>
                      <w:rFonts w:hint="default" w:ascii="Times New Roman" w:hAnsi="Times New Roman" w:cs="Times New Roman"/>
                      <w:color w:val="auto"/>
                      <w:szCs w:val="21"/>
                      <w:highlight w:val="none"/>
                      <w:lang w:eastAsia="zh-CN"/>
                    </w:rPr>
                    <w:t>废机油</w:t>
                  </w:r>
                </w:p>
              </w:tc>
              <w:tc>
                <w:tcPr>
                  <w:tcW w:w="1034" w:type="pct"/>
                  <w:vMerge w:val="restart"/>
                  <w:tcBorders>
                    <w:tl2br w:val="nil"/>
                    <w:tr2bl w:val="nil"/>
                  </w:tcBorders>
                  <w:noWrap w:val="0"/>
                  <w:vAlign w:val="center"/>
                </w:tcPr>
                <w:p w14:paraId="6ADB21AE">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有资质的单位回收处理</w:t>
                  </w:r>
                </w:p>
              </w:tc>
              <w:tc>
                <w:tcPr>
                  <w:tcW w:w="1386" w:type="pct"/>
                  <w:vMerge w:val="restart"/>
                  <w:tcBorders>
                    <w:tl2br w:val="nil"/>
                    <w:tr2bl w:val="nil"/>
                  </w:tcBorders>
                  <w:noWrap w:val="0"/>
                  <w:tcMar>
                    <w:left w:w="0" w:type="dxa"/>
                    <w:right w:w="0" w:type="dxa"/>
                  </w:tcMar>
                  <w:vAlign w:val="center"/>
                </w:tcPr>
                <w:p w14:paraId="179E6FB4">
                  <w:pPr>
                    <w:pStyle w:val="31"/>
                    <w:keepNext w:val="0"/>
                    <w:keepLines w:val="0"/>
                    <w:pageBreakBefore w:val="0"/>
                    <w:widowControl w:val="0"/>
                    <w:numPr>
                      <w:ilvl w:val="0"/>
                      <w:numId w:val="0"/>
                    </w:numPr>
                    <w:kinsoku/>
                    <w:wordWrap/>
                    <w:overflowPunct/>
                    <w:topLinePunct w:val="0"/>
                    <w:autoSpaceDE w:val="0"/>
                    <w:autoSpaceDN w:val="0"/>
                    <w:bidi w:val="0"/>
                    <w:adjustRightInd w:val="0"/>
                    <w:snapToGrid/>
                    <w:ind w:leftChars="0"/>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危险废物</w:t>
                  </w:r>
                </w:p>
              </w:tc>
            </w:tr>
            <w:tr w14:paraId="7F157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vMerge w:val="continue"/>
                  <w:tcBorders>
                    <w:tl2br w:val="nil"/>
                    <w:tr2bl w:val="nil"/>
                  </w:tcBorders>
                  <w:noWrap w:val="0"/>
                  <w:tcMar>
                    <w:left w:w="0" w:type="dxa"/>
                    <w:right w:w="0" w:type="dxa"/>
                  </w:tcMar>
                  <w:vAlign w:val="center"/>
                </w:tcPr>
                <w:p w14:paraId="3ABFCB69">
                  <w:pPr>
                    <w:adjustRightInd w:val="0"/>
                    <w:snapToGrid w:val="0"/>
                    <w:spacing w:line="240" w:lineRule="auto"/>
                    <w:jc w:val="center"/>
                    <w:rPr>
                      <w:rFonts w:hint="default" w:ascii="Times New Roman" w:hAnsi="Times New Roman" w:cs="Times New Roman"/>
                      <w:color w:val="auto"/>
                      <w:sz w:val="21"/>
                      <w:szCs w:val="21"/>
                      <w:highlight w:val="none"/>
                    </w:rPr>
                  </w:pPr>
                </w:p>
              </w:tc>
              <w:tc>
                <w:tcPr>
                  <w:tcW w:w="1465" w:type="pct"/>
                  <w:gridSpan w:val="2"/>
                  <w:vMerge w:val="continue"/>
                  <w:tcBorders>
                    <w:tl2br w:val="nil"/>
                    <w:tr2bl w:val="nil"/>
                  </w:tcBorders>
                  <w:noWrap w:val="0"/>
                  <w:vAlign w:val="center"/>
                </w:tcPr>
                <w:p w14:paraId="5FA92E0A">
                  <w:pPr>
                    <w:pStyle w:val="37"/>
                    <w:spacing w:before="24" w:after="24" w:line="240" w:lineRule="auto"/>
                    <w:ind w:left="420" w:leftChars="0" w:hanging="420" w:hangingChars="200"/>
                    <w:rPr>
                      <w:rFonts w:hint="default" w:ascii="Times New Roman" w:hAnsi="Times New Roman" w:cs="Times New Roman"/>
                      <w:color w:val="auto"/>
                      <w:highlight w:val="none"/>
                      <w:lang w:val="en-US" w:eastAsia="zh-CN"/>
                    </w:rPr>
                  </w:pPr>
                </w:p>
              </w:tc>
              <w:tc>
                <w:tcPr>
                  <w:tcW w:w="713" w:type="pct"/>
                  <w:tcBorders>
                    <w:tl2br w:val="nil"/>
                    <w:tr2bl w:val="nil"/>
                  </w:tcBorders>
                  <w:noWrap w:val="0"/>
                  <w:vAlign w:val="center"/>
                </w:tcPr>
                <w:p w14:paraId="3FBF93FE">
                  <w:pPr>
                    <w:pStyle w:val="37"/>
                    <w:spacing w:before="24" w:after="24" w:line="240" w:lineRule="auto"/>
                    <w:ind w:left="420" w:leftChars="0" w:hanging="420" w:hangingChars="200"/>
                    <w:rPr>
                      <w:rFonts w:hint="default" w:ascii="Times New Roman" w:hAnsi="Times New Roman" w:cs="Times New Roman"/>
                      <w:color w:val="auto"/>
                      <w:kern w:val="0"/>
                      <w:sz w:val="21"/>
                      <w:szCs w:val="21"/>
                      <w:highlight w:val="none"/>
                      <w:lang w:val="en-US" w:eastAsia="zh-CN" w:bidi="ar-SA"/>
                    </w:rPr>
                  </w:pPr>
                  <w:r>
                    <w:rPr>
                      <w:rFonts w:hint="default" w:ascii="Times New Roman" w:hAnsi="Times New Roman" w:cs="Times New Roman"/>
                      <w:color w:val="auto"/>
                      <w:highlight w:val="none"/>
                      <w:lang w:val="en-US" w:eastAsia="zh-CN"/>
                    </w:rPr>
                    <w:t>废活性炭</w:t>
                  </w:r>
                </w:p>
              </w:tc>
              <w:tc>
                <w:tcPr>
                  <w:tcW w:w="1034" w:type="pct"/>
                  <w:vMerge w:val="continue"/>
                  <w:tcBorders>
                    <w:tl2br w:val="nil"/>
                    <w:tr2bl w:val="nil"/>
                  </w:tcBorders>
                  <w:noWrap w:val="0"/>
                  <w:vAlign w:val="center"/>
                </w:tcPr>
                <w:p w14:paraId="5C821832">
                  <w:pPr>
                    <w:adjustRightInd w:val="0"/>
                    <w:snapToGrid w:val="0"/>
                    <w:spacing w:line="240" w:lineRule="auto"/>
                    <w:jc w:val="center"/>
                    <w:rPr>
                      <w:rFonts w:hint="default" w:ascii="Times New Roman" w:hAnsi="Times New Roman" w:cs="Times New Roman"/>
                      <w:color w:val="auto"/>
                      <w:sz w:val="21"/>
                      <w:szCs w:val="21"/>
                      <w:highlight w:val="none"/>
                      <w:lang w:val="en-US" w:eastAsia="zh-CN"/>
                    </w:rPr>
                  </w:pPr>
                </w:p>
              </w:tc>
              <w:tc>
                <w:tcPr>
                  <w:tcW w:w="1386" w:type="pct"/>
                  <w:vMerge w:val="continue"/>
                  <w:tcBorders>
                    <w:tl2br w:val="nil"/>
                    <w:tr2bl w:val="nil"/>
                  </w:tcBorders>
                  <w:noWrap w:val="0"/>
                  <w:tcMar>
                    <w:left w:w="0" w:type="dxa"/>
                    <w:right w:w="0" w:type="dxa"/>
                  </w:tcMar>
                  <w:vAlign w:val="center"/>
                </w:tcPr>
                <w:p w14:paraId="28557991">
                  <w:pPr>
                    <w:pStyle w:val="31"/>
                    <w:numPr>
                      <w:ilvl w:val="0"/>
                      <w:numId w:val="0"/>
                    </w:numPr>
                    <w:ind w:leftChars="200"/>
                    <w:rPr>
                      <w:rFonts w:hint="default" w:ascii="Times New Roman" w:hAnsi="Times New Roman" w:cs="Times New Roman"/>
                      <w:color w:val="auto"/>
                      <w:sz w:val="21"/>
                      <w:szCs w:val="21"/>
                      <w:highlight w:val="none"/>
                    </w:rPr>
                  </w:pPr>
                </w:p>
              </w:tc>
            </w:tr>
            <w:tr w14:paraId="7552EE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9" w:type="pct"/>
                  <w:tcBorders>
                    <w:tl2br w:val="nil"/>
                    <w:tr2bl w:val="nil"/>
                  </w:tcBorders>
                  <w:noWrap w:val="0"/>
                  <w:tcMar>
                    <w:left w:w="0" w:type="dxa"/>
                    <w:right w:w="0" w:type="dxa"/>
                  </w:tcMar>
                  <w:vAlign w:val="center"/>
                </w:tcPr>
                <w:p w14:paraId="1B5DF66B">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噪声</w:t>
                  </w:r>
                </w:p>
              </w:tc>
              <w:tc>
                <w:tcPr>
                  <w:tcW w:w="1465" w:type="pct"/>
                  <w:gridSpan w:val="2"/>
                  <w:tcBorders>
                    <w:tl2br w:val="nil"/>
                    <w:tr2bl w:val="nil"/>
                  </w:tcBorders>
                  <w:noWrap w:val="0"/>
                  <w:vAlign w:val="center"/>
                </w:tcPr>
                <w:p w14:paraId="62BFE249">
                  <w:pPr>
                    <w:tabs>
                      <w:tab w:val="left" w:pos="567"/>
                    </w:tabs>
                    <w:adjustRightInd w:val="0"/>
                    <w:snapToGrid w:val="0"/>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rPr>
                    <w:t>配套设施</w:t>
                  </w:r>
                </w:p>
              </w:tc>
              <w:tc>
                <w:tcPr>
                  <w:tcW w:w="713" w:type="pct"/>
                  <w:tcBorders>
                    <w:tl2br w:val="nil"/>
                    <w:tr2bl w:val="nil"/>
                  </w:tcBorders>
                  <w:noWrap w:val="0"/>
                  <w:vAlign w:val="center"/>
                </w:tcPr>
                <w:p w14:paraId="1C75CDF5">
                  <w:pPr>
                    <w:tabs>
                      <w:tab w:val="left" w:pos="567"/>
                    </w:tabs>
                    <w:adjustRightInd w:val="0"/>
                    <w:snapToGrid w:val="0"/>
                    <w:spacing w:line="240" w:lineRule="auto"/>
                    <w:jc w:val="center"/>
                    <w:rPr>
                      <w:rFonts w:hint="default" w:ascii="Times New Roman" w:hAnsi="Times New Roman" w:cs="Times New Roman"/>
                      <w:color w:val="auto"/>
                      <w:sz w:val="21"/>
                      <w:szCs w:val="21"/>
                      <w:highlight w:val="none"/>
                      <w:lang w:val="en-US"/>
                    </w:rPr>
                  </w:pPr>
                  <w:r>
                    <w:rPr>
                      <w:rFonts w:hint="default" w:ascii="Times New Roman" w:hAnsi="Times New Roman" w:cs="Times New Roman"/>
                      <w:color w:val="auto"/>
                      <w:sz w:val="21"/>
                      <w:szCs w:val="21"/>
                      <w:highlight w:val="none"/>
                      <w:lang w:val="en-US" w:eastAsia="zh-CN"/>
                    </w:rPr>
                    <w:t>生产设备</w:t>
                  </w:r>
                </w:p>
              </w:tc>
              <w:tc>
                <w:tcPr>
                  <w:tcW w:w="1034" w:type="pct"/>
                  <w:tcBorders>
                    <w:tl2br w:val="nil"/>
                    <w:tr2bl w:val="nil"/>
                  </w:tcBorders>
                  <w:noWrap w:val="0"/>
                  <w:vAlign w:val="center"/>
                </w:tcPr>
                <w:p w14:paraId="1EDD4A29">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减振、定期维修等</w:t>
                  </w:r>
                </w:p>
              </w:tc>
              <w:tc>
                <w:tcPr>
                  <w:tcW w:w="1386" w:type="pct"/>
                  <w:tcBorders>
                    <w:tl2br w:val="nil"/>
                    <w:tr2bl w:val="nil"/>
                  </w:tcBorders>
                  <w:noWrap w:val="0"/>
                  <w:tcMar>
                    <w:left w:w="0" w:type="dxa"/>
                    <w:right w:w="0" w:type="dxa"/>
                  </w:tcMar>
                  <w:vAlign w:val="center"/>
                </w:tcPr>
                <w:p w14:paraId="3ABF2CF3">
                  <w:pPr>
                    <w:adjustRightInd w:val="0"/>
                    <w:snapToGrid w:val="0"/>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《工业企业厂界环境噪声排放标准》（GB12348-2008）中</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类标准</w:t>
                  </w:r>
                </w:p>
              </w:tc>
            </w:tr>
          </w:tbl>
          <w:p w14:paraId="72F2BB03">
            <w:pPr>
              <w:spacing w:before="120" w:beforeLines="50" w:line="240" w:lineRule="auto"/>
              <w:jc w:val="both"/>
              <w:rPr>
                <w:rFonts w:hint="default" w:ascii="Times New Roman" w:hAnsi="Times New Roman" w:eastAsia="黑体" w:cs="Times New Roman"/>
                <w:b w:val="0"/>
                <w:bCs/>
                <w:color w:val="auto"/>
                <w:sz w:val="24"/>
                <w:szCs w:val="32"/>
                <w:highlight w:val="none"/>
                <w:lang w:val="en-US" w:eastAsia="zh-CN"/>
              </w:rPr>
            </w:pPr>
            <w:r>
              <w:rPr>
                <w:rFonts w:hint="default" w:ascii="Times New Roman" w:hAnsi="Times New Roman" w:cs="Times New Roman"/>
                <w:b/>
                <w:bCs/>
                <w:i w:val="0"/>
                <w:snapToGrid w:val="0"/>
                <w:color w:val="auto"/>
                <w:kern w:val="2"/>
                <w:sz w:val="24"/>
                <w:szCs w:val="24"/>
                <w:highlight w:val="none"/>
                <w:lang w:val="en-US" w:eastAsia="zh-CN" w:bidi="ar-SA"/>
              </w:rPr>
              <w:t>10.</w:t>
            </w:r>
            <w:r>
              <w:rPr>
                <w:rFonts w:hint="default" w:ascii="Times New Roman" w:hAnsi="Times New Roman" w:eastAsia="宋体" w:cs="Times New Roman"/>
                <w:b/>
                <w:bCs/>
                <w:i w:val="0"/>
                <w:snapToGrid w:val="0"/>
                <w:color w:val="auto"/>
                <w:kern w:val="2"/>
                <w:sz w:val="24"/>
                <w:szCs w:val="24"/>
                <w:highlight w:val="none"/>
                <w:lang w:val="en-US" w:eastAsia="zh-CN" w:bidi="ar-SA"/>
              </w:rPr>
              <w:t>三本账</w:t>
            </w:r>
          </w:p>
          <w:p w14:paraId="06DCE66F">
            <w:pPr>
              <w:keepNext w:val="0"/>
              <w:keepLines w:val="0"/>
              <w:pageBreakBefore w:val="0"/>
              <w:widowControl/>
              <w:kinsoku w:val="0"/>
              <w:wordWrap/>
              <w:overflowPunct/>
              <w:topLinePunct w:val="0"/>
              <w:autoSpaceDE w:val="0"/>
              <w:autoSpaceDN w:val="0"/>
              <w:bidi w:val="0"/>
              <w:snapToGrid w:val="0"/>
              <w:spacing w:line="360" w:lineRule="auto"/>
              <w:ind w:left="0" w:right="0" w:firstLine="476" w:firstLineChars="200"/>
              <w:textAlignment w:val="baseline"/>
              <w:rPr>
                <w:rFonts w:hint="default" w:ascii="Times New Roman" w:hAnsi="Times New Roman" w:eastAsia="宋体" w:cs="Times New Roman"/>
                <w:color w:val="auto"/>
                <w:spacing w:val="-1"/>
                <w:sz w:val="24"/>
                <w:szCs w:val="24"/>
                <w:highlight w:val="none"/>
                <w:lang w:val="en-US" w:eastAsia="zh-CN"/>
              </w:rPr>
            </w:pPr>
            <w:r>
              <w:rPr>
                <w:rFonts w:hint="default" w:ascii="Times New Roman" w:hAnsi="Times New Roman" w:eastAsia="宋体" w:cs="Times New Roman"/>
                <w:color w:val="auto"/>
                <w:spacing w:val="-1"/>
                <w:sz w:val="24"/>
                <w:szCs w:val="24"/>
                <w:highlight w:val="none"/>
                <w:lang w:val="en-US" w:eastAsia="zh-CN"/>
              </w:rPr>
              <w:t>根据现有项目竣工环境保护验收及排污许可证对现有项目及本次扩建项目进行“三本账”核算，结果如下：</w:t>
            </w:r>
          </w:p>
          <w:p w14:paraId="517E4F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b w:val="0"/>
                <w:bCs/>
                <w:color w:val="auto"/>
                <w:sz w:val="24"/>
                <w:szCs w:val="32"/>
                <w:highlight w:val="none"/>
                <w:lang w:val="en-US" w:eastAsia="zh-CN"/>
              </w:rPr>
            </w:pPr>
            <w:r>
              <w:rPr>
                <w:rFonts w:hint="default" w:ascii="Times New Roman" w:hAnsi="Times New Roman" w:eastAsia="黑体" w:cs="Times New Roman"/>
                <w:b w:val="0"/>
                <w:bCs/>
                <w:color w:val="auto"/>
                <w:sz w:val="24"/>
                <w:szCs w:val="32"/>
                <w:highlight w:val="none"/>
                <w:lang w:val="en-US" w:eastAsia="zh-CN"/>
              </w:rPr>
              <w:t>表4-1</w:t>
            </w:r>
            <w:r>
              <w:rPr>
                <w:rFonts w:hint="eastAsia" w:ascii="Times New Roman" w:hAnsi="Times New Roman" w:eastAsia="黑体" w:cs="Times New Roman"/>
                <w:b w:val="0"/>
                <w:bCs/>
                <w:color w:val="auto"/>
                <w:sz w:val="24"/>
                <w:szCs w:val="32"/>
                <w:highlight w:val="none"/>
                <w:lang w:val="en-US" w:eastAsia="zh-CN"/>
              </w:rPr>
              <w:t>8</w:t>
            </w:r>
            <w:r>
              <w:rPr>
                <w:rFonts w:hint="default" w:ascii="Times New Roman" w:hAnsi="Times New Roman" w:eastAsia="黑体" w:cs="Times New Roman"/>
                <w:b w:val="0"/>
                <w:bCs/>
                <w:color w:val="auto"/>
                <w:sz w:val="24"/>
                <w:szCs w:val="32"/>
                <w:highlight w:val="none"/>
                <w:lang w:val="en-US" w:eastAsia="zh-CN"/>
              </w:rPr>
              <w:t xml:space="preserve">   三本账一览表</w:t>
            </w:r>
          </w:p>
          <w:tbl>
            <w:tblPr>
              <w:tblStyle w:val="24"/>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295"/>
              <w:gridCol w:w="1232"/>
              <w:gridCol w:w="1264"/>
              <w:gridCol w:w="1024"/>
              <w:gridCol w:w="1007"/>
              <w:gridCol w:w="801"/>
            </w:tblGrid>
            <w:tr w14:paraId="6D704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tcBorders>
                    <w:tl2br w:val="nil"/>
                    <w:tr2bl w:val="nil"/>
                  </w:tcBorders>
                  <w:noWrap w:val="0"/>
                  <w:vAlign w:val="center"/>
                </w:tcPr>
                <w:p w14:paraId="6E7BD896">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b/>
                      <w:bCs w:val="0"/>
                      <w:color w:val="auto"/>
                      <w:sz w:val="21"/>
                      <w:szCs w:val="21"/>
                      <w:highlight w:val="none"/>
                      <w:lang w:val="zh-CN"/>
                    </w:rPr>
                  </w:pPr>
                  <w:r>
                    <w:rPr>
                      <w:rFonts w:hint="default" w:ascii="Times New Roman" w:hAnsi="Times New Roman" w:eastAsia="宋体" w:cs="Times New Roman"/>
                      <w:b/>
                      <w:bCs w:val="0"/>
                      <w:color w:val="auto"/>
                      <w:sz w:val="21"/>
                      <w:szCs w:val="21"/>
                      <w:highlight w:val="none"/>
                      <w:lang w:val="zh-CN"/>
                    </w:rPr>
                    <w:t>类别</w:t>
                  </w:r>
                </w:p>
              </w:tc>
              <w:tc>
                <w:tcPr>
                  <w:tcW w:w="868" w:type="pct"/>
                  <w:tcBorders>
                    <w:tl2br w:val="nil"/>
                    <w:tr2bl w:val="nil"/>
                  </w:tcBorders>
                  <w:noWrap w:val="0"/>
                  <w:vAlign w:val="center"/>
                </w:tcPr>
                <w:p w14:paraId="15ADEB32">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b/>
                      <w:bCs w:val="0"/>
                      <w:color w:val="auto"/>
                      <w:sz w:val="21"/>
                      <w:szCs w:val="21"/>
                      <w:highlight w:val="none"/>
                      <w:lang w:val="zh-CN"/>
                    </w:rPr>
                  </w:pPr>
                  <w:r>
                    <w:rPr>
                      <w:rFonts w:hint="default" w:ascii="Times New Roman" w:hAnsi="Times New Roman" w:eastAsia="宋体" w:cs="Times New Roman"/>
                      <w:b/>
                      <w:bCs w:val="0"/>
                      <w:color w:val="auto"/>
                      <w:sz w:val="21"/>
                      <w:szCs w:val="21"/>
                      <w:highlight w:val="none"/>
                      <w:lang w:val="zh-CN"/>
                    </w:rPr>
                    <w:t>污染物</w:t>
                  </w:r>
                </w:p>
              </w:tc>
              <w:tc>
                <w:tcPr>
                  <w:tcW w:w="826" w:type="pct"/>
                  <w:tcBorders>
                    <w:tl2br w:val="nil"/>
                    <w:tr2bl w:val="nil"/>
                  </w:tcBorders>
                  <w:noWrap w:val="0"/>
                  <w:vAlign w:val="center"/>
                </w:tcPr>
                <w:p w14:paraId="4D906E3C">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
                      <w:bCs w:val="0"/>
                      <w:color w:val="auto"/>
                      <w:sz w:val="21"/>
                      <w:szCs w:val="21"/>
                      <w:highlight w:val="none"/>
                      <w:lang w:val="en-US" w:eastAsia="zh-CN"/>
                    </w:rPr>
                    <w:t>现有工程排放量</w:t>
                  </w:r>
                </w:p>
              </w:tc>
              <w:tc>
                <w:tcPr>
                  <w:tcW w:w="847" w:type="pct"/>
                  <w:tcBorders>
                    <w:tl2br w:val="nil"/>
                    <w:tr2bl w:val="nil"/>
                  </w:tcBorders>
                  <w:noWrap w:val="0"/>
                  <w:vAlign w:val="center"/>
                </w:tcPr>
                <w:p w14:paraId="6270A154">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b/>
                      <w:bCs w:val="0"/>
                      <w:color w:val="auto"/>
                      <w:sz w:val="21"/>
                      <w:szCs w:val="21"/>
                      <w:highlight w:val="none"/>
                      <w:lang w:val="zh-CN"/>
                    </w:rPr>
                  </w:pPr>
                  <w:r>
                    <w:rPr>
                      <w:rFonts w:hint="default" w:ascii="Times New Roman" w:hAnsi="Times New Roman" w:eastAsia="宋体" w:cs="Times New Roman"/>
                      <w:b/>
                      <w:bCs w:val="0"/>
                      <w:color w:val="auto"/>
                      <w:sz w:val="21"/>
                      <w:szCs w:val="21"/>
                      <w:highlight w:val="none"/>
                      <w:lang w:val="en-US" w:eastAsia="zh-CN"/>
                    </w:rPr>
                    <w:t>拟建工程排放量</w:t>
                  </w:r>
                </w:p>
              </w:tc>
              <w:tc>
                <w:tcPr>
                  <w:tcW w:w="686" w:type="pct"/>
                  <w:tcBorders>
                    <w:tl2br w:val="nil"/>
                    <w:tr2bl w:val="nil"/>
                  </w:tcBorders>
                  <w:noWrap w:val="0"/>
                  <w:vAlign w:val="center"/>
                </w:tcPr>
                <w:p w14:paraId="333DFD9A">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b/>
                      <w:bCs w:val="0"/>
                      <w:color w:val="auto"/>
                      <w:sz w:val="21"/>
                      <w:szCs w:val="21"/>
                      <w:highlight w:val="none"/>
                      <w:lang w:val="zh-CN"/>
                    </w:rPr>
                  </w:pPr>
                  <w:r>
                    <w:rPr>
                      <w:rFonts w:hint="default" w:ascii="Times New Roman" w:hAnsi="Times New Roman" w:eastAsia="宋体" w:cs="Times New Roman"/>
                      <w:b/>
                      <w:bCs/>
                      <w:color w:val="auto"/>
                      <w:sz w:val="21"/>
                      <w:szCs w:val="21"/>
                      <w:highlight w:val="none"/>
                    </w:rPr>
                    <w:t>全厂排放量</w:t>
                  </w:r>
                </w:p>
              </w:tc>
              <w:tc>
                <w:tcPr>
                  <w:tcW w:w="675" w:type="pct"/>
                  <w:tcBorders>
                    <w:tl2br w:val="nil"/>
                    <w:tr2bl w:val="nil"/>
                  </w:tcBorders>
                  <w:noWrap w:val="0"/>
                  <w:vAlign w:val="center"/>
                </w:tcPr>
                <w:p w14:paraId="5772B42F">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以新带老消减量</w:t>
                  </w:r>
                </w:p>
              </w:tc>
              <w:tc>
                <w:tcPr>
                  <w:tcW w:w="537" w:type="pct"/>
                  <w:tcBorders>
                    <w:tl2br w:val="nil"/>
                    <w:tr2bl w:val="nil"/>
                  </w:tcBorders>
                  <w:noWrap w:val="0"/>
                  <w:vAlign w:val="center"/>
                </w:tcPr>
                <w:p w14:paraId="59A714E4">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b/>
                      <w:bCs w:val="0"/>
                      <w:color w:val="auto"/>
                      <w:sz w:val="21"/>
                      <w:szCs w:val="21"/>
                      <w:highlight w:val="none"/>
                      <w:lang w:val="zh-CN"/>
                    </w:rPr>
                  </w:pPr>
                  <w:r>
                    <w:rPr>
                      <w:rFonts w:hint="default" w:ascii="Times New Roman" w:hAnsi="Times New Roman" w:eastAsia="宋体" w:cs="Times New Roman"/>
                      <w:b/>
                      <w:bCs w:val="0"/>
                      <w:color w:val="auto"/>
                      <w:sz w:val="21"/>
                      <w:szCs w:val="21"/>
                      <w:highlight w:val="none"/>
                      <w:lang w:val="en-US" w:eastAsia="zh-CN"/>
                    </w:rPr>
                    <w:t>增减</w:t>
                  </w:r>
                  <w:r>
                    <w:rPr>
                      <w:rFonts w:hint="default" w:ascii="Times New Roman" w:hAnsi="Times New Roman" w:eastAsia="宋体" w:cs="Times New Roman"/>
                      <w:b/>
                      <w:bCs w:val="0"/>
                      <w:color w:val="auto"/>
                      <w:sz w:val="21"/>
                      <w:szCs w:val="21"/>
                      <w:highlight w:val="none"/>
                      <w:lang w:val="zh-CN"/>
                    </w:rPr>
                    <w:t>量</w:t>
                  </w:r>
                </w:p>
              </w:tc>
            </w:tr>
            <w:tr w14:paraId="3E3374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restart"/>
                  <w:tcBorders>
                    <w:tl2br w:val="nil"/>
                    <w:tr2bl w:val="nil"/>
                  </w:tcBorders>
                  <w:noWrap w:val="0"/>
                  <w:vAlign w:val="center"/>
                </w:tcPr>
                <w:p w14:paraId="670E3351">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废水污染物</w:t>
                  </w:r>
                </w:p>
              </w:tc>
              <w:tc>
                <w:tcPr>
                  <w:tcW w:w="868" w:type="pct"/>
                  <w:tcBorders>
                    <w:tl2br w:val="nil"/>
                    <w:tr2bl w:val="nil"/>
                  </w:tcBorders>
                  <w:noWrap w:val="0"/>
                  <w:vAlign w:val="center"/>
                </w:tcPr>
                <w:p w14:paraId="14D82548">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废水量</w:t>
                  </w:r>
                </w:p>
              </w:tc>
              <w:tc>
                <w:tcPr>
                  <w:tcW w:w="826" w:type="pct"/>
                  <w:tcBorders>
                    <w:tl2br w:val="nil"/>
                    <w:tr2bl w:val="nil"/>
                  </w:tcBorders>
                  <w:noWrap w:val="0"/>
                  <w:vAlign w:val="center"/>
                </w:tcPr>
                <w:p w14:paraId="021661D8">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342</w:t>
                  </w:r>
                </w:p>
              </w:tc>
              <w:tc>
                <w:tcPr>
                  <w:tcW w:w="847" w:type="pct"/>
                  <w:tcBorders>
                    <w:tl2br w:val="nil"/>
                    <w:tr2bl w:val="nil"/>
                  </w:tcBorders>
                  <w:noWrap w:val="0"/>
                  <w:vAlign w:val="center"/>
                </w:tcPr>
                <w:p w14:paraId="0C209671">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686" w:type="pct"/>
                  <w:tcBorders>
                    <w:tl2br w:val="nil"/>
                    <w:tr2bl w:val="nil"/>
                  </w:tcBorders>
                  <w:noWrap w:val="0"/>
                  <w:vAlign w:val="center"/>
                </w:tcPr>
                <w:p w14:paraId="4D83AB09">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342</w:t>
                  </w:r>
                </w:p>
              </w:tc>
              <w:tc>
                <w:tcPr>
                  <w:tcW w:w="675" w:type="pct"/>
                  <w:tcBorders>
                    <w:tl2br w:val="nil"/>
                    <w:tr2bl w:val="nil"/>
                  </w:tcBorders>
                  <w:noWrap w:val="0"/>
                  <w:vAlign w:val="center"/>
                </w:tcPr>
                <w:p w14:paraId="7B06EFDF">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7A8590A5">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r>
            <w:tr w14:paraId="052307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5D445BBA">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12EC8B42">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SS</w:t>
                  </w:r>
                </w:p>
              </w:tc>
              <w:tc>
                <w:tcPr>
                  <w:tcW w:w="826" w:type="pct"/>
                  <w:tcBorders>
                    <w:tl2br w:val="nil"/>
                    <w:tr2bl w:val="nil"/>
                  </w:tcBorders>
                  <w:noWrap w:val="0"/>
                  <w:vAlign w:val="center"/>
                </w:tcPr>
                <w:p w14:paraId="65F100C2">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0.0684</w:t>
                  </w:r>
                </w:p>
              </w:tc>
              <w:tc>
                <w:tcPr>
                  <w:tcW w:w="847" w:type="pct"/>
                  <w:tcBorders>
                    <w:tl2br w:val="nil"/>
                    <w:tr2bl w:val="nil"/>
                  </w:tcBorders>
                  <w:noWrap w:val="0"/>
                  <w:vAlign w:val="center"/>
                </w:tcPr>
                <w:p w14:paraId="62AC2794">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686" w:type="pct"/>
                  <w:tcBorders>
                    <w:tl2br w:val="nil"/>
                    <w:tr2bl w:val="nil"/>
                  </w:tcBorders>
                  <w:noWrap w:val="0"/>
                  <w:vAlign w:val="center"/>
                </w:tcPr>
                <w:p w14:paraId="676E727B">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0.0684</w:t>
                  </w:r>
                </w:p>
              </w:tc>
              <w:tc>
                <w:tcPr>
                  <w:tcW w:w="675" w:type="pct"/>
                  <w:tcBorders>
                    <w:tl2br w:val="nil"/>
                    <w:tr2bl w:val="nil"/>
                  </w:tcBorders>
                  <w:noWrap w:val="0"/>
                  <w:vAlign w:val="center"/>
                </w:tcPr>
                <w:p w14:paraId="624C4819">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10393C01">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default" w:ascii="Times New Roman" w:hAnsi="Times New Roman" w:cs="Times New Roman"/>
                      <w:bCs/>
                      <w:snapToGrid w:val="0"/>
                      <w:color w:val="auto"/>
                      <w:sz w:val="21"/>
                      <w:szCs w:val="21"/>
                      <w:highlight w:val="none"/>
                      <w:lang w:val="en-US" w:eastAsia="zh-CN" w:bidi="ar-SA"/>
                    </w:rPr>
                    <w:t>0</w:t>
                  </w:r>
                </w:p>
              </w:tc>
            </w:tr>
            <w:tr w14:paraId="5C6B5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603C7243">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22FCA4A6">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COD</w:t>
                  </w:r>
                </w:p>
              </w:tc>
              <w:tc>
                <w:tcPr>
                  <w:tcW w:w="826" w:type="pct"/>
                  <w:tcBorders>
                    <w:tl2br w:val="nil"/>
                    <w:tr2bl w:val="nil"/>
                  </w:tcBorders>
                  <w:noWrap w:val="0"/>
                  <w:vAlign w:val="center"/>
                </w:tcPr>
                <w:p w14:paraId="2566C322">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0.1368</w:t>
                  </w:r>
                </w:p>
              </w:tc>
              <w:tc>
                <w:tcPr>
                  <w:tcW w:w="847" w:type="pct"/>
                  <w:tcBorders>
                    <w:tl2br w:val="nil"/>
                    <w:tr2bl w:val="nil"/>
                  </w:tcBorders>
                  <w:noWrap w:val="0"/>
                  <w:vAlign w:val="center"/>
                </w:tcPr>
                <w:p w14:paraId="226B6FFD">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686" w:type="pct"/>
                  <w:tcBorders>
                    <w:tl2br w:val="nil"/>
                    <w:tr2bl w:val="nil"/>
                  </w:tcBorders>
                  <w:noWrap w:val="0"/>
                  <w:vAlign w:val="center"/>
                </w:tcPr>
                <w:p w14:paraId="15351C0C">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0.1368</w:t>
                  </w:r>
                </w:p>
              </w:tc>
              <w:tc>
                <w:tcPr>
                  <w:tcW w:w="675" w:type="pct"/>
                  <w:tcBorders>
                    <w:tl2br w:val="nil"/>
                    <w:tr2bl w:val="nil"/>
                  </w:tcBorders>
                  <w:noWrap w:val="0"/>
                  <w:vAlign w:val="center"/>
                </w:tcPr>
                <w:p w14:paraId="46127400">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12C708E1">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default" w:ascii="Times New Roman" w:hAnsi="Times New Roman" w:cs="Times New Roman"/>
                      <w:bCs/>
                      <w:snapToGrid w:val="0"/>
                      <w:color w:val="auto"/>
                      <w:sz w:val="21"/>
                      <w:szCs w:val="21"/>
                      <w:highlight w:val="none"/>
                      <w:lang w:val="en-US" w:eastAsia="zh-CN" w:bidi="ar-SA"/>
                    </w:rPr>
                    <w:t>0</w:t>
                  </w:r>
                </w:p>
              </w:tc>
            </w:tr>
            <w:tr w14:paraId="4F09B7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59B47A51">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04F348C5">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BOD</w:t>
                  </w:r>
                </w:p>
              </w:tc>
              <w:tc>
                <w:tcPr>
                  <w:tcW w:w="826" w:type="pct"/>
                  <w:tcBorders>
                    <w:tl2br w:val="nil"/>
                    <w:tr2bl w:val="nil"/>
                  </w:tcBorders>
                  <w:noWrap w:val="0"/>
                  <w:vAlign w:val="center"/>
                </w:tcPr>
                <w:p w14:paraId="17486FEB">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0.0855</w:t>
                  </w:r>
                </w:p>
              </w:tc>
              <w:tc>
                <w:tcPr>
                  <w:tcW w:w="847" w:type="pct"/>
                  <w:tcBorders>
                    <w:tl2br w:val="nil"/>
                    <w:tr2bl w:val="nil"/>
                  </w:tcBorders>
                  <w:noWrap w:val="0"/>
                  <w:vAlign w:val="center"/>
                </w:tcPr>
                <w:p w14:paraId="345D74A8">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686" w:type="pct"/>
                  <w:tcBorders>
                    <w:tl2br w:val="nil"/>
                    <w:tr2bl w:val="nil"/>
                  </w:tcBorders>
                  <w:noWrap w:val="0"/>
                  <w:vAlign w:val="center"/>
                </w:tcPr>
                <w:p w14:paraId="5AF0BB26">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0.0855</w:t>
                  </w:r>
                </w:p>
              </w:tc>
              <w:tc>
                <w:tcPr>
                  <w:tcW w:w="675" w:type="pct"/>
                  <w:tcBorders>
                    <w:tl2br w:val="nil"/>
                    <w:tr2bl w:val="nil"/>
                  </w:tcBorders>
                  <w:noWrap w:val="0"/>
                  <w:vAlign w:val="center"/>
                </w:tcPr>
                <w:p w14:paraId="72A3A528">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0BEC5D99">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default" w:ascii="Times New Roman" w:hAnsi="Times New Roman" w:cs="Times New Roman"/>
                      <w:bCs/>
                      <w:snapToGrid w:val="0"/>
                      <w:color w:val="auto"/>
                      <w:sz w:val="21"/>
                      <w:szCs w:val="21"/>
                      <w:highlight w:val="none"/>
                      <w:lang w:val="en-US" w:eastAsia="zh-CN" w:bidi="ar-SA"/>
                    </w:rPr>
                    <w:t>0</w:t>
                  </w:r>
                </w:p>
              </w:tc>
            </w:tr>
            <w:tr w14:paraId="71C9D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72CC3A79">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7ADD4747">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rPr>
                    <w:t>氨氮</w:t>
                  </w:r>
                </w:p>
              </w:tc>
              <w:tc>
                <w:tcPr>
                  <w:tcW w:w="826" w:type="pct"/>
                  <w:tcBorders>
                    <w:tl2br w:val="nil"/>
                    <w:tr2bl w:val="nil"/>
                  </w:tcBorders>
                  <w:noWrap w:val="0"/>
                  <w:vAlign w:val="center"/>
                </w:tcPr>
                <w:p w14:paraId="6C0288B5">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z w:val="21"/>
                      <w:szCs w:val="21"/>
                      <w:highlight w:val="none"/>
                      <w:lang w:val="en-US" w:eastAsia="zh-CN"/>
                    </w:rPr>
                    <w:t>0.01026</w:t>
                  </w:r>
                </w:p>
              </w:tc>
              <w:tc>
                <w:tcPr>
                  <w:tcW w:w="847" w:type="pct"/>
                  <w:tcBorders>
                    <w:tl2br w:val="nil"/>
                    <w:tr2bl w:val="nil"/>
                  </w:tcBorders>
                  <w:noWrap w:val="0"/>
                  <w:vAlign w:val="center"/>
                </w:tcPr>
                <w:p w14:paraId="15D6065A">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686" w:type="pct"/>
                  <w:tcBorders>
                    <w:tl2br w:val="nil"/>
                    <w:tr2bl w:val="nil"/>
                  </w:tcBorders>
                  <w:noWrap w:val="0"/>
                  <w:vAlign w:val="center"/>
                </w:tcPr>
                <w:p w14:paraId="699C8351">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0.01026</w:t>
                  </w:r>
                </w:p>
              </w:tc>
              <w:tc>
                <w:tcPr>
                  <w:tcW w:w="675" w:type="pct"/>
                  <w:tcBorders>
                    <w:tl2br w:val="nil"/>
                    <w:tr2bl w:val="nil"/>
                  </w:tcBorders>
                  <w:noWrap w:val="0"/>
                  <w:vAlign w:val="center"/>
                </w:tcPr>
                <w:p w14:paraId="016470ED">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014DEC09">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snapToGrid w:val="0"/>
                      <w:color w:val="auto"/>
                      <w:sz w:val="21"/>
                      <w:szCs w:val="21"/>
                      <w:highlight w:val="none"/>
                      <w:lang w:val="en-US" w:eastAsia="zh-CN" w:bidi="ar-SA"/>
                    </w:rPr>
                  </w:pPr>
                  <w:r>
                    <w:rPr>
                      <w:rFonts w:hint="default" w:ascii="Times New Roman" w:hAnsi="Times New Roman" w:cs="Times New Roman"/>
                      <w:bCs/>
                      <w:snapToGrid w:val="0"/>
                      <w:color w:val="auto"/>
                      <w:sz w:val="21"/>
                      <w:szCs w:val="21"/>
                      <w:highlight w:val="none"/>
                      <w:lang w:val="en-US" w:eastAsia="zh-CN" w:bidi="ar-SA"/>
                    </w:rPr>
                    <w:t>0</w:t>
                  </w:r>
                </w:p>
              </w:tc>
            </w:tr>
            <w:tr w14:paraId="50B2B1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tcBorders>
                    <w:tl2br w:val="nil"/>
                    <w:tr2bl w:val="nil"/>
                  </w:tcBorders>
                  <w:noWrap w:val="0"/>
                  <w:vAlign w:val="center"/>
                </w:tcPr>
                <w:p w14:paraId="3CA30358">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废气污染物</w:t>
                  </w:r>
                </w:p>
              </w:tc>
              <w:tc>
                <w:tcPr>
                  <w:tcW w:w="868" w:type="pct"/>
                  <w:tcBorders>
                    <w:tl2br w:val="nil"/>
                    <w:tr2bl w:val="nil"/>
                  </w:tcBorders>
                  <w:noWrap w:val="0"/>
                  <w:vAlign w:val="center"/>
                </w:tcPr>
                <w:p w14:paraId="25ABF8D0">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826" w:type="pct"/>
                  <w:tcBorders>
                    <w:tl2br w:val="nil"/>
                    <w:tr2bl w:val="nil"/>
                  </w:tcBorders>
                  <w:noWrap w:val="0"/>
                  <w:vAlign w:val="center"/>
                </w:tcPr>
                <w:p w14:paraId="7CDAE208">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1.251</w:t>
                  </w:r>
                </w:p>
              </w:tc>
              <w:tc>
                <w:tcPr>
                  <w:tcW w:w="847" w:type="pct"/>
                  <w:tcBorders>
                    <w:tl2br w:val="nil"/>
                    <w:tr2bl w:val="nil"/>
                  </w:tcBorders>
                  <w:noWrap w:val="0"/>
                  <w:vAlign w:val="center"/>
                </w:tcPr>
                <w:p w14:paraId="0C22140B">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2.025</w:t>
                  </w:r>
                </w:p>
              </w:tc>
              <w:tc>
                <w:tcPr>
                  <w:tcW w:w="686" w:type="pct"/>
                  <w:tcBorders>
                    <w:tl2br w:val="nil"/>
                    <w:tr2bl w:val="nil"/>
                  </w:tcBorders>
                  <w:noWrap w:val="0"/>
                  <w:vAlign w:val="center"/>
                </w:tcPr>
                <w:p w14:paraId="7DE77D61">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2.025</w:t>
                  </w:r>
                </w:p>
              </w:tc>
              <w:tc>
                <w:tcPr>
                  <w:tcW w:w="675" w:type="pct"/>
                  <w:tcBorders>
                    <w:tl2br w:val="nil"/>
                    <w:tr2bl w:val="nil"/>
                  </w:tcBorders>
                  <w:noWrap w:val="0"/>
                  <w:vAlign w:val="center"/>
                </w:tcPr>
                <w:p w14:paraId="4B2DB266">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1.251</w:t>
                  </w:r>
                </w:p>
              </w:tc>
              <w:tc>
                <w:tcPr>
                  <w:tcW w:w="537" w:type="pct"/>
                  <w:tcBorders>
                    <w:tl2br w:val="nil"/>
                    <w:tr2bl w:val="nil"/>
                  </w:tcBorders>
                  <w:noWrap w:val="0"/>
                  <w:vAlign w:val="center"/>
                </w:tcPr>
                <w:p w14:paraId="1C9BA02D">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bCs/>
                      <w:color w:val="auto"/>
                      <w:sz w:val="21"/>
                      <w:szCs w:val="21"/>
                      <w:highlight w:val="none"/>
                      <w:lang w:val="en-US" w:eastAsia="zh-CN"/>
                    </w:rPr>
                    <w:t>+2.11</w:t>
                  </w:r>
                </w:p>
              </w:tc>
            </w:tr>
            <w:tr w14:paraId="022416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restart"/>
                  <w:tcBorders>
                    <w:tl2br w:val="nil"/>
                    <w:tr2bl w:val="nil"/>
                  </w:tcBorders>
                  <w:noWrap w:val="0"/>
                  <w:vAlign w:val="center"/>
                </w:tcPr>
                <w:p w14:paraId="3B771EFF">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固废</w:t>
                  </w:r>
                </w:p>
              </w:tc>
              <w:tc>
                <w:tcPr>
                  <w:tcW w:w="868" w:type="pct"/>
                  <w:tcBorders>
                    <w:tl2br w:val="nil"/>
                    <w:tr2bl w:val="nil"/>
                  </w:tcBorders>
                  <w:noWrap w:val="0"/>
                  <w:vAlign w:val="center"/>
                </w:tcPr>
                <w:p w14:paraId="6E02D50A">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废铁屑</w:t>
                  </w:r>
                </w:p>
              </w:tc>
              <w:tc>
                <w:tcPr>
                  <w:tcW w:w="826" w:type="pct"/>
                  <w:tcBorders>
                    <w:tl2br w:val="nil"/>
                    <w:tr2bl w:val="nil"/>
                  </w:tcBorders>
                  <w:noWrap w:val="0"/>
                  <w:vAlign w:val="center"/>
                </w:tcPr>
                <w:p w14:paraId="1B87A1B0">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847" w:type="pct"/>
                  <w:tcBorders>
                    <w:tl2br w:val="nil"/>
                    <w:tr2bl w:val="nil"/>
                  </w:tcBorders>
                  <w:noWrap w:val="0"/>
                  <w:vAlign w:val="center"/>
                </w:tcPr>
                <w:p w14:paraId="0886AA81">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86" w:type="pct"/>
                  <w:tcBorders>
                    <w:tl2br w:val="nil"/>
                    <w:tr2bl w:val="nil"/>
                  </w:tcBorders>
                  <w:noWrap w:val="0"/>
                  <w:vAlign w:val="center"/>
                </w:tcPr>
                <w:p w14:paraId="3C8DFEA9">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675" w:type="pct"/>
                  <w:tcBorders>
                    <w:tl2br w:val="nil"/>
                    <w:tr2bl w:val="nil"/>
                  </w:tcBorders>
                  <w:noWrap w:val="0"/>
                  <w:vAlign w:val="center"/>
                </w:tcPr>
                <w:p w14:paraId="034EE549">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7A6C38B3">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r>
            <w:tr w14:paraId="49508F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35A0E67F">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2AFC797D">
                  <w:pPr>
                    <w:pStyle w:val="37"/>
                    <w:keepNext w:val="0"/>
                    <w:keepLines w:val="0"/>
                    <w:pageBreakBefore w:val="0"/>
                    <w:widowControl w:val="0"/>
                    <w:kinsoku/>
                    <w:wordWrap/>
                    <w:overflowPunct/>
                    <w:topLinePunct w:val="0"/>
                    <w:bidi w:val="0"/>
                    <w:spacing w:beforeLines="0" w:afterLines="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石块和非塑料物质</w:t>
                  </w:r>
                </w:p>
              </w:tc>
              <w:tc>
                <w:tcPr>
                  <w:tcW w:w="826" w:type="pct"/>
                  <w:tcBorders>
                    <w:tl2br w:val="nil"/>
                    <w:tr2bl w:val="nil"/>
                  </w:tcBorders>
                  <w:noWrap w:val="0"/>
                  <w:vAlign w:val="center"/>
                </w:tcPr>
                <w:p w14:paraId="48475D2A">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6.891</w:t>
                  </w:r>
                </w:p>
              </w:tc>
              <w:tc>
                <w:tcPr>
                  <w:tcW w:w="847" w:type="pct"/>
                  <w:tcBorders>
                    <w:tl2br w:val="nil"/>
                    <w:tr2bl w:val="nil"/>
                  </w:tcBorders>
                  <w:noWrap w:val="0"/>
                  <w:vAlign w:val="center"/>
                </w:tcPr>
                <w:p w14:paraId="5EEEAB26">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86" w:type="pct"/>
                  <w:tcBorders>
                    <w:tl2br w:val="nil"/>
                    <w:tr2bl w:val="nil"/>
                  </w:tcBorders>
                  <w:noWrap w:val="0"/>
                  <w:vAlign w:val="center"/>
                </w:tcPr>
                <w:p w14:paraId="4B04F758">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6.891</w:t>
                  </w:r>
                </w:p>
              </w:tc>
              <w:tc>
                <w:tcPr>
                  <w:tcW w:w="675" w:type="pct"/>
                  <w:tcBorders>
                    <w:tl2br w:val="nil"/>
                    <w:tr2bl w:val="nil"/>
                  </w:tcBorders>
                  <w:noWrap w:val="0"/>
                  <w:vAlign w:val="center"/>
                </w:tcPr>
                <w:p w14:paraId="4C64ED91">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7E768011">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r>
            <w:tr w14:paraId="634A21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62D6965E">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0F1800CA">
                  <w:pPr>
                    <w:pStyle w:val="37"/>
                    <w:keepNext w:val="0"/>
                    <w:keepLines w:val="0"/>
                    <w:pageBreakBefore w:val="0"/>
                    <w:widowControl w:val="0"/>
                    <w:kinsoku/>
                    <w:wordWrap/>
                    <w:overflowPunct/>
                    <w:topLinePunct w:val="0"/>
                    <w:bidi w:val="0"/>
                    <w:spacing w:beforeLines="0" w:afterLines="0"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826" w:type="pct"/>
                  <w:tcBorders>
                    <w:tl2br w:val="nil"/>
                    <w:tr2bl w:val="nil"/>
                  </w:tcBorders>
                  <w:noWrap w:val="0"/>
                  <w:vAlign w:val="center"/>
                </w:tcPr>
                <w:p w14:paraId="1F8D2B75">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5.25</w:t>
                  </w:r>
                </w:p>
              </w:tc>
              <w:tc>
                <w:tcPr>
                  <w:tcW w:w="847" w:type="pct"/>
                  <w:tcBorders>
                    <w:tl2br w:val="nil"/>
                    <w:tr2bl w:val="nil"/>
                  </w:tcBorders>
                  <w:noWrap w:val="0"/>
                  <w:vAlign w:val="center"/>
                </w:tcPr>
                <w:p w14:paraId="216CC305">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86" w:type="pct"/>
                  <w:tcBorders>
                    <w:tl2br w:val="nil"/>
                    <w:tr2bl w:val="nil"/>
                  </w:tcBorders>
                  <w:noWrap w:val="0"/>
                  <w:vAlign w:val="center"/>
                </w:tcPr>
                <w:p w14:paraId="41B5361D">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5.25</w:t>
                  </w:r>
                </w:p>
              </w:tc>
              <w:tc>
                <w:tcPr>
                  <w:tcW w:w="675" w:type="pct"/>
                  <w:tcBorders>
                    <w:tl2br w:val="nil"/>
                    <w:tr2bl w:val="nil"/>
                  </w:tcBorders>
                  <w:noWrap w:val="0"/>
                  <w:vAlign w:val="center"/>
                </w:tcPr>
                <w:p w14:paraId="6ABFB369">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6EEFCB1F">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r>
            <w:tr w14:paraId="16850D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70D9377B">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6721F711">
                  <w:pPr>
                    <w:pStyle w:val="37"/>
                    <w:keepNext w:val="0"/>
                    <w:keepLines w:val="0"/>
                    <w:pageBreakBefore w:val="0"/>
                    <w:widowControl w:val="0"/>
                    <w:kinsoku/>
                    <w:wordWrap/>
                    <w:overflowPunct/>
                    <w:topLinePunct w:val="0"/>
                    <w:bidi w:val="0"/>
                    <w:spacing w:beforeLines="0" w:afterLines="0"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沉淀池污泥</w:t>
                  </w:r>
                </w:p>
              </w:tc>
              <w:tc>
                <w:tcPr>
                  <w:tcW w:w="826" w:type="pct"/>
                  <w:tcBorders>
                    <w:tl2br w:val="nil"/>
                    <w:tr2bl w:val="nil"/>
                  </w:tcBorders>
                  <w:noWrap w:val="0"/>
                  <w:vAlign w:val="center"/>
                </w:tcPr>
                <w:p w14:paraId="314BFA74">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847" w:type="pct"/>
                  <w:tcBorders>
                    <w:tl2br w:val="nil"/>
                    <w:tr2bl w:val="nil"/>
                  </w:tcBorders>
                  <w:noWrap w:val="0"/>
                  <w:vAlign w:val="center"/>
                </w:tcPr>
                <w:p w14:paraId="6E5FDC58">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686" w:type="pct"/>
                  <w:tcBorders>
                    <w:tl2br w:val="nil"/>
                    <w:tr2bl w:val="nil"/>
                  </w:tcBorders>
                  <w:noWrap w:val="0"/>
                  <w:vAlign w:val="center"/>
                </w:tcPr>
                <w:p w14:paraId="6F33343C">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675" w:type="pct"/>
                  <w:tcBorders>
                    <w:tl2br w:val="nil"/>
                    <w:tr2bl w:val="nil"/>
                  </w:tcBorders>
                  <w:noWrap w:val="0"/>
                  <w:vAlign w:val="center"/>
                </w:tcPr>
                <w:p w14:paraId="1BB1AE7B">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4729B977">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r>
            <w:tr w14:paraId="64B3E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4E1A86DE">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26A69370">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废弃活性炭</w:t>
                  </w:r>
                </w:p>
              </w:tc>
              <w:tc>
                <w:tcPr>
                  <w:tcW w:w="826" w:type="pct"/>
                  <w:tcBorders>
                    <w:tl2br w:val="nil"/>
                    <w:tr2bl w:val="nil"/>
                  </w:tcBorders>
                  <w:noWrap w:val="0"/>
                  <w:vAlign w:val="center"/>
                </w:tcPr>
                <w:p w14:paraId="5E58D65B">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2.5</w:t>
                  </w:r>
                </w:p>
              </w:tc>
              <w:tc>
                <w:tcPr>
                  <w:tcW w:w="847" w:type="pct"/>
                  <w:tcBorders>
                    <w:tl2br w:val="nil"/>
                    <w:tr2bl w:val="nil"/>
                  </w:tcBorders>
                  <w:noWrap w:val="0"/>
                  <w:vAlign w:val="center"/>
                </w:tcPr>
                <w:p w14:paraId="20BE94B4">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0.27</w:t>
                  </w:r>
                </w:p>
              </w:tc>
              <w:tc>
                <w:tcPr>
                  <w:tcW w:w="686" w:type="pct"/>
                  <w:tcBorders>
                    <w:tl2br w:val="nil"/>
                    <w:tr2bl w:val="nil"/>
                  </w:tcBorders>
                  <w:noWrap w:val="0"/>
                  <w:vAlign w:val="center"/>
                </w:tcPr>
                <w:p w14:paraId="74045E7A">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0.27</w:t>
                  </w:r>
                </w:p>
              </w:tc>
              <w:tc>
                <w:tcPr>
                  <w:tcW w:w="675" w:type="pct"/>
                  <w:tcBorders>
                    <w:tl2br w:val="nil"/>
                    <w:tr2bl w:val="nil"/>
                  </w:tcBorders>
                  <w:noWrap w:val="0"/>
                  <w:vAlign w:val="center"/>
                </w:tcPr>
                <w:p w14:paraId="4B38CFAD">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429C4068">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bCs/>
                      <w:snapToGrid w:val="0"/>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+0.27</w:t>
                  </w:r>
                </w:p>
              </w:tc>
            </w:tr>
            <w:tr w14:paraId="70747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10AFE47E">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19CD2B53">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w:t>
                  </w:r>
                  <w:r>
                    <w:rPr>
                      <w:rFonts w:hint="default" w:ascii="Times New Roman" w:hAnsi="Times New Roman" w:cs="Times New Roman"/>
                      <w:color w:val="auto"/>
                      <w:sz w:val="21"/>
                      <w:szCs w:val="21"/>
                      <w:highlight w:val="none"/>
                      <w:lang w:val="en-US" w:eastAsia="zh-CN"/>
                    </w:rPr>
                    <w:t>机油</w:t>
                  </w:r>
                </w:p>
              </w:tc>
              <w:tc>
                <w:tcPr>
                  <w:tcW w:w="826" w:type="pct"/>
                  <w:tcBorders>
                    <w:tl2br w:val="nil"/>
                    <w:tr2bl w:val="nil"/>
                  </w:tcBorders>
                  <w:noWrap w:val="0"/>
                  <w:vAlign w:val="center"/>
                </w:tcPr>
                <w:p w14:paraId="2767D92D">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847" w:type="pct"/>
                  <w:tcBorders>
                    <w:tl2br w:val="nil"/>
                    <w:tr2bl w:val="nil"/>
                  </w:tcBorders>
                  <w:noWrap w:val="0"/>
                  <w:vAlign w:val="center"/>
                </w:tcPr>
                <w:p w14:paraId="6E28AE6A">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686" w:type="pct"/>
                  <w:tcBorders>
                    <w:tl2br w:val="nil"/>
                    <w:tr2bl w:val="nil"/>
                  </w:tcBorders>
                  <w:noWrap w:val="0"/>
                  <w:vAlign w:val="center"/>
                </w:tcPr>
                <w:p w14:paraId="00DCEF00">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675" w:type="pct"/>
                  <w:tcBorders>
                    <w:tl2br w:val="nil"/>
                    <w:tr2bl w:val="nil"/>
                  </w:tcBorders>
                  <w:noWrap w:val="0"/>
                  <w:vAlign w:val="center"/>
                </w:tcPr>
                <w:p w14:paraId="0E34D553">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537" w:type="pct"/>
                  <w:tcBorders>
                    <w:tl2br w:val="nil"/>
                    <w:tr2bl w:val="nil"/>
                  </w:tcBorders>
                  <w:noWrap w:val="0"/>
                  <w:vAlign w:val="center"/>
                </w:tcPr>
                <w:p w14:paraId="627BDAF4">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0.05</w:t>
                  </w:r>
                </w:p>
              </w:tc>
            </w:tr>
            <w:tr w14:paraId="577AE5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6E988FF2">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3D8039E9">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废催化剂</w:t>
                  </w:r>
                </w:p>
              </w:tc>
              <w:tc>
                <w:tcPr>
                  <w:tcW w:w="826" w:type="pct"/>
                  <w:tcBorders>
                    <w:tl2br w:val="nil"/>
                    <w:tr2bl w:val="nil"/>
                  </w:tcBorders>
                  <w:noWrap w:val="0"/>
                  <w:vAlign w:val="center"/>
                </w:tcPr>
                <w:p w14:paraId="077A18A4">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847" w:type="pct"/>
                  <w:tcBorders>
                    <w:tl2br w:val="nil"/>
                    <w:tr2bl w:val="nil"/>
                  </w:tcBorders>
                  <w:noWrap w:val="0"/>
                  <w:vAlign w:val="center"/>
                </w:tcPr>
                <w:p w14:paraId="70E456E9">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0.25</w:t>
                  </w:r>
                </w:p>
              </w:tc>
              <w:tc>
                <w:tcPr>
                  <w:tcW w:w="686" w:type="pct"/>
                  <w:tcBorders>
                    <w:tl2br w:val="nil"/>
                    <w:tr2bl w:val="nil"/>
                  </w:tcBorders>
                  <w:noWrap w:val="0"/>
                  <w:vAlign w:val="center"/>
                </w:tcPr>
                <w:p w14:paraId="1DA1FAEC">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0.25</w:t>
                  </w:r>
                </w:p>
              </w:tc>
              <w:tc>
                <w:tcPr>
                  <w:tcW w:w="675" w:type="pct"/>
                  <w:tcBorders>
                    <w:tl2br w:val="nil"/>
                    <w:tr2bl w:val="nil"/>
                  </w:tcBorders>
                  <w:noWrap w:val="0"/>
                  <w:vAlign w:val="center"/>
                </w:tcPr>
                <w:p w14:paraId="14ED7861">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537" w:type="pct"/>
                  <w:tcBorders>
                    <w:tl2br w:val="nil"/>
                    <w:tr2bl w:val="nil"/>
                  </w:tcBorders>
                  <w:noWrap w:val="0"/>
                  <w:vAlign w:val="center"/>
                </w:tcPr>
                <w:p w14:paraId="5E33168C">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0.25</w:t>
                  </w:r>
                </w:p>
              </w:tc>
            </w:tr>
            <w:tr w14:paraId="434023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2C5EB395">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7E9D83D8">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不合格产品</w:t>
                  </w:r>
                </w:p>
              </w:tc>
              <w:tc>
                <w:tcPr>
                  <w:tcW w:w="826" w:type="pct"/>
                  <w:tcBorders>
                    <w:tl2br w:val="nil"/>
                    <w:tr2bl w:val="nil"/>
                  </w:tcBorders>
                  <w:noWrap w:val="0"/>
                  <w:vAlign w:val="center"/>
                </w:tcPr>
                <w:p w14:paraId="2CB7811B">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8.4</w:t>
                  </w:r>
                </w:p>
              </w:tc>
              <w:tc>
                <w:tcPr>
                  <w:tcW w:w="847" w:type="pct"/>
                  <w:tcBorders>
                    <w:tl2br w:val="nil"/>
                    <w:tr2bl w:val="nil"/>
                  </w:tcBorders>
                  <w:noWrap w:val="0"/>
                  <w:vAlign w:val="center"/>
                </w:tcPr>
                <w:p w14:paraId="2CA7ED58">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686" w:type="pct"/>
                  <w:tcBorders>
                    <w:tl2br w:val="nil"/>
                    <w:tr2bl w:val="nil"/>
                  </w:tcBorders>
                  <w:noWrap w:val="0"/>
                  <w:vAlign w:val="center"/>
                </w:tcPr>
                <w:p w14:paraId="10E78BAF">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13.4</w:t>
                  </w:r>
                </w:p>
              </w:tc>
              <w:tc>
                <w:tcPr>
                  <w:tcW w:w="675" w:type="pct"/>
                  <w:tcBorders>
                    <w:tl2br w:val="nil"/>
                    <w:tr2bl w:val="nil"/>
                  </w:tcBorders>
                  <w:noWrap w:val="0"/>
                  <w:vAlign w:val="center"/>
                </w:tcPr>
                <w:p w14:paraId="67ED061B">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537" w:type="pct"/>
                  <w:tcBorders>
                    <w:tl2br w:val="nil"/>
                    <w:tr2bl w:val="nil"/>
                  </w:tcBorders>
                  <w:noWrap w:val="0"/>
                  <w:vAlign w:val="center"/>
                </w:tcPr>
                <w:p w14:paraId="3D2A4046">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r>
            <w:tr w14:paraId="046D9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58" w:type="pct"/>
                  <w:vMerge w:val="continue"/>
                  <w:tcBorders>
                    <w:tl2br w:val="nil"/>
                    <w:tr2bl w:val="nil"/>
                  </w:tcBorders>
                  <w:noWrap w:val="0"/>
                  <w:vAlign w:val="center"/>
                </w:tcPr>
                <w:p w14:paraId="5C6C4D44">
                  <w:pPr>
                    <w:keepNext w:val="0"/>
                    <w:keepLines w:val="0"/>
                    <w:pageBreakBefore w:val="0"/>
                    <w:widowControl w:val="0"/>
                    <w:kinsoku/>
                    <w:wordWrap/>
                    <w:overflowPunct/>
                    <w:topLinePunct w:val="0"/>
                    <w:autoSpaceDE w:val="0"/>
                    <w:autoSpaceDN w:val="0"/>
                    <w:bidi w:val="0"/>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zh-CN"/>
                    </w:rPr>
                  </w:pPr>
                </w:p>
              </w:tc>
              <w:tc>
                <w:tcPr>
                  <w:tcW w:w="868" w:type="pct"/>
                  <w:tcBorders>
                    <w:tl2br w:val="nil"/>
                    <w:tr2bl w:val="nil"/>
                  </w:tcBorders>
                  <w:noWrap w:val="0"/>
                  <w:vAlign w:val="center"/>
                </w:tcPr>
                <w:p w14:paraId="321576DB">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废包装袋</w:t>
                  </w:r>
                </w:p>
              </w:tc>
              <w:tc>
                <w:tcPr>
                  <w:tcW w:w="826" w:type="pct"/>
                  <w:tcBorders>
                    <w:tl2br w:val="nil"/>
                    <w:tr2bl w:val="nil"/>
                  </w:tcBorders>
                  <w:noWrap w:val="0"/>
                  <w:vAlign w:val="center"/>
                </w:tcPr>
                <w:p w14:paraId="6CBAA830">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1.5</w:t>
                  </w:r>
                </w:p>
              </w:tc>
              <w:tc>
                <w:tcPr>
                  <w:tcW w:w="847" w:type="pct"/>
                  <w:tcBorders>
                    <w:tl2br w:val="nil"/>
                    <w:tr2bl w:val="nil"/>
                  </w:tcBorders>
                  <w:noWrap w:val="0"/>
                  <w:vAlign w:val="center"/>
                </w:tcPr>
                <w:p w14:paraId="457C0F56">
                  <w:pPr>
                    <w:pStyle w:val="37"/>
                    <w:keepNext w:val="0"/>
                    <w:keepLines w:val="0"/>
                    <w:pageBreakBefore w:val="0"/>
                    <w:widowControl w:val="0"/>
                    <w:kinsoku/>
                    <w:wordWrap/>
                    <w:overflowPunct/>
                    <w:topLinePunct w:val="0"/>
                    <w:bidi w:val="0"/>
                    <w:spacing w:beforeLines="0" w:afterLines="0" w:line="240" w:lineRule="auto"/>
                    <w:ind w:left="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686" w:type="pct"/>
                  <w:tcBorders>
                    <w:tl2br w:val="nil"/>
                    <w:tr2bl w:val="nil"/>
                  </w:tcBorders>
                  <w:noWrap w:val="0"/>
                  <w:vAlign w:val="center"/>
                </w:tcPr>
                <w:p w14:paraId="41228396">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6.5</w:t>
                  </w:r>
                </w:p>
              </w:tc>
              <w:tc>
                <w:tcPr>
                  <w:tcW w:w="675" w:type="pct"/>
                  <w:tcBorders>
                    <w:tl2br w:val="nil"/>
                    <w:tr2bl w:val="nil"/>
                  </w:tcBorders>
                  <w:noWrap w:val="0"/>
                  <w:vAlign w:val="center"/>
                </w:tcPr>
                <w:p w14:paraId="1FA5639D">
                  <w:pPr>
                    <w:keepNext w:val="0"/>
                    <w:keepLines w:val="0"/>
                    <w:pageBreakBefore w:val="0"/>
                    <w:widowControl w:val="0"/>
                    <w:kinsoku/>
                    <w:wordWrap/>
                    <w:overflowPunct/>
                    <w:topLinePunct w:val="0"/>
                    <w:bidi w:val="0"/>
                    <w:spacing w:line="240" w:lineRule="auto"/>
                    <w:ind w:left="0" w:firstLine="0" w:firstLine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w:t>
                  </w:r>
                </w:p>
              </w:tc>
              <w:tc>
                <w:tcPr>
                  <w:tcW w:w="537" w:type="pct"/>
                  <w:tcBorders>
                    <w:tl2br w:val="nil"/>
                    <w:tr2bl w:val="nil"/>
                  </w:tcBorders>
                  <w:noWrap w:val="0"/>
                  <w:vAlign w:val="center"/>
                </w:tcPr>
                <w:p w14:paraId="68829BAD">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+5</w:t>
                  </w:r>
                </w:p>
              </w:tc>
            </w:tr>
          </w:tbl>
          <w:p w14:paraId="14103C29">
            <w:pPr>
              <w:pStyle w:val="2"/>
              <w:rPr>
                <w:rFonts w:hint="default" w:ascii="Times New Roman" w:hAnsi="Times New Roman" w:eastAsia="宋体" w:cs="Times New Roman"/>
                <w:color w:val="auto"/>
                <w:sz w:val="24"/>
                <w:szCs w:val="24"/>
                <w:highlight w:val="none"/>
                <w:lang w:eastAsia="zh-CN"/>
              </w:rPr>
            </w:pPr>
          </w:p>
          <w:p w14:paraId="73F3F1F2">
            <w:pPr>
              <w:rPr>
                <w:rFonts w:hint="default" w:ascii="Times New Roman" w:hAnsi="Times New Roman" w:cs="Times New Roman"/>
                <w:color w:val="auto"/>
                <w:highlight w:val="none"/>
              </w:rPr>
            </w:pPr>
          </w:p>
          <w:p w14:paraId="1E59CFB2">
            <w:pPr>
              <w:pStyle w:val="2"/>
              <w:rPr>
                <w:rFonts w:hint="default" w:ascii="Times New Roman" w:hAnsi="Times New Roman" w:cs="Times New Roman"/>
                <w:color w:val="auto"/>
                <w:highlight w:val="none"/>
              </w:rPr>
            </w:pPr>
          </w:p>
          <w:p w14:paraId="1FC1112D">
            <w:pPr>
              <w:pStyle w:val="5"/>
              <w:rPr>
                <w:rFonts w:hint="default" w:ascii="Times New Roman" w:hAnsi="Times New Roman" w:cs="Times New Roman"/>
                <w:color w:val="auto"/>
                <w:highlight w:val="none"/>
              </w:rPr>
            </w:pPr>
          </w:p>
          <w:p w14:paraId="53B4B0C1">
            <w:pPr>
              <w:pStyle w:val="5"/>
              <w:rPr>
                <w:rFonts w:hint="default" w:ascii="Times New Roman" w:hAnsi="Times New Roman" w:cs="Times New Roman"/>
                <w:color w:val="auto"/>
                <w:highlight w:val="none"/>
              </w:rPr>
            </w:pPr>
          </w:p>
          <w:p w14:paraId="48625709">
            <w:pPr>
              <w:pStyle w:val="5"/>
              <w:rPr>
                <w:rFonts w:hint="default" w:ascii="Times New Roman" w:hAnsi="Times New Roman" w:cs="Times New Roman"/>
                <w:color w:val="auto"/>
                <w:highlight w:val="none"/>
              </w:rPr>
            </w:pPr>
          </w:p>
        </w:tc>
      </w:tr>
    </w:tbl>
    <w:p w14:paraId="2185A083">
      <w:pPr>
        <w:rPr>
          <w:rFonts w:hint="default" w:ascii="Times New Roman" w:hAnsi="Times New Roman" w:cs="Times New Roman"/>
          <w:color w:val="auto"/>
          <w:highlight w:val="none"/>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3DE84C0A">
      <w:pPr>
        <w:pStyle w:val="22"/>
        <w:jc w:val="center"/>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五、</w:t>
      </w:r>
      <w:bookmarkStart w:id="12" w:name="_Hlk54167917"/>
      <w:r>
        <w:rPr>
          <w:rFonts w:hint="default" w:ascii="Times New Roman" w:hAnsi="Times New Roman" w:eastAsia="黑体" w:cs="Times New Roman"/>
          <w:snapToGrid w:val="0"/>
          <w:color w:val="auto"/>
          <w:sz w:val="30"/>
          <w:szCs w:val="30"/>
          <w:highlight w:val="none"/>
        </w:rPr>
        <w:t>环境保护措施监督检查清单</w:t>
      </w:r>
      <w:bookmarkEnd w:id="12"/>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755"/>
        <w:gridCol w:w="1584"/>
        <w:gridCol w:w="1516"/>
        <w:gridCol w:w="2167"/>
      </w:tblGrid>
      <w:tr w14:paraId="67D2DC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tcBorders>
              <w:tl2br w:val="single" w:color="auto" w:sz="4" w:space="0"/>
            </w:tcBorders>
            <w:noWrap w:val="0"/>
            <w:vAlign w:val="top"/>
          </w:tcPr>
          <w:p w14:paraId="6A9A31E3">
            <w:pPr>
              <w:adjustRightInd w:val="0"/>
              <w:snapToGrid w:val="0"/>
              <w:ind w:firstLine="84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内容</w:t>
            </w:r>
          </w:p>
          <w:p w14:paraId="3C07E9B9">
            <w:pPr>
              <w:adjustRightInd w:val="0"/>
              <w:snapToGrid w:val="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要素</w:t>
            </w:r>
          </w:p>
        </w:tc>
        <w:tc>
          <w:tcPr>
            <w:tcW w:w="1755" w:type="dxa"/>
            <w:noWrap w:val="0"/>
            <w:vAlign w:val="center"/>
          </w:tcPr>
          <w:p w14:paraId="7AEE18D7">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排放口(编号、</w:t>
            </w:r>
          </w:p>
          <w:p w14:paraId="1429A19E">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名称)/污染源</w:t>
            </w:r>
          </w:p>
        </w:tc>
        <w:tc>
          <w:tcPr>
            <w:tcW w:w="1584" w:type="dxa"/>
            <w:noWrap w:val="0"/>
            <w:vAlign w:val="center"/>
          </w:tcPr>
          <w:p w14:paraId="34EEEB98">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污染物项目</w:t>
            </w:r>
          </w:p>
        </w:tc>
        <w:tc>
          <w:tcPr>
            <w:tcW w:w="1516" w:type="dxa"/>
            <w:noWrap w:val="0"/>
            <w:vAlign w:val="center"/>
          </w:tcPr>
          <w:p w14:paraId="4F2FD442">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环境保护措施</w:t>
            </w:r>
          </w:p>
        </w:tc>
        <w:tc>
          <w:tcPr>
            <w:tcW w:w="2167" w:type="dxa"/>
            <w:noWrap w:val="0"/>
            <w:vAlign w:val="center"/>
          </w:tcPr>
          <w:p w14:paraId="142DA367">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执行标准</w:t>
            </w:r>
          </w:p>
        </w:tc>
      </w:tr>
      <w:tr w14:paraId="06793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14:paraId="1FB7BC36">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大气环境</w:t>
            </w:r>
          </w:p>
        </w:tc>
        <w:tc>
          <w:tcPr>
            <w:tcW w:w="1755" w:type="dxa"/>
            <w:noWrap w:val="0"/>
            <w:vAlign w:val="center"/>
          </w:tcPr>
          <w:p w14:paraId="15A88668">
            <w:pPr>
              <w:ind w:right="23" w:rightChars="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szCs w:val="24"/>
                <w:highlight w:val="none"/>
                <w:lang w:val="en-US" w:eastAsia="zh-CN"/>
              </w:rPr>
              <w:t>热熔和挤出工段中产生的</w:t>
            </w:r>
            <w:r>
              <w:rPr>
                <w:rFonts w:hint="default" w:ascii="Times New Roman" w:hAnsi="Times New Roman" w:cs="Times New Roman"/>
                <w:bCs/>
                <w:color w:val="auto"/>
                <w:sz w:val="24"/>
                <w:szCs w:val="24"/>
                <w:highlight w:val="none"/>
                <w:lang w:eastAsia="zh-CN"/>
              </w:rPr>
              <w:t>VOCs（以非甲烷总烃计）</w:t>
            </w:r>
            <w:r>
              <w:rPr>
                <w:rFonts w:hint="default" w:ascii="Times New Roman" w:hAnsi="Times New Roman" w:eastAsia="宋体" w:cs="Times New Roman"/>
                <w:bCs/>
                <w:color w:val="auto"/>
                <w:sz w:val="24"/>
                <w:szCs w:val="24"/>
                <w:highlight w:val="none"/>
                <w:lang w:val="en-US" w:eastAsia="zh-CN"/>
              </w:rPr>
              <w:t>DA001</w:t>
            </w:r>
          </w:p>
        </w:tc>
        <w:tc>
          <w:tcPr>
            <w:tcW w:w="1584" w:type="dxa"/>
            <w:noWrap w:val="0"/>
            <w:vAlign w:val="center"/>
          </w:tcPr>
          <w:p w14:paraId="732D0E47">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非甲烷总烃</w:t>
            </w:r>
          </w:p>
        </w:tc>
        <w:tc>
          <w:tcPr>
            <w:tcW w:w="1516" w:type="dxa"/>
            <w:noWrap w:val="0"/>
            <w:vAlign w:val="center"/>
          </w:tcPr>
          <w:p w14:paraId="5BE1D494">
            <w:pPr>
              <w:ind w:right="23" w:rightChars="0"/>
              <w:jc w:val="center"/>
              <w:rPr>
                <w:rFonts w:hint="default" w:ascii="Times New Roman" w:hAnsi="Times New Roman" w:cs="Times New Roman"/>
                <w:color w:val="auto"/>
                <w:kern w:val="2"/>
                <w:sz w:val="24"/>
                <w:szCs w:val="24"/>
                <w:highlight w:val="none"/>
                <w:lang w:val="en-US" w:eastAsia="zh-CN" w:bidi="ar-SA"/>
              </w:rPr>
            </w:pPr>
            <w:r>
              <w:rPr>
                <w:rFonts w:hint="default" w:ascii="Times New Roman" w:hAnsi="Times New Roman" w:eastAsia="宋体" w:cs="Times New Roman"/>
                <w:bCs/>
                <w:color w:val="auto"/>
                <w:sz w:val="24"/>
                <w:szCs w:val="24"/>
                <w:highlight w:val="none"/>
                <w:lang w:val="en-US" w:eastAsia="zh-CN"/>
              </w:rPr>
              <w:t>集气罩+</w:t>
            </w:r>
            <w:r>
              <w:rPr>
                <w:rFonts w:hint="default" w:ascii="Times New Roman" w:hAnsi="Times New Roman" w:cs="Times New Roman"/>
                <w:bCs/>
                <w:color w:val="auto"/>
                <w:sz w:val="24"/>
                <w:szCs w:val="24"/>
                <w:highlight w:val="none"/>
                <w:lang w:val="en-US" w:eastAsia="zh-CN"/>
              </w:rPr>
              <w:t>催发燃烧装置</w:t>
            </w:r>
            <w:r>
              <w:rPr>
                <w:rFonts w:hint="default" w:ascii="Times New Roman" w:hAnsi="Times New Roman" w:eastAsia="宋体" w:cs="Times New Roman"/>
                <w:b w:val="0"/>
                <w:bCs w:val="0"/>
                <w:color w:val="auto"/>
                <w:sz w:val="24"/>
                <w:szCs w:val="24"/>
                <w:highlight w:val="none"/>
                <w:vertAlign w:val="baseline"/>
                <w:lang w:val="en-US" w:eastAsia="zh-CN"/>
              </w:rPr>
              <w:t>+1套+15m高排气筒</w:t>
            </w:r>
          </w:p>
        </w:tc>
        <w:tc>
          <w:tcPr>
            <w:tcW w:w="2167" w:type="dxa"/>
            <w:noWrap w:val="0"/>
            <w:vAlign w:val="center"/>
          </w:tcPr>
          <w:p w14:paraId="6D7963C2">
            <w:pPr>
              <w:pageBreakBefore w:val="0"/>
              <w:widowControl w:val="0"/>
              <w:kinsoku/>
              <w:wordWrap/>
              <w:overflowPunct/>
              <w:topLinePunct w:val="0"/>
              <w:autoSpaceDE/>
              <w:autoSpaceDN/>
              <w:bidi w:val="0"/>
              <w:spacing w:line="240" w:lineRule="auto"/>
              <w:ind w:left="0" w:right="0"/>
              <w:jc w:val="center"/>
              <w:textAlignment w:val="auto"/>
              <w:rPr>
                <w:rFonts w:hint="default" w:ascii="Times New Roman" w:hAnsi="Times New Roman" w:cs="Times New Roman"/>
                <w:color w:val="auto"/>
                <w:sz w:val="24"/>
                <w:szCs w:val="24"/>
                <w:highlight w:val="none"/>
              </w:rPr>
            </w:pPr>
            <w:r>
              <w:rPr>
                <w:rFonts w:hint="default" w:ascii="Times New Roman" w:hAnsi="Times New Roman" w:eastAsia="宋体" w:cs="Times New Roman"/>
                <w:bCs w:val="0"/>
                <w:color w:val="auto"/>
                <w:sz w:val="24"/>
                <w:szCs w:val="24"/>
                <w:highlight w:val="none"/>
              </w:rPr>
              <w:t>《</w:t>
            </w:r>
            <w:r>
              <w:rPr>
                <w:rFonts w:hint="default" w:ascii="Times New Roman" w:hAnsi="Times New Roman" w:eastAsia="宋体" w:cs="Times New Roman"/>
                <w:bCs w:val="0"/>
                <w:color w:val="auto"/>
                <w:sz w:val="24"/>
                <w:szCs w:val="24"/>
                <w:highlight w:val="none"/>
                <w:lang w:val="en-US" w:eastAsia="zh-CN"/>
              </w:rPr>
              <w:t>合成树脂工业污染物排放标准</w:t>
            </w:r>
            <w:r>
              <w:rPr>
                <w:rFonts w:hint="default" w:ascii="Times New Roman" w:hAnsi="Times New Roman" w:eastAsia="宋体" w:cs="Times New Roman"/>
                <w:bCs w:val="0"/>
                <w:color w:val="auto"/>
                <w:sz w:val="24"/>
                <w:szCs w:val="24"/>
                <w:highlight w:val="none"/>
              </w:rPr>
              <w:t>》（GB</w:t>
            </w:r>
            <w:r>
              <w:rPr>
                <w:rFonts w:hint="default" w:ascii="Times New Roman" w:hAnsi="Times New Roman" w:eastAsia="宋体" w:cs="Times New Roman"/>
                <w:bCs w:val="0"/>
                <w:color w:val="auto"/>
                <w:sz w:val="24"/>
                <w:szCs w:val="24"/>
                <w:highlight w:val="none"/>
                <w:lang w:val="en-US" w:eastAsia="zh-CN"/>
              </w:rPr>
              <w:t>31572-2015</w:t>
            </w:r>
            <w:r>
              <w:rPr>
                <w:rFonts w:hint="default" w:ascii="Times New Roman" w:hAnsi="Times New Roman" w:eastAsia="宋体" w:cs="Times New Roman"/>
                <w:bCs w:val="0"/>
                <w:color w:val="auto"/>
                <w:sz w:val="24"/>
                <w:szCs w:val="24"/>
                <w:highlight w:val="none"/>
              </w:rPr>
              <w:t>）标准要求</w:t>
            </w:r>
          </w:p>
        </w:tc>
      </w:tr>
      <w:tr w14:paraId="1BFE62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14:paraId="35A0C52D">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地表水环境</w:t>
            </w:r>
          </w:p>
        </w:tc>
        <w:tc>
          <w:tcPr>
            <w:tcW w:w="1755" w:type="dxa"/>
            <w:noWrap w:val="0"/>
            <w:vAlign w:val="center"/>
          </w:tcPr>
          <w:p w14:paraId="06D4DFA1">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w:t>
            </w:r>
          </w:p>
        </w:tc>
        <w:tc>
          <w:tcPr>
            <w:tcW w:w="1584" w:type="dxa"/>
            <w:noWrap w:val="0"/>
            <w:vAlign w:val="center"/>
          </w:tcPr>
          <w:p w14:paraId="17C65AA5">
            <w:pPr>
              <w:adjustRightInd w:val="0"/>
              <w:snapToGrid w:val="0"/>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cs="Times New Roman"/>
                <w:color w:val="auto"/>
                <w:sz w:val="24"/>
                <w:szCs w:val="24"/>
                <w:highlight w:val="none"/>
                <w:lang w:val="en-US" w:eastAsia="zh-CN"/>
              </w:rPr>
              <w:t>/</w:t>
            </w:r>
          </w:p>
        </w:tc>
        <w:tc>
          <w:tcPr>
            <w:tcW w:w="1516" w:type="dxa"/>
            <w:noWrap w:val="0"/>
            <w:vAlign w:val="center"/>
          </w:tcPr>
          <w:p w14:paraId="2DD0E602">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kern w:val="0"/>
                <w:sz w:val="24"/>
                <w:szCs w:val="24"/>
                <w:highlight w:val="none"/>
                <w:lang w:val="en-US" w:eastAsia="zh-CN"/>
              </w:rPr>
              <w:t>/</w:t>
            </w:r>
          </w:p>
        </w:tc>
        <w:tc>
          <w:tcPr>
            <w:tcW w:w="2167" w:type="dxa"/>
            <w:noWrap w:val="0"/>
            <w:vAlign w:val="center"/>
          </w:tcPr>
          <w:p w14:paraId="506E198B">
            <w:pPr>
              <w:adjustRightInd w:val="0"/>
              <w:snapToGrid w:val="0"/>
              <w:jc w:val="center"/>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w:t>
            </w:r>
          </w:p>
        </w:tc>
      </w:tr>
      <w:tr w14:paraId="5FE39F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14:paraId="659316BF">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声环境</w:t>
            </w:r>
          </w:p>
        </w:tc>
        <w:tc>
          <w:tcPr>
            <w:tcW w:w="1755" w:type="dxa"/>
            <w:noWrap w:val="0"/>
            <w:vAlign w:val="center"/>
          </w:tcPr>
          <w:p w14:paraId="23D552F3">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生产区</w:t>
            </w:r>
          </w:p>
        </w:tc>
        <w:tc>
          <w:tcPr>
            <w:tcW w:w="1584" w:type="dxa"/>
            <w:noWrap w:val="0"/>
            <w:vAlign w:val="center"/>
          </w:tcPr>
          <w:p w14:paraId="49E4A02D">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设备噪声</w:t>
            </w:r>
          </w:p>
        </w:tc>
        <w:tc>
          <w:tcPr>
            <w:tcW w:w="1516" w:type="dxa"/>
            <w:noWrap w:val="0"/>
            <w:vAlign w:val="center"/>
          </w:tcPr>
          <w:p w14:paraId="21E12D89">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基础减振、厂房隔声</w:t>
            </w:r>
          </w:p>
        </w:tc>
        <w:tc>
          <w:tcPr>
            <w:tcW w:w="2167" w:type="dxa"/>
            <w:noWrap w:val="0"/>
            <w:vAlign w:val="center"/>
          </w:tcPr>
          <w:p w14:paraId="3433CB83">
            <w:pPr>
              <w:keepNext w:val="0"/>
              <w:keepLines w:val="0"/>
              <w:pageBreakBefore w:val="0"/>
              <w:widowControl w:val="0"/>
              <w:kinsoku w:val="0"/>
              <w:wordWrap/>
              <w:overflowPunct/>
              <w:topLinePunct w:val="0"/>
              <w:autoSpaceDE/>
              <w:autoSpaceDN/>
              <w:bidi w:val="0"/>
              <w:adjustRightInd w:val="0"/>
              <w:snapToGrid w:val="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《工业企业厂界环境噪声排放标准》（GB12348-2008）3类标准</w:t>
            </w:r>
          </w:p>
        </w:tc>
      </w:tr>
      <w:tr w14:paraId="3BAF6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14:paraId="53F86E4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电磁辐射</w:t>
            </w:r>
          </w:p>
        </w:tc>
        <w:tc>
          <w:tcPr>
            <w:tcW w:w="1755" w:type="dxa"/>
            <w:noWrap w:val="0"/>
            <w:vAlign w:val="center"/>
          </w:tcPr>
          <w:p w14:paraId="0E4462C1">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584" w:type="dxa"/>
            <w:noWrap w:val="0"/>
            <w:vAlign w:val="center"/>
          </w:tcPr>
          <w:p w14:paraId="0008D35D">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1516" w:type="dxa"/>
            <w:noWrap w:val="0"/>
            <w:vAlign w:val="center"/>
          </w:tcPr>
          <w:p w14:paraId="119599D7">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c>
          <w:tcPr>
            <w:tcW w:w="2167" w:type="dxa"/>
            <w:noWrap w:val="0"/>
            <w:vAlign w:val="center"/>
          </w:tcPr>
          <w:p w14:paraId="00B01A3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64CD9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14:paraId="17163BD9">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固体废物</w:t>
            </w:r>
          </w:p>
        </w:tc>
        <w:tc>
          <w:tcPr>
            <w:tcW w:w="7022" w:type="dxa"/>
            <w:gridSpan w:val="4"/>
            <w:noWrap w:val="0"/>
            <w:vAlign w:val="center"/>
          </w:tcPr>
          <w:p w14:paraId="685E677A">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z w:val="24"/>
                <w:szCs w:val="24"/>
                <w:highlight w:val="none"/>
              </w:rPr>
              <w:t>工业固废</w:t>
            </w:r>
            <w:r>
              <w:rPr>
                <w:rFonts w:hint="default" w:ascii="Times New Roman" w:hAnsi="Times New Roman" w:cs="Times New Roman"/>
                <w:bCs/>
                <w:color w:val="auto"/>
                <w:sz w:val="24"/>
                <w:szCs w:val="24"/>
                <w:highlight w:val="none"/>
                <w:lang w:val="en-US" w:eastAsia="zh-CN"/>
              </w:rPr>
              <w:t>依托现有</w:t>
            </w:r>
            <w:r>
              <w:rPr>
                <w:rFonts w:hint="default" w:ascii="Times New Roman" w:hAnsi="Times New Roman" w:eastAsia="宋体" w:cs="Times New Roman"/>
                <w:bCs/>
                <w:color w:val="auto"/>
                <w:sz w:val="24"/>
                <w:szCs w:val="24"/>
                <w:highlight w:val="none"/>
              </w:rPr>
              <w:t>一般工业固废</w:t>
            </w:r>
            <w:r>
              <w:rPr>
                <w:rFonts w:hint="default" w:ascii="Times New Roman" w:hAnsi="Times New Roman" w:cs="Times New Roman"/>
                <w:bCs/>
                <w:color w:val="auto"/>
                <w:sz w:val="24"/>
                <w:szCs w:val="24"/>
                <w:highlight w:val="none"/>
                <w:lang w:val="en-US" w:eastAsia="zh-CN"/>
              </w:rPr>
              <w:t>场</w:t>
            </w:r>
            <w:r>
              <w:rPr>
                <w:rFonts w:hint="default" w:ascii="Times New Roman" w:hAnsi="Times New Roman" w:eastAsia="宋体" w:cs="Times New Roman"/>
                <w:bCs/>
                <w:color w:val="auto"/>
                <w:sz w:val="24"/>
                <w:szCs w:val="24"/>
                <w:highlight w:val="none"/>
              </w:rPr>
              <w:t>集中堆放；</w:t>
            </w:r>
            <w:r>
              <w:rPr>
                <w:rFonts w:hint="default" w:ascii="Times New Roman" w:hAnsi="Times New Roman" w:eastAsia="宋体" w:cs="Times New Roman"/>
                <w:bCs/>
                <w:color w:val="auto"/>
                <w:sz w:val="24"/>
                <w:szCs w:val="24"/>
                <w:highlight w:val="none"/>
                <w:lang w:val="en-US" w:eastAsia="zh-CN"/>
              </w:rPr>
              <w:t>危险废物</w:t>
            </w:r>
            <w:r>
              <w:rPr>
                <w:rFonts w:hint="default" w:ascii="Times New Roman" w:hAnsi="Times New Roman" w:cs="Times New Roman"/>
                <w:bCs/>
                <w:color w:val="auto"/>
                <w:sz w:val="24"/>
                <w:szCs w:val="24"/>
                <w:highlight w:val="none"/>
                <w:lang w:val="en-US" w:eastAsia="zh-CN"/>
              </w:rPr>
              <w:t>依托危废暂存点存放</w:t>
            </w:r>
            <w:r>
              <w:rPr>
                <w:rFonts w:hint="default" w:ascii="Times New Roman" w:hAnsi="Times New Roman" w:eastAsia="宋体" w:cs="Times New Roman"/>
                <w:bCs/>
                <w:color w:val="auto"/>
                <w:sz w:val="24"/>
                <w:szCs w:val="24"/>
                <w:highlight w:val="none"/>
                <w:lang w:val="en-US" w:eastAsia="zh-CN"/>
              </w:rPr>
              <w:t>，交由有资质的单位处置。</w:t>
            </w:r>
          </w:p>
        </w:tc>
      </w:tr>
      <w:tr w14:paraId="6A901E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14:paraId="312BDBF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土壤及地下水</w:t>
            </w:r>
          </w:p>
          <w:p w14:paraId="5C3C7B8B">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污染防治措施</w:t>
            </w:r>
          </w:p>
        </w:tc>
        <w:tc>
          <w:tcPr>
            <w:tcW w:w="7022" w:type="dxa"/>
            <w:gridSpan w:val="4"/>
            <w:noWrap w:val="0"/>
            <w:vAlign w:val="center"/>
          </w:tcPr>
          <w:p w14:paraId="677E936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kern w:val="0"/>
                <w:sz w:val="24"/>
                <w:szCs w:val="24"/>
                <w:highlight w:val="none"/>
                <w:lang w:val="en-US" w:eastAsia="zh-CN" w:bidi="ar"/>
              </w:rPr>
              <w:t>/</w:t>
            </w:r>
          </w:p>
        </w:tc>
      </w:tr>
      <w:tr w14:paraId="60CC55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14:paraId="060EA08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生态保护措施</w:t>
            </w:r>
          </w:p>
        </w:tc>
        <w:tc>
          <w:tcPr>
            <w:tcW w:w="7022" w:type="dxa"/>
            <w:gridSpan w:val="4"/>
            <w:noWrap w:val="0"/>
            <w:vAlign w:val="center"/>
          </w:tcPr>
          <w:p w14:paraId="44D73EDC">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p>
        </w:tc>
      </w:tr>
      <w:tr w14:paraId="118499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14:paraId="623B2FC8">
            <w:pPr>
              <w:adjustRightInd w:val="0"/>
              <w:snapToGrid w:val="0"/>
              <w:jc w:val="center"/>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环境风险防范措施</w:t>
            </w:r>
          </w:p>
        </w:tc>
        <w:tc>
          <w:tcPr>
            <w:tcW w:w="7022" w:type="dxa"/>
            <w:gridSpan w:val="4"/>
            <w:noWrap w:val="0"/>
            <w:vAlign w:val="center"/>
          </w:tcPr>
          <w:p w14:paraId="0B2622B8">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做好厂区分区防渗处理、厂区地面硬化、生产工艺过程风险防范措施、泄漏风险防范措施、安全管理措施</w:t>
            </w:r>
          </w:p>
        </w:tc>
      </w:tr>
      <w:tr w14:paraId="02871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778" w:type="dxa"/>
            <w:noWrap w:val="0"/>
            <w:vAlign w:val="center"/>
          </w:tcPr>
          <w:p w14:paraId="58AAE4FA">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其他环境</w:t>
            </w:r>
          </w:p>
          <w:p w14:paraId="53B9E5FE">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spacing w:val="-8"/>
                <w:sz w:val="24"/>
                <w:szCs w:val="24"/>
                <w:highlight w:val="none"/>
              </w:rPr>
            </w:pPr>
            <w:r>
              <w:rPr>
                <w:rFonts w:hint="default" w:ascii="Times New Roman" w:hAnsi="Times New Roman" w:cs="Times New Roman"/>
                <w:color w:val="auto"/>
                <w:spacing w:val="-8"/>
                <w:sz w:val="24"/>
                <w:szCs w:val="24"/>
                <w:highlight w:val="none"/>
              </w:rPr>
              <w:t>管理要求</w:t>
            </w:r>
          </w:p>
        </w:tc>
        <w:tc>
          <w:tcPr>
            <w:tcW w:w="7022" w:type="dxa"/>
            <w:gridSpan w:val="4"/>
            <w:noWrap w:val="0"/>
            <w:vAlign w:val="center"/>
          </w:tcPr>
          <w:p w14:paraId="18450BD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1、排污许可</w:t>
            </w:r>
          </w:p>
          <w:p w14:paraId="7D6C210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根据《关于做好环境影响评价制度与排污许可衔接相关工作的通知》（环办环评</w:t>
            </w:r>
            <w:r>
              <w:rPr>
                <w:rFonts w:hint="default" w:ascii="Times New Roman" w:hAnsi="Times New Roman" w:cs="Times New Roman"/>
                <w:color w:val="auto"/>
                <w:sz w:val="24"/>
                <w:szCs w:val="24"/>
                <w:highlight w:val="none"/>
                <w:lang w:eastAsia="zh-CN"/>
              </w:rPr>
              <w:t>〔2017〕84号</w:t>
            </w:r>
            <w:r>
              <w:rPr>
                <w:rFonts w:hint="default" w:ascii="Times New Roman" w:hAnsi="Times New Roman" w:cs="Times New Roman"/>
                <w:color w:val="auto"/>
                <w:sz w:val="24"/>
                <w:szCs w:val="24"/>
                <w:highlight w:val="none"/>
              </w:rPr>
              <w:t>），项目应在获得环评审批文件后，按照国家环境保护相关法律法规以及排污许可证申请与核发技术规范要求申请排污许可证。</w:t>
            </w:r>
          </w:p>
          <w:p w14:paraId="6EFEBEA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根据《固定污染源排污许可分类管理名录（2019年版）》，本项目既属于“二十四、橡胶和塑料制品业29-62塑料制品业292-塑料零件及其他塑料制品制造2929”，应实施简化管理。</w:t>
            </w:r>
          </w:p>
          <w:p w14:paraId="60FFEF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企业应当在启动生产设施或者发生实际排污之前在全国排污许可证管理信息平台填报排污登记表，登记基本信息、污染物排放去向、执行的污染物排放标准以及采取的污染防治措施等信息。</w:t>
            </w:r>
          </w:p>
          <w:p w14:paraId="4991D31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2、排放口信息化、规范化</w:t>
            </w:r>
          </w:p>
          <w:p w14:paraId="4192CC8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根据国家环境保护总局《关于开展排放口规范化整治工作的通知</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排放口规范化整治技术要求（试行）》等规定，排污单位在建设污染治理设施的同时，建设规范化排放口。</w:t>
            </w:r>
          </w:p>
          <w:p w14:paraId="6CB9647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（1）废气排气筒应按照规范化要求设置，达到标准要求高度，并设置便于采样、监测的采样口，在排气筒附近醒目处设置环保标志牌。</w:t>
            </w:r>
          </w:p>
          <w:p w14:paraId="07DB09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（2）主要固定噪声源附近应设置环境保护图形标志牌。</w:t>
            </w:r>
          </w:p>
          <w:p w14:paraId="68A699A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固体废物在厂内暂存期间应设置专门的储存设施或堆放场所、运输通道。存放场地应采取防扬散、防流失措施，并在存放场地设置环保标志牌。项目按照《环境保护图形标志-排放口（源）》（GB15562.1-1995）和《环境保护图形标志-固体废物贮存（处置）场》（GB15562.2-1995）等有关规定，在各气、声排污口（源）挂牌标识，做到各排污口（源）的环保标志明显，便于企业管理和公众监督。</w:t>
            </w:r>
          </w:p>
          <w:p w14:paraId="665CE5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项目应使用国家环保局统一印制的《中华人民共和国规范化排污口标志牌登记证》，并按要求填写有关内容。根据排污口管理档案内容要求，项目投产后，应将上述所有污染排放口名称、位置，以及排放污染物名称、数量、浓度、排放去向等内容进行统计，并登记上报所在地环境保护行政主管部门，以便进行验收和排放口的规范化管理，并接受社会监督。</w:t>
            </w:r>
          </w:p>
          <w:p w14:paraId="70CC3D6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3、其他要求</w:t>
            </w:r>
          </w:p>
          <w:p w14:paraId="3BBCAE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（1）建立环境管理台账。</w:t>
            </w:r>
          </w:p>
          <w:p w14:paraId="0F636B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（2）根据监测计划定期进行例行监测。</w:t>
            </w:r>
          </w:p>
          <w:p w14:paraId="741FA0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（3）企业运行前，须按照《固定污染源排污许可分类管理名录（2019年版）》的要求取得排污许可证。</w:t>
            </w:r>
          </w:p>
          <w:p w14:paraId="214FD6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p>
          <w:p w14:paraId="6C905F7D">
            <w:pPr>
              <w:pStyle w:val="8"/>
              <w:rPr>
                <w:rFonts w:hint="default"/>
                <w:color w:val="auto"/>
                <w:highlight w:val="none"/>
              </w:rPr>
            </w:pPr>
            <w:bookmarkStart w:id="13" w:name="_GoBack"/>
            <w:bookmarkEnd w:id="13"/>
          </w:p>
        </w:tc>
      </w:tr>
    </w:tbl>
    <w:p w14:paraId="209E18F3">
      <w:pPr>
        <w:rPr>
          <w:rFonts w:hint="default" w:ascii="Times New Roman" w:hAnsi="Times New Roman" w:cs="Times New Roman" w:eastAsiaTheme="minorEastAsia"/>
          <w:snapToGrid w:val="0"/>
          <w:color w:val="auto"/>
          <w:sz w:val="30"/>
          <w:szCs w:val="30"/>
          <w:highlight w:val="none"/>
        </w:rPr>
      </w:pPr>
      <w:r>
        <w:rPr>
          <w:rFonts w:hint="default" w:ascii="Times New Roman" w:hAnsi="Times New Roman" w:cs="Times New Roman" w:eastAsiaTheme="minorEastAsia"/>
          <w:snapToGrid w:val="0"/>
          <w:color w:val="auto"/>
          <w:sz w:val="30"/>
          <w:szCs w:val="30"/>
          <w:highlight w:val="none"/>
        </w:rPr>
        <w:br w:type="page"/>
      </w:r>
    </w:p>
    <w:p w14:paraId="7646E02B">
      <w:pPr>
        <w:pStyle w:val="22"/>
        <w:ind w:firstLine="3900" w:firstLineChars="1300"/>
        <w:jc w:val="both"/>
        <w:outlineLvl w:val="0"/>
        <w:rPr>
          <w:rFonts w:hint="default" w:ascii="Times New Roman" w:hAnsi="Times New Roman" w:eastAsia="黑体" w:cs="Times New Roman"/>
          <w:snapToGrid w:val="0"/>
          <w:color w:val="auto"/>
          <w:sz w:val="30"/>
          <w:szCs w:val="30"/>
          <w:highlight w:val="none"/>
        </w:rPr>
      </w:pPr>
      <w:r>
        <w:rPr>
          <w:rFonts w:hint="default" w:ascii="Times New Roman" w:hAnsi="Times New Roman" w:eastAsia="黑体" w:cs="Times New Roman"/>
          <w:snapToGrid w:val="0"/>
          <w:color w:val="auto"/>
          <w:sz w:val="30"/>
          <w:szCs w:val="30"/>
          <w:highlight w:val="none"/>
        </w:rPr>
        <w:t>六、结论</w:t>
      </w:r>
    </w:p>
    <w:tbl>
      <w:tblPr>
        <w:tblStyle w:val="2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C1207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198DB205">
            <w:pPr>
              <w:adjustRightInd w:val="0"/>
              <w:snapToGrid w:val="0"/>
              <w:spacing w:line="360" w:lineRule="auto"/>
              <w:ind w:firstLine="480" w:firstLineChars="200"/>
              <w:jc w:val="left"/>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lang w:val="en-US" w:eastAsia="zh-CN"/>
              </w:rPr>
              <w:t>本工程建设符合国家产业政策，在严格采取环评报告规定的环境保护对策后，各污染源所排放污染物可以达标排放，对环境影响较小。只要在企业的开发建设和日常运转管理中，切实落实好本评价提出的有关环境保护的对策和措施，那么从环境保护的角度而言，该项目是可行的。</w:t>
            </w:r>
          </w:p>
          <w:p w14:paraId="15893F15">
            <w:pPr>
              <w:pStyle w:val="31"/>
              <w:spacing w:line="360" w:lineRule="auto"/>
              <w:ind w:firstLine="480" w:firstLineChars="200"/>
              <w:rPr>
                <w:rFonts w:hint="default" w:ascii="Times New Roman" w:hAnsi="Times New Roman" w:cs="Times New Roman"/>
                <w:color w:val="auto"/>
                <w:highlight w:val="none"/>
              </w:rPr>
            </w:pPr>
          </w:p>
        </w:tc>
      </w:tr>
    </w:tbl>
    <w:p w14:paraId="04451561">
      <w:pP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21217CD0">
      <w:pPr>
        <w:pStyle w:val="22"/>
        <w:keepNext w:val="0"/>
        <w:keepLines w:val="0"/>
        <w:pageBreakBefore w:val="0"/>
        <w:kinsoku/>
        <w:wordWrap/>
        <w:overflowPunct/>
        <w:topLinePunct w:val="0"/>
        <w:autoSpaceDE/>
        <w:autoSpaceDN/>
        <w:bidi w:val="0"/>
        <w:adjustRightInd w:val="0"/>
        <w:snapToGrid w:val="0"/>
        <w:spacing w:before="0" w:beforeAutospacing="0" w:after="0" w:afterAutospacing="0" w:line="480" w:lineRule="exact"/>
        <w:textAlignment w:val="auto"/>
        <w:outlineLvl w:val="0"/>
        <w:rPr>
          <w:rFonts w:hint="default" w:ascii="Times New Roman" w:hAnsi="Times New Roman" w:eastAsia="黑体" w:cs="Times New Roman"/>
          <w:snapToGrid w:val="0"/>
          <w:color w:val="auto"/>
          <w:sz w:val="32"/>
          <w:szCs w:val="32"/>
          <w:highlight w:val="none"/>
        </w:rPr>
      </w:pPr>
      <w:r>
        <w:rPr>
          <w:rFonts w:hint="default" w:ascii="Times New Roman" w:hAnsi="Times New Roman" w:eastAsia="黑体" w:cs="Times New Roman"/>
          <w:snapToGrid w:val="0"/>
          <w:color w:val="auto"/>
          <w:sz w:val="32"/>
          <w:szCs w:val="32"/>
          <w:highlight w:val="none"/>
        </w:rPr>
        <w:t>附表</w:t>
      </w:r>
    </w:p>
    <w:p w14:paraId="4CDD22A4">
      <w:pPr>
        <w:keepNext w:val="0"/>
        <w:keepLines w:val="0"/>
        <w:pageBreakBefore w:val="0"/>
        <w:kinsoku/>
        <w:wordWrap/>
        <w:overflowPunct/>
        <w:topLinePunct w:val="0"/>
        <w:autoSpaceDE/>
        <w:autoSpaceDN/>
        <w:bidi w:val="0"/>
        <w:spacing w:line="480" w:lineRule="exact"/>
        <w:jc w:val="center"/>
        <w:textAlignment w:val="auto"/>
        <w:rPr>
          <w:rFonts w:hint="default" w:ascii="Times New Roman" w:hAnsi="Times New Roman" w:cs="Times New Roman"/>
          <w:b/>
          <w:bCs/>
          <w:color w:val="auto"/>
          <w:sz w:val="28"/>
          <w:szCs w:val="28"/>
          <w:highlight w:val="none"/>
        </w:rPr>
      </w:pPr>
      <w:r>
        <w:rPr>
          <w:rFonts w:hint="default" w:ascii="Times New Roman" w:hAnsi="Times New Roman" w:cs="Times New Roman"/>
          <w:b/>
          <w:bCs/>
          <w:color w:val="auto"/>
          <w:sz w:val="28"/>
          <w:szCs w:val="28"/>
          <w:highlight w:val="none"/>
        </w:rPr>
        <w:t>建设项目污染物排放量汇总表</w:t>
      </w:r>
    </w:p>
    <w:tbl>
      <w:tblPr>
        <w:tblStyle w:val="2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04"/>
        <w:gridCol w:w="1081"/>
      </w:tblGrid>
      <w:tr w14:paraId="574C27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7FEB8CB6">
            <w:pPr>
              <w:pStyle w:val="37"/>
              <w:spacing w:beforeLines="0" w:afterLines="0" w:line="240" w:lineRule="auto"/>
              <w:jc w:val="righ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项目</w:t>
            </w:r>
          </w:p>
          <w:p w14:paraId="111FDC62">
            <w:pPr>
              <w:pStyle w:val="37"/>
              <w:spacing w:beforeLines="0" w:afterLines="0" w:line="240" w:lineRule="auto"/>
              <w:jc w:val="left"/>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分类</w:t>
            </w:r>
          </w:p>
        </w:tc>
        <w:tc>
          <w:tcPr>
            <w:tcW w:w="1417" w:type="dxa"/>
            <w:noWrap w:val="0"/>
            <w:tcMar>
              <w:left w:w="28" w:type="dxa"/>
              <w:right w:w="28" w:type="dxa"/>
            </w:tcMar>
            <w:vAlign w:val="center"/>
          </w:tcPr>
          <w:p w14:paraId="6BAEC9C7">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污染物名称</w:t>
            </w:r>
          </w:p>
        </w:tc>
        <w:tc>
          <w:tcPr>
            <w:tcW w:w="1701" w:type="dxa"/>
            <w:noWrap w:val="0"/>
            <w:tcMar>
              <w:left w:w="28" w:type="dxa"/>
              <w:right w:w="28" w:type="dxa"/>
            </w:tcMar>
            <w:vAlign w:val="center"/>
          </w:tcPr>
          <w:p w14:paraId="3DB69DC6">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53BC97A6">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1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①</w:t>
            </w:r>
            <w:r>
              <w:rPr>
                <w:rFonts w:hint="default" w:ascii="Times New Roman" w:hAnsi="Times New Roman" w:eastAsia="黑体" w:cs="Times New Roman"/>
                <w:snapToGrid w:val="0"/>
                <w:color w:val="auto"/>
                <w:spacing w:val="-6"/>
                <w:kern w:val="21"/>
                <w:szCs w:val="21"/>
                <w:highlight w:val="none"/>
              </w:rPr>
              <w:fldChar w:fldCharType="end"/>
            </w:r>
          </w:p>
        </w:tc>
        <w:tc>
          <w:tcPr>
            <w:tcW w:w="1276" w:type="dxa"/>
            <w:noWrap w:val="0"/>
            <w:tcMar>
              <w:left w:w="28" w:type="dxa"/>
              <w:right w:w="28" w:type="dxa"/>
            </w:tcMar>
            <w:vAlign w:val="center"/>
          </w:tcPr>
          <w:p w14:paraId="12C08E08">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现有工程</w:t>
            </w:r>
          </w:p>
          <w:p w14:paraId="7B16EBF7">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许可排放量</w:t>
            </w:r>
          </w:p>
          <w:p w14:paraId="4A8850A8">
            <w:pPr>
              <w:pStyle w:val="37"/>
              <w:spacing w:beforeLines="0" w:afterLines="0"/>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2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snapToGrid w:val="0"/>
                <w:color w:val="auto"/>
                <w:spacing w:val="-6"/>
                <w:kern w:val="21"/>
                <w:szCs w:val="21"/>
                <w:highlight w:val="none"/>
              </w:rPr>
              <w:t>②</w:t>
            </w:r>
            <w:r>
              <w:rPr>
                <w:rFonts w:hint="default" w:ascii="Times New Roman" w:hAnsi="Times New Roman" w:eastAsia="黑体" w:cs="Times New Roman"/>
                <w:snapToGrid w:val="0"/>
                <w:color w:val="auto"/>
                <w:spacing w:val="-6"/>
                <w:kern w:val="21"/>
                <w:szCs w:val="21"/>
                <w:highlight w:val="none"/>
              </w:rPr>
              <w:fldChar w:fldCharType="end"/>
            </w:r>
          </w:p>
        </w:tc>
        <w:tc>
          <w:tcPr>
            <w:tcW w:w="1701" w:type="dxa"/>
            <w:noWrap w:val="0"/>
            <w:tcMar>
              <w:left w:w="28" w:type="dxa"/>
              <w:right w:w="28" w:type="dxa"/>
            </w:tcMar>
            <w:vAlign w:val="center"/>
          </w:tcPr>
          <w:p w14:paraId="37E6E744">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在建工程</w:t>
            </w:r>
          </w:p>
          <w:p w14:paraId="6F1AC2F4">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3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③</w:t>
            </w:r>
            <w:r>
              <w:rPr>
                <w:rFonts w:hint="default" w:ascii="Times New Roman" w:hAnsi="Times New Roman" w:eastAsia="黑体" w:cs="Times New Roman"/>
                <w:snapToGrid w:val="0"/>
                <w:color w:val="auto"/>
                <w:spacing w:val="-6"/>
                <w:kern w:val="21"/>
                <w:szCs w:val="21"/>
                <w:highlight w:val="none"/>
              </w:rPr>
              <w:fldChar w:fldCharType="end"/>
            </w:r>
          </w:p>
        </w:tc>
        <w:tc>
          <w:tcPr>
            <w:tcW w:w="1559" w:type="dxa"/>
            <w:noWrap w:val="0"/>
            <w:tcMar>
              <w:left w:w="28" w:type="dxa"/>
              <w:right w:w="28" w:type="dxa"/>
            </w:tcMar>
            <w:vAlign w:val="center"/>
          </w:tcPr>
          <w:p w14:paraId="41D62B6D">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本项目</w:t>
            </w:r>
          </w:p>
          <w:p w14:paraId="0481B247">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排放量（固体废物产生量）</w:t>
            </w: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4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④</w:t>
            </w:r>
            <w:r>
              <w:rPr>
                <w:rFonts w:hint="default" w:ascii="Times New Roman" w:hAnsi="Times New Roman" w:eastAsia="黑体" w:cs="Times New Roman"/>
                <w:snapToGrid w:val="0"/>
                <w:color w:val="auto"/>
                <w:spacing w:val="-6"/>
                <w:kern w:val="21"/>
                <w:szCs w:val="21"/>
                <w:highlight w:val="none"/>
              </w:rPr>
              <w:fldChar w:fldCharType="end"/>
            </w:r>
          </w:p>
        </w:tc>
        <w:tc>
          <w:tcPr>
            <w:tcW w:w="1761" w:type="dxa"/>
            <w:noWrap w:val="0"/>
            <w:tcMar>
              <w:left w:w="28" w:type="dxa"/>
              <w:right w:w="28" w:type="dxa"/>
            </w:tcMar>
            <w:vAlign w:val="center"/>
          </w:tcPr>
          <w:p w14:paraId="7A947471">
            <w:pPr>
              <w:pStyle w:val="37"/>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以新带老削减量</w:t>
            </w:r>
          </w:p>
          <w:p w14:paraId="677204DB">
            <w:pPr>
              <w:pStyle w:val="37"/>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（新建项目不填）</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5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⑤</w:t>
            </w:r>
            <w:r>
              <w:rPr>
                <w:rFonts w:hint="default" w:ascii="Times New Roman" w:hAnsi="Times New Roman" w:eastAsia="黑体" w:cs="Times New Roman"/>
                <w:snapToGrid w:val="0"/>
                <w:color w:val="auto"/>
                <w:spacing w:val="-16"/>
                <w:kern w:val="21"/>
                <w:szCs w:val="21"/>
                <w:highlight w:val="none"/>
              </w:rPr>
              <w:fldChar w:fldCharType="end"/>
            </w:r>
          </w:p>
        </w:tc>
        <w:tc>
          <w:tcPr>
            <w:tcW w:w="1704" w:type="dxa"/>
            <w:noWrap w:val="0"/>
            <w:tcMar>
              <w:left w:w="28" w:type="dxa"/>
              <w:right w:w="28" w:type="dxa"/>
            </w:tcMar>
            <w:vAlign w:val="center"/>
          </w:tcPr>
          <w:p w14:paraId="702E294C">
            <w:pPr>
              <w:pStyle w:val="37"/>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本项目建成后</w:t>
            </w:r>
          </w:p>
          <w:p w14:paraId="00A99B70">
            <w:pPr>
              <w:pStyle w:val="37"/>
              <w:spacing w:beforeLines="0" w:afterLines="0" w:line="240" w:lineRule="auto"/>
              <w:rPr>
                <w:rFonts w:hint="default" w:ascii="Times New Roman" w:hAnsi="Times New Roman" w:eastAsia="黑体" w:cs="Times New Roman"/>
                <w:snapToGrid w:val="0"/>
                <w:color w:val="auto"/>
                <w:spacing w:val="-16"/>
                <w:kern w:val="21"/>
                <w:szCs w:val="21"/>
                <w:highlight w:val="none"/>
              </w:rPr>
            </w:pPr>
            <w:r>
              <w:rPr>
                <w:rFonts w:hint="default" w:ascii="Times New Roman" w:hAnsi="Times New Roman" w:eastAsia="黑体" w:cs="Times New Roman"/>
                <w:snapToGrid w:val="0"/>
                <w:color w:val="auto"/>
                <w:spacing w:val="-16"/>
                <w:kern w:val="21"/>
                <w:szCs w:val="21"/>
                <w:highlight w:val="none"/>
              </w:rPr>
              <w:t>全厂排放量（固体废物产生量）</w:t>
            </w:r>
            <w:r>
              <w:rPr>
                <w:rFonts w:hint="default" w:ascii="Times New Roman" w:hAnsi="Times New Roman" w:eastAsia="黑体" w:cs="Times New Roman"/>
                <w:snapToGrid w:val="0"/>
                <w:color w:val="auto"/>
                <w:spacing w:val="-16"/>
                <w:kern w:val="21"/>
                <w:szCs w:val="21"/>
                <w:highlight w:val="none"/>
              </w:rPr>
              <w:fldChar w:fldCharType="begin"/>
            </w:r>
            <w:r>
              <w:rPr>
                <w:rFonts w:hint="default" w:ascii="Times New Roman" w:hAnsi="Times New Roman" w:eastAsia="黑体" w:cs="Times New Roman"/>
                <w:snapToGrid w:val="0"/>
                <w:color w:val="auto"/>
                <w:spacing w:val="-16"/>
                <w:kern w:val="21"/>
                <w:szCs w:val="21"/>
                <w:highlight w:val="none"/>
              </w:rPr>
              <w:instrText xml:space="preserve"> = 6 \* GB3 \* MERGEFORMAT </w:instrText>
            </w:r>
            <w:r>
              <w:rPr>
                <w:rFonts w:hint="default" w:ascii="Times New Roman" w:hAnsi="Times New Roman" w:eastAsia="黑体" w:cs="Times New Roman"/>
                <w:snapToGrid w:val="0"/>
                <w:color w:val="auto"/>
                <w:spacing w:val="-16"/>
                <w:kern w:val="21"/>
                <w:szCs w:val="21"/>
                <w:highlight w:val="none"/>
              </w:rPr>
              <w:fldChar w:fldCharType="separate"/>
            </w:r>
            <w:r>
              <w:rPr>
                <w:rFonts w:hint="default" w:ascii="Times New Roman" w:hAnsi="Times New Roman" w:eastAsia="黑体" w:cs="Times New Roman"/>
                <w:color w:val="auto"/>
                <w:kern w:val="2"/>
                <w:szCs w:val="21"/>
                <w:highlight w:val="none"/>
              </w:rPr>
              <w:t>⑥</w:t>
            </w:r>
            <w:r>
              <w:rPr>
                <w:rFonts w:hint="default" w:ascii="Times New Roman" w:hAnsi="Times New Roman" w:eastAsia="黑体" w:cs="Times New Roman"/>
                <w:snapToGrid w:val="0"/>
                <w:color w:val="auto"/>
                <w:spacing w:val="-16"/>
                <w:kern w:val="21"/>
                <w:szCs w:val="21"/>
                <w:highlight w:val="none"/>
              </w:rPr>
              <w:fldChar w:fldCharType="end"/>
            </w:r>
          </w:p>
        </w:tc>
        <w:tc>
          <w:tcPr>
            <w:tcW w:w="1081" w:type="dxa"/>
            <w:noWrap w:val="0"/>
            <w:tcMar>
              <w:left w:w="28" w:type="dxa"/>
              <w:right w:w="28" w:type="dxa"/>
            </w:tcMar>
            <w:vAlign w:val="center"/>
          </w:tcPr>
          <w:p w14:paraId="50A0206E">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t>变化量</w:t>
            </w:r>
          </w:p>
          <w:p w14:paraId="52605854">
            <w:pPr>
              <w:pStyle w:val="37"/>
              <w:spacing w:beforeLines="0" w:afterLines="0" w:line="240" w:lineRule="auto"/>
              <w:rPr>
                <w:rFonts w:hint="default" w:ascii="Times New Roman" w:hAnsi="Times New Roman" w:eastAsia="黑体" w:cs="Times New Roman"/>
                <w:snapToGrid w:val="0"/>
                <w:color w:val="auto"/>
                <w:spacing w:val="-6"/>
                <w:kern w:val="21"/>
                <w:szCs w:val="21"/>
                <w:highlight w:val="none"/>
              </w:rPr>
            </w:pPr>
            <w:r>
              <w:rPr>
                <w:rFonts w:hint="default" w:ascii="Times New Roman" w:hAnsi="Times New Roman" w:eastAsia="黑体" w:cs="Times New Roman"/>
                <w:snapToGrid w:val="0"/>
                <w:color w:val="auto"/>
                <w:spacing w:val="-6"/>
                <w:kern w:val="21"/>
                <w:szCs w:val="21"/>
                <w:highlight w:val="none"/>
              </w:rPr>
              <w:fldChar w:fldCharType="begin"/>
            </w:r>
            <w:r>
              <w:rPr>
                <w:rFonts w:hint="default" w:ascii="Times New Roman" w:hAnsi="Times New Roman" w:eastAsia="黑体" w:cs="Times New Roman"/>
                <w:snapToGrid w:val="0"/>
                <w:color w:val="auto"/>
                <w:spacing w:val="-6"/>
                <w:kern w:val="21"/>
                <w:szCs w:val="21"/>
                <w:highlight w:val="none"/>
              </w:rPr>
              <w:instrText xml:space="preserve"> = 7 \* GB3 \* MERGEFORMAT </w:instrText>
            </w:r>
            <w:r>
              <w:rPr>
                <w:rFonts w:hint="default" w:ascii="Times New Roman" w:hAnsi="Times New Roman" w:eastAsia="黑体" w:cs="Times New Roman"/>
                <w:snapToGrid w:val="0"/>
                <w:color w:val="auto"/>
                <w:spacing w:val="-6"/>
                <w:kern w:val="21"/>
                <w:szCs w:val="21"/>
                <w:highlight w:val="none"/>
              </w:rPr>
              <w:fldChar w:fldCharType="separate"/>
            </w:r>
            <w:r>
              <w:rPr>
                <w:rFonts w:hint="default" w:ascii="Times New Roman" w:hAnsi="Times New Roman" w:eastAsia="黑体" w:cs="Times New Roman"/>
                <w:color w:val="auto"/>
                <w:kern w:val="2"/>
                <w:szCs w:val="21"/>
                <w:highlight w:val="none"/>
              </w:rPr>
              <w:t>⑦</w:t>
            </w:r>
            <w:r>
              <w:rPr>
                <w:rFonts w:hint="default" w:ascii="Times New Roman" w:hAnsi="Times New Roman" w:eastAsia="黑体" w:cs="Times New Roman"/>
                <w:snapToGrid w:val="0"/>
                <w:color w:val="auto"/>
                <w:spacing w:val="-6"/>
                <w:kern w:val="21"/>
                <w:szCs w:val="21"/>
                <w:highlight w:val="none"/>
              </w:rPr>
              <w:fldChar w:fldCharType="end"/>
            </w:r>
          </w:p>
        </w:tc>
      </w:tr>
      <w:tr w14:paraId="311B65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5EEF917C">
            <w:pPr>
              <w:pStyle w:val="37"/>
              <w:spacing w:beforeLines="0" w:afterLines="0" w:line="240" w:lineRule="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废气</w:t>
            </w:r>
          </w:p>
        </w:tc>
        <w:tc>
          <w:tcPr>
            <w:tcW w:w="1417" w:type="dxa"/>
            <w:noWrap w:val="0"/>
            <w:vAlign w:val="center"/>
          </w:tcPr>
          <w:p w14:paraId="53B9E217">
            <w:pPr>
              <w:pStyle w:val="37"/>
              <w:spacing w:beforeLines="0" w:afterLines="0" w:line="240" w:lineRule="auto"/>
              <w:rPr>
                <w:rFonts w:hint="default" w:ascii="Times New Roman" w:hAnsi="Times New Roman" w:eastAsia="宋体" w:cs="Times New Roman"/>
                <w:snapToGrid w:val="0"/>
                <w:color w:val="auto"/>
                <w:kern w:val="21"/>
                <w:sz w:val="18"/>
                <w:szCs w:val="18"/>
                <w:highlight w:val="none"/>
                <w:lang w:val="en-US" w:eastAsia="zh-CN"/>
              </w:rPr>
            </w:pPr>
            <w:r>
              <w:rPr>
                <w:rFonts w:hint="default" w:ascii="Times New Roman" w:hAnsi="Times New Roman" w:cs="Times New Roman"/>
                <w:color w:val="auto"/>
                <w:sz w:val="21"/>
                <w:szCs w:val="21"/>
                <w:highlight w:val="none"/>
                <w:lang w:val="en-US" w:eastAsia="zh-CN"/>
              </w:rPr>
              <w:t>非甲烷总烃</w:t>
            </w:r>
          </w:p>
        </w:tc>
        <w:tc>
          <w:tcPr>
            <w:tcW w:w="1701" w:type="dxa"/>
            <w:noWrap w:val="0"/>
            <w:vAlign w:val="center"/>
          </w:tcPr>
          <w:p w14:paraId="04C334A0">
            <w:pP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1.251</w:t>
            </w:r>
          </w:p>
        </w:tc>
        <w:tc>
          <w:tcPr>
            <w:tcW w:w="1276" w:type="dxa"/>
            <w:noWrap w:val="0"/>
            <w:vAlign w:val="center"/>
          </w:tcPr>
          <w:p w14:paraId="27BBB680">
            <w:pPr>
              <w:spacing w:line="240" w:lineRule="auto"/>
              <w:ind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1.251</w:t>
            </w:r>
          </w:p>
        </w:tc>
        <w:tc>
          <w:tcPr>
            <w:tcW w:w="1701" w:type="dxa"/>
            <w:noWrap w:val="0"/>
            <w:vAlign w:val="center"/>
          </w:tcPr>
          <w:p w14:paraId="588933DC">
            <w:pPr>
              <w:pStyle w:val="37"/>
              <w:spacing w:beforeLines="0" w:afterLines="0" w:line="240" w:lineRule="auto"/>
              <w:rPr>
                <w:rFonts w:hint="default" w:ascii="Times New Roman" w:hAnsi="Times New Roman" w:cs="Times New Roman"/>
                <w:snapToGrid w:val="0"/>
                <w:color w:val="auto"/>
                <w:kern w:val="21"/>
                <w:sz w:val="21"/>
                <w:szCs w:val="21"/>
                <w:highlight w:val="none"/>
              </w:rPr>
            </w:pPr>
          </w:p>
        </w:tc>
        <w:tc>
          <w:tcPr>
            <w:tcW w:w="1559" w:type="dxa"/>
            <w:noWrap w:val="0"/>
            <w:vAlign w:val="center"/>
          </w:tcPr>
          <w:p w14:paraId="40E7312A">
            <w:pPr>
              <w:spacing w:line="240" w:lineRule="auto"/>
              <w:ind w:firstLine="0" w:firstLineChars="0"/>
              <w:jc w:val="center"/>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bCs/>
                <w:color w:val="auto"/>
                <w:sz w:val="21"/>
                <w:szCs w:val="21"/>
                <w:highlight w:val="none"/>
                <w:lang w:val="en-US" w:eastAsia="zh-CN"/>
              </w:rPr>
              <w:t>2.025</w:t>
            </w:r>
          </w:p>
        </w:tc>
        <w:tc>
          <w:tcPr>
            <w:tcW w:w="1761" w:type="dxa"/>
            <w:noWrap w:val="0"/>
            <w:vAlign w:val="center"/>
          </w:tcPr>
          <w:p w14:paraId="05C6ACBF">
            <w:pPr>
              <w:keepNext w:val="0"/>
              <w:keepLines w:val="0"/>
              <w:pageBreakBefore w:val="0"/>
              <w:kinsoku/>
              <w:wordWrap/>
              <w:overflowPunct/>
              <w:autoSpaceDE/>
              <w:autoSpaceDN/>
              <w:bidi w:val="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1.251</w:t>
            </w:r>
          </w:p>
        </w:tc>
        <w:tc>
          <w:tcPr>
            <w:tcW w:w="1704" w:type="dxa"/>
            <w:noWrap w:val="0"/>
            <w:vAlign w:val="center"/>
          </w:tcPr>
          <w:p w14:paraId="7CEDF989">
            <w:pPr>
              <w:spacing w:line="240" w:lineRule="auto"/>
              <w:ind w:firstLine="0" w:firstLineChars="0"/>
              <w:jc w:val="center"/>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bCs/>
                <w:color w:val="auto"/>
                <w:sz w:val="21"/>
                <w:szCs w:val="21"/>
                <w:highlight w:val="none"/>
                <w:lang w:val="en-US" w:eastAsia="zh-CN"/>
              </w:rPr>
              <w:t>2.025</w:t>
            </w:r>
          </w:p>
        </w:tc>
        <w:tc>
          <w:tcPr>
            <w:tcW w:w="1081" w:type="dxa"/>
            <w:noWrap w:val="0"/>
            <w:vAlign w:val="center"/>
          </w:tcPr>
          <w:p w14:paraId="0CE55093">
            <w:pPr>
              <w:spacing w:line="240" w:lineRule="auto"/>
              <w:ind w:firstLine="0" w:firstLineChars="0"/>
              <w:jc w:val="center"/>
              <w:rPr>
                <w:rFonts w:hint="default" w:ascii="Times New Roman" w:hAnsi="Times New Roman" w:cs="Times New Roman"/>
                <w:snapToGrid w:val="0"/>
                <w:color w:val="auto"/>
                <w:kern w:val="21"/>
                <w:sz w:val="21"/>
                <w:szCs w:val="21"/>
                <w:highlight w:val="none"/>
                <w:lang w:val="en-US"/>
              </w:rPr>
            </w:pPr>
            <w:r>
              <w:rPr>
                <w:rFonts w:hint="default" w:ascii="Times New Roman" w:hAnsi="Times New Roman" w:cs="Times New Roman"/>
                <w:bCs/>
                <w:color w:val="auto"/>
                <w:sz w:val="21"/>
                <w:szCs w:val="21"/>
                <w:highlight w:val="none"/>
                <w:lang w:val="en-US" w:eastAsia="zh-CN"/>
              </w:rPr>
              <w:t>+2.11</w:t>
            </w:r>
          </w:p>
        </w:tc>
      </w:tr>
      <w:tr w14:paraId="4911B6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588" w:type="dxa"/>
            <w:noWrap w:val="0"/>
            <w:vAlign w:val="center"/>
          </w:tcPr>
          <w:p w14:paraId="6FBF19A2">
            <w:pPr>
              <w:pStyle w:val="37"/>
              <w:spacing w:beforeLines="0" w:afterLines="0" w:line="240" w:lineRule="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废水</w:t>
            </w:r>
          </w:p>
        </w:tc>
        <w:tc>
          <w:tcPr>
            <w:tcW w:w="1417" w:type="dxa"/>
            <w:noWrap w:val="0"/>
            <w:vAlign w:val="center"/>
          </w:tcPr>
          <w:p w14:paraId="5CC16A22">
            <w:pPr>
              <w:pStyle w:val="37"/>
              <w:tabs>
                <w:tab w:val="left" w:pos="512"/>
              </w:tabs>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rPr>
              <w:t>生活污水</w:t>
            </w:r>
          </w:p>
        </w:tc>
        <w:tc>
          <w:tcPr>
            <w:tcW w:w="1701" w:type="dxa"/>
            <w:noWrap w:val="0"/>
            <w:vAlign w:val="center"/>
          </w:tcPr>
          <w:p w14:paraId="393FBD17">
            <w:pPr>
              <w:pStyle w:val="37"/>
              <w:keepNext w:val="0"/>
              <w:keepLines w:val="0"/>
              <w:pageBreakBefore w:val="0"/>
              <w:kinsoku/>
              <w:wordWrap/>
              <w:overflowPunct/>
              <w:autoSpaceDE/>
              <w:autoSpaceDN/>
              <w:bidi w:val="0"/>
              <w:adjustRightInd/>
              <w:spacing w:beforeLines="0" w:afterLines="0" w:line="240" w:lineRule="auto"/>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342</w:t>
            </w:r>
          </w:p>
        </w:tc>
        <w:tc>
          <w:tcPr>
            <w:tcW w:w="1276" w:type="dxa"/>
            <w:noWrap w:val="0"/>
            <w:vAlign w:val="center"/>
          </w:tcPr>
          <w:p w14:paraId="5EDADB85">
            <w:pPr>
              <w:pStyle w:val="37"/>
              <w:keepNext w:val="0"/>
              <w:keepLines w:val="0"/>
              <w:pageBreakBefore w:val="0"/>
              <w:kinsoku/>
              <w:wordWrap/>
              <w:overflowPunct/>
              <w:autoSpaceDE/>
              <w:autoSpaceDN/>
              <w:bidi w:val="0"/>
              <w:adjustRightInd/>
              <w:spacing w:beforeLines="0" w:afterLines="0" w:line="240" w:lineRule="auto"/>
              <w:ind w:left="420" w:leftChars="0" w:hanging="420" w:hangingChars="200"/>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eastAsia="宋体" w:cs="Times New Roman"/>
                <w:color w:val="auto"/>
                <w:kern w:val="2"/>
                <w:sz w:val="21"/>
                <w:szCs w:val="21"/>
                <w:highlight w:val="none"/>
                <w:lang w:val="en-US" w:eastAsia="zh-CN" w:bidi="ar-SA"/>
              </w:rPr>
              <w:t>342</w:t>
            </w:r>
          </w:p>
        </w:tc>
        <w:tc>
          <w:tcPr>
            <w:tcW w:w="1701" w:type="dxa"/>
            <w:noWrap w:val="0"/>
            <w:vAlign w:val="center"/>
          </w:tcPr>
          <w:p w14:paraId="01491540">
            <w:pPr>
              <w:pStyle w:val="37"/>
              <w:spacing w:beforeLines="0" w:afterLines="0" w:line="240" w:lineRule="auto"/>
              <w:rPr>
                <w:rFonts w:hint="default" w:ascii="Times New Roman" w:hAnsi="Times New Roman" w:cs="Times New Roman"/>
                <w:snapToGrid w:val="0"/>
                <w:color w:val="auto"/>
                <w:kern w:val="21"/>
                <w:sz w:val="21"/>
                <w:szCs w:val="21"/>
                <w:highlight w:val="none"/>
              </w:rPr>
            </w:pPr>
          </w:p>
        </w:tc>
        <w:tc>
          <w:tcPr>
            <w:tcW w:w="1559" w:type="dxa"/>
            <w:noWrap w:val="0"/>
            <w:vAlign w:val="center"/>
          </w:tcPr>
          <w:p w14:paraId="7DC3B459">
            <w:pPr>
              <w:keepNext w:val="0"/>
              <w:keepLines w:val="0"/>
              <w:pageBreakBefore w:val="0"/>
              <w:kinsoku/>
              <w:wordWrap/>
              <w:overflowPunct/>
              <w:autoSpaceDE/>
              <w:autoSpaceDN/>
              <w:bidi w:val="0"/>
              <w:adjustRightInd w:val="0"/>
              <w:snapToGrid w:val="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0</w:t>
            </w:r>
          </w:p>
        </w:tc>
        <w:tc>
          <w:tcPr>
            <w:tcW w:w="1761" w:type="dxa"/>
            <w:noWrap w:val="0"/>
            <w:vAlign w:val="center"/>
          </w:tcPr>
          <w:p w14:paraId="52730E65">
            <w:pPr>
              <w:keepNext w:val="0"/>
              <w:keepLines w:val="0"/>
              <w:pageBreakBefore w:val="0"/>
              <w:kinsoku/>
              <w:wordWrap/>
              <w:overflowPunct/>
              <w:autoSpaceDE/>
              <w:autoSpaceDN/>
              <w:bidi w:val="0"/>
              <w:jc w:val="center"/>
              <w:textAlignment w:val="auto"/>
              <w:rPr>
                <w:rFonts w:hint="default" w:ascii="Times New Roman" w:hAnsi="Times New Roman" w:cs="Times New Roman"/>
                <w:snapToGrid w:val="0"/>
                <w:color w:val="auto"/>
                <w:kern w:val="21"/>
                <w:sz w:val="21"/>
                <w:szCs w:val="21"/>
                <w:highlight w:val="none"/>
              </w:rPr>
            </w:pPr>
          </w:p>
        </w:tc>
        <w:tc>
          <w:tcPr>
            <w:tcW w:w="1704" w:type="dxa"/>
            <w:noWrap w:val="0"/>
            <w:vAlign w:val="center"/>
          </w:tcPr>
          <w:p w14:paraId="55EB8202">
            <w:pPr>
              <w:keepNext w:val="0"/>
              <w:keepLines w:val="0"/>
              <w:pageBreakBefore w:val="0"/>
              <w:kinsoku/>
              <w:wordWrap/>
              <w:overflowPunct/>
              <w:autoSpaceDE/>
              <w:autoSpaceDN/>
              <w:bidi w:val="0"/>
              <w:adjustRightInd/>
              <w:spacing w:beforeLines="0" w:afterLines="0" w:line="240" w:lineRule="auto"/>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cs="Times New Roman"/>
                <w:snapToGrid w:val="0"/>
                <w:color w:val="auto"/>
                <w:kern w:val="21"/>
                <w:sz w:val="21"/>
                <w:szCs w:val="21"/>
                <w:highlight w:val="none"/>
                <w:lang w:val="en-US" w:eastAsia="zh-CN"/>
              </w:rPr>
              <w:t>342</w:t>
            </w:r>
          </w:p>
        </w:tc>
        <w:tc>
          <w:tcPr>
            <w:tcW w:w="1081" w:type="dxa"/>
            <w:shd w:val="clear" w:color="auto" w:fill="auto"/>
            <w:noWrap w:val="0"/>
            <w:vAlign w:val="center"/>
          </w:tcPr>
          <w:p w14:paraId="1FA904C9">
            <w:pPr>
              <w:keepNext w:val="0"/>
              <w:keepLines w:val="0"/>
              <w:pageBreakBefore w:val="0"/>
              <w:kinsoku/>
              <w:wordWrap/>
              <w:overflowPunct/>
              <w:autoSpaceDE/>
              <w:autoSpaceDN/>
              <w:bidi w:val="0"/>
              <w:adjustRightInd w:val="0"/>
              <w:snapToGrid w:val="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cs="Times New Roman"/>
                <w:snapToGrid w:val="0"/>
                <w:color w:val="auto"/>
                <w:kern w:val="21"/>
                <w:sz w:val="21"/>
                <w:szCs w:val="21"/>
                <w:highlight w:val="none"/>
                <w:lang w:val="en-US" w:eastAsia="zh-CN"/>
              </w:rPr>
              <w:t>0</w:t>
            </w:r>
          </w:p>
        </w:tc>
      </w:tr>
      <w:tr w14:paraId="02429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5CE3C5B0">
            <w:pPr>
              <w:pStyle w:val="37"/>
              <w:spacing w:beforeLines="0" w:afterLines="0" w:line="240" w:lineRule="auto"/>
              <w:rPr>
                <w:rFonts w:hint="default" w:ascii="Times New Roman" w:hAnsi="Times New Roman" w:cs="Times New Roman"/>
                <w:snapToGrid w:val="0"/>
                <w:color w:val="auto"/>
                <w:kern w:val="21"/>
                <w:sz w:val="21"/>
                <w:szCs w:val="21"/>
                <w:highlight w:val="none"/>
              </w:rPr>
            </w:pPr>
            <w:r>
              <w:rPr>
                <w:rFonts w:hint="default" w:ascii="Times New Roman" w:hAnsi="Times New Roman" w:cs="Times New Roman"/>
                <w:snapToGrid w:val="0"/>
                <w:color w:val="auto"/>
                <w:kern w:val="21"/>
                <w:sz w:val="21"/>
                <w:szCs w:val="21"/>
                <w:highlight w:val="none"/>
              </w:rPr>
              <w:t>固体废物</w:t>
            </w:r>
          </w:p>
        </w:tc>
        <w:tc>
          <w:tcPr>
            <w:tcW w:w="1417" w:type="dxa"/>
            <w:noWrap w:val="0"/>
            <w:vAlign w:val="center"/>
          </w:tcPr>
          <w:p w14:paraId="6955A37F">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rPr>
              <w:t>废铁屑</w:t>
            </w:r>
          </w:p>
        </w:tc>
        <w:tc>
          <w:tcPr>
            <w:tcW w:w="1701" w:type="dxa"/>
            <w:shd w:val="clear" w:color="auto" w:fill="auto"/>
            <w:noWrap w:val="0"/>
            <w:vAlign w:val="center"/>
          </w:tcPr>
          <w:p w14:paraId="7E201D45">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1276" w:type="dxa"/>
            <w:shd w:val="clear" w:color="auto" w:fill="auto"/>
            <w:noWrap w:val="0"/>
            <w:vAlign w:val="center"/>
          </w:tcPr>
          <w:p w14:paraId="4C88E38D">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1701" w:type="dxa"/>
            <w:shd w:val="clear" w:color="auto" w:fill="auto"/>
            <w:noWrap w:val="0"/>
            <w:vAlign w:val="center"/>
          </w:tcPr>
          <w:p w14:paraId="7EFAF1A9">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14:paraId="23C478E7">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snapToGrid w:val="0"/>
                <w:color w:val="auto"/>
                <w:kern w:val="21"/>
                <w:sz w:val="21"/>
                <w:szCs w:val="21"/>
                <w:highlight w:val="none"/>
              </w:rPr>
            </w:pPr>
            <w:r>
              <w:rPr>
                <w:rFonts w:hint="default" w:ascii="Times New Roman" w:hAnsi="Times New Roman" w:eastAsia="宋体" w:cs="Times New Roman"/>
                <w:color w:val="auto"/>
                <w:sz w:val="21"/>
                <w:szCs w:val="21"/>
                <w:highlight w:val="none"/>
                <w:lang w:val="en-US" w:eastAsia="zh-CN"/>
              </w:rPr>
              <w:t>0</w:t>
            </w:r>
          </w:p>
        </w:tc>
        <w:tc>
          <w:tcPr>
            <w:tcW w:w="1761" w:type="dxa"/>
            <w:noWrap w:val="0"/>
            <w:vAlign w:val="center"/>
          </w:tcPr>
          <w:p w14:paraId="4BA8B969">
            <w:pPr>
              <w:keepNext w:val="0"/>
              <w:keepLines w:val="0"/>
              <w:pageBreakBefore w:val="0"/>
              <w:kinsoku/>
              <w:wordWrap/>
              <w:overflowPunct/>
              <w:autoSpaceDE/>
              <w:autoSpaceDN/>
              <w:bidi w:val="0"/>
              <w:jc w:val="center"/>
              <w:textAlignment w:val="auto"/>
              <w:rPr>
                <w:rFonts w:hint="default" w:ascii="Times New Roman" w:hAnsi="Times New Roman" w:cs="Times New Roman"/>
                <w:snapToGrid w:val="0"/>
                <w:color w:val="auto"/>
                <w:kern w:val="21"/>
                <w:sz w:val="21"/>
                <w:szCs w:val="21"/>
                <w:highlight w:val="none"/>
              </w:rPr>
            </w:pPr>
          </w:p>
        </w:tc>
        <w:tc>
          <w:tcPr>
            <w:tcW w:w="1704" w:type="dxa"/>
            <w:shd w:val="clear" w:color="auto" w:fill="auto"/>
            <w:noWrap w:val="0"/>
            <w:vAlign w:val="center"/>
          </w:tcPr>
          <w:p w14:paraId="7EB84455">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0.1</w:t>
            </w:r>
          </w:p>
        </w:tc>
        <w:tc>
          <w:tcPr>
            <w:tcW w:w="1081" w:type="dxa"/>
            <w:shd w:val="clear" w:color="auto" w:fill="auto"/>
            <w:noWrap w:val="0"/>
            <w:vAlign w:val="center"/>
          </w:tcPr>
          <w:p w14:paraId="58E45F64">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r>
      <w:tr w14:paraId="26982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DED4057">
            <w:pPr>
              <w:pStyle w:val="37"/>
              <w:spacing w:beforeLines="0" w:afterLines="0" w:line="240" w:lineRule="auto"/>
              <w:rPr>
                <w:rFonts w:hint="default" w:ascii="Times New Roman" w:hAnsi="Times New Roman" w:cs="Times New Roman"/>
                <w:snapToGrid w:val="0"/>
                <w:color w:val="auto"/>
                <w:kern w:val="21"/>
                <w:szCs w:val="21"/>
                <w:highlight w:val="none"/>
              </w:rPr>
            </w:pPr>
          </w:p>
        </w:tc>
        <w:tc>
          <w:tcPr>
            <w:tcW w:w="1417" w:type="dxa"/>
            <w:noWrap w:val="0"/>
            <w:vAlign w:val="center"/>
          </w:tcPr>
          <w:p w14:paraId="72F94953">
            <w:pPr>
              <w:pStyle w:val="37"/>
              <w:keepNext w:val="0"/>
              <w:keepLines w:val="0"/>
              <w:pageBreakBefore w:val="0"/>
              <w:widowControl w:val="0"/>
              <w:kinsoku/>
              <w:wordWrap/>
              <w:overflowPunct/>
              <w:topLinePunct w:val="0"/>
              <w:bidi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color w:val="auto"/>
                <w:sz w:val="21"/>
                <w:szCs w:val="21"/>
                <w:highlight w:val="none"/>
              </w:rPr>
              <w:t>石块和非塑料物质</w:t>
            </w:r>
          </w:p>
        </w:tc>
        <w:tc>
          <w:tcPr>
            <w:tcW w:w="1701" w:type="dxa"/>
            <w:shd w:val="clear" w:color="auto" w:fill="auto"/>
            <w:noWrap w:val="0"/>
            <w:vAlign w:val="center"/>
          </w:tcPr>
          <w:p w14:paraId="296697C7">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6.891</w:t>
            </w:r>
          </w:p>
        </w:tc>
        <w:tc>
          <w:tcPr>
            <w:tcW w:w="1276" w:type="dxa"/>
            <w:shd w:val="clear" w:color="auto" w:fill="auto"/>
            <w:noWrap w:val="0"/>
            <w:vAlign w:val="center"/>
          </w:tcPr>
          <w:p w14:paraId="4B1CAFC8">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6.891</w:t>
            </w:r>
          </w:p>
        </w:tc>
        <w:tc>
          <w:tcPr>
            <w:tcW w:w="1701" w:type="dxa"/>
            <w:shd w:val="clear" w:color="auto" w:fill="auto"/>
            <w:noWrap w:val="0"/>
            <w:vAlign w:val="center"/>
          </w:tcPr>
          <w:p w14:paraId="250ECA30">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14:paraId="1B1C1F4F">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761" w:type="dxa"/>
            <w:noWrap w:val="0"/>
            <w:vAlign w:val="center"/>
          </w:tcPr>
          <w:p w14:paraId="7C4A2C8D">
            <w:pPr>
              <w:keepNext w:val="0"/>
              <w:keepLines w:val="0"/>
              <w:pageBreakBefore w:val="0"/>
              <w:kinsoku/>
              <w:wordWrap/>
              <w:overflowPunct/>
              <w:topLinePunct w:val="0"/>
              <w:bidi w:val="0"/>
              <w:spacing w:line="240" w:lineRule="auto"/>
              <w:ind w:right="-105" w:rightChars="-50"/>
              <w:jc w:val="center"/>
              <w:textAlignment w:val="auto"/>
              <w:rPr>
                <w:rFonts w:hint="default" w:ascii="Times New Roman" w:hAnsi="Times New Roman" w:cs="Times New Roman"/>
                <w:snapToGrid w:val="0"/>
                <w:color w:val="auto"/>
                <w:kern w:val="21"/>
                <w:sz w:val="21"/>
                <w:szCs w:val="21"/>
                <w:highlight w:val="none"/>
              </w:rPr>
            </w:pPr>
          </w:p>
        </w:tc>
        <w:tc>
          <w:tcPr>
            <w:tcW w:w="1704" w:type="dxa"/>
            <w:shd w:val="clear" w:color="auto" w:fill="auto"/>
            <w:noWrap w:val="0"/>
            <w:vAlign w:val="center"/>
          </w:tcPr>
          <w:p w14:paraId="079154F6">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6.891</w:t>
            </w:r>
          </w:p>
        </w:tc>
        <w:tc>
          <w:tcPr>
            <w:tcW w:w="1081" w:type="dxa"/>
            <w:shd w:val="clear" w:color="auto" w:fill="auto"/>
            <w:noWrap w:val="0"/>
            <w:vAlign w:val="center"/>
          </w:tcPr>
          <w:p w14:paraId="5F784BAF">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snapToGrid w:val="0"/>
                <w:color w:val="auto"/>
                <w:kern w:val="21"/>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r>
      <w:tr w14:paraId="7125EB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F96AC56">
            <w:pPr>
              <w:pStyle w:val="37"/>
              <w:spacing w:beforeLines="0" w:afterLines="0" w:line="240" w:lineRule="auto"/>
              <w:rPr>
                <w:rFonts w:hint="default" w:ascii="Times New Roman" w:hAnsi="Times New Roman" w:cs="Times New Roman"/>
                <w:snapToGrid w:val="0"/>
                <w:color w:val="auto"/>
                <w:kern w:val="21"/>
                <w:szCs w:val="21"/>
                <w:highlight w:val="none"/>
              </w:rPr>
            </w:pPr>
          </w:p>
        </w:tc>
        <w:tc>
          <w:tcPr>
            <w:tcW w:w="1417" w:type="dxa"/>
            <w:noWrap w:val="0"/>
            <w:vAlign w:val="center"/>
          </w:tcPr>
          <w:p w14:paraId="7B161121">
            <w:pPr>
              <w:pStyle w:val="37"/>
              <w:keepNext w:val="0"/>
              <w:keepLines w:val="0"/>
              <w:pageBreakBefore w:val="0"/>
              <w:widowControl w:val="0"/>
              <w:kinsoku/>
              <w:wordWrap/>
              <w:overflowPunct/>
              <w:topLinePunct w:val="0"/>
              <w:bidi w:val="0"/>
              <w:spacing w:beforeLines="0" w:afterLines="0" w:line="240" w:lineRule="auto"/>
              <w:ind w:left="0" w:leftChars="0" w:firstLine="0" w:firstLineChars="0"/>
              <w:jc w:val="center"/>
              <w:textAlignment w:val="auto"/>
              <w:rPr>
                <w:rFonts w:hint="default" w:ascii="Times New Roman" w:hAnsi="Times New Roman" w:eastAsia="宋体" w:cs="Times New Roman"/>
                <w:snapToGrid w:val="0"/>
                <w:color w:val="auto"/>
                <w:kern w:val="21"/>
                <w:szCs w:val="21"/>
                <w:highlight w:val="none"/>
                <w:lang w:val="en-US" w:eastAsia="zh-CN"/>
              </w:rPr>
            </w:pPr>
            <w:r>
              <w:rPr>
                <w:rFonts w:hint="default" w:ascii="Times New Roman" w:hAnsi="Times New Roman" w:eastAsia="宋体" w:cs="Times New Roman"/>
                <w:color w:val="auto"/>
                <w:sz w:val="21"/>
                <w:szCs w:val="21"/>
                <w:highlight w:val="none"/>
              </w:rPr>
              <w:t>生活垃圾</w:t>
            </w:r>
          </w:p>
        </w:tc>
        <w:tc>
          <w:tcPr>
            <w:tcW w:w="1701" w:type="dxa"/>
            <w:shd w:val="clear" w:color="auto" w:fill="auto"/>
            <w:noWrap w:val="0"/>
            <w:vAlign w:val="center"/>
          </w:tcPr>
          <w:p w14:paraId="4202B9FC">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5.25</w:t>
            </w:r>
          </w:p>
        </w:tc>
        <w:tc>
          <w:tcPr>
            <w:tcW w:w="1276" w:type="dxa"/>
            <w:shd w:val="clear" w:color="auto" w:fill="auto"/>
            <w:noWrap w:val="0"/>
            <w:vAlign w:val="center"/>
          </w:tcPr>
          <w:p w14:paraId="4403E625">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5.25</w:t>
            </w:r>
          </w:p>
        </w:tc>
        <w:tc>
          <w:tcPr>
            <w:tcW w:w="1701" w:type="dxa"/>
            <w:shd w:val="clear" w:color="auto" w:fill="auto"/>
            <w:noWrap w:val="0"/>
            <w:vAlign w:val="center"/>
          </w:tcPr>
          <w:p w14:paraId="7CB57DD4">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14:paraId="22425552">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761" w:type="dxa"/>
            <w:noWrap w:val="0"/>
            <w:vAlign w:val="center"/>
          </w:tcPr>
          <w:p w14:paraId="42602B05">
            <w:pPr>
              <w:keepNext w:val="0"/>
              <w:keepLines w:val="0"/>
              <w:pageBreakBefore w:val="0"/>
              <w:kinsoku/>
              <w:wordWrap/>
              <w:overflowPunct/>
              <w:topLinePunct w:val="0"/>
              <w:bidi w:val="0"/>
              <w:spacing w:line="240" w:lineRule="auto"/>
              <w:ind w:right="-105" w:rightChars="-50"/>
              <w:jc w:val="center"/>
              <w:textAlignment w:val="auto"/>
              <w:rPr>
                <w:rFonts w:hint="default" w:ascii="Times New Roman" w:hAnsi="Times New Roman" w:cs="Times New Roman"/>
                <w:snapToGrid w:val="0"/>
                <w:color w:val="auto"/>
                <w:kern w:val="21"/>
                <w:sz w:val="21"/>
                <w:szCs w:val="21"/>
                <w:highlight w:val="none"/>
              </w:rPr>
            </w:pPr>
          </w:p>
        </w:tc>
        <w:tc>
          <w:tcPr>
            <w:tcW w:w="1704" w:type="dxa"/>
            <w:shd w:val="clear" w:color="auto" w:fill="auto"/>
            <w:noWrap w:val="0"/>
            <w:vAlign w:val="center"/>
          </w:tcPr>
          <w:p w14:paraId="387A6FB1">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5.25</w:t>
            </w:r>
          </w:p>
        </w:tc>
        <w:tc>
          <w:tcPr>
            <w:tcW w:w="1081" w:type="dxa"/>
            <w:shd w:val="clear" w:color="auto" w:fill="auto"/>
            <w:noWrap w:val="0"/>
            <w:vAlign w:val="center"/>
          </w:tcPr>
          <w:p w14:paraId="796258BD">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r>
      <w:tr w14:paraId="05F818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EE698C2">
            <w:pPr>
              <w:pStyle w:val="37"/>
              <w:spacing w:beforeLines="0" w:afterLines="0" w:line="240" w:lineRule="auto"/>
              <w:rPr>
                <w:rFonts w:hint="default" w:ascii="Times New Roman" w:hAnsi="Times New Roman" w:cs="Times New Roman"/>
                <w:snapToGrid w:val="0"/>
                <w:color w:val="auto"/>
                <w:kern w:val="21"/>
                <w:szCs w:val="21"/>
                <w:highlight w:val="none"/>
              </w:rPr>
            </w:pPr>
          </w:p>
        </w:tc>
        <w:tc>
          <w:tcPr>
            <w:tcW w:w="1417" w:type="dxa"/>
            <w:noWrap w:val="0"/>
            <w:vAlign w:val="center"/>
          </w:tcPr>
          <w:p w14:paraId="55F13945">
            <w:pPr>
              <w:pStyle w:val="37"/>
              <w:keepNext w:val="0"/>
              <w:keepLines w:val="0"/>
              <w:pageBreakBefore w:val="0"/>
              <w:widowControl w:val="0"/>
              <w:kinsoku/>
              <w:wordWrap/>
              <w:overflowPunct/>
              <w:topLinePunct w:val="0"/>
              <w:bidi w:val="0"/>
              <w:spacing w:beforeLines="0" w:afterLines="0" w:line="240" w:lineRule="auto"/>
              <w:ind w:left="0" w:leftChars="0" w:firstLine="0" w:firstLineChars="0"/>
              <w:jc w:val="center"/>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 w:val="21"/>
                <w:szCs w:val="21"/>
                <w:highlight w:val="none"/>
              </w:rPr>
              <w:t>沉淀池污泥</w:t>
            </w:r>
          </w:p>
        </w:tc>
        <w:tc>
          <w:tcPr>
            <w:tcW w:w="1701" w:type="dxa"/>
            <w:shd w:val="clear" w:color="auto" w:fill="auto"/>
            <w:noWrap w:val="0"/>
            <w:vAlign w:val="center"/>
          </w:tcPr>
          <w:p w14:paraId="222C9FF3">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276" w:type="dxa"/>
            <w:shd w:val="clear" w:color="auto" w:fill="auto"/>
            <w:noWrap w:val="0"/>
            <w:vAlign w:val="center"/>
          </w:tcPr>
          <w:p w14:paraId="1BE281CE">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701" w:type="dxa"/>
            <w:shd w:val="clear" w:color="auto" w:fill="auto"/>
            <w:noWrap w:val="0"/>
            <w:vAlign w:val="center"/>
          </w:tcPr>
          <w:p w14:paraId="226D6914">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14:paraId="24BD7421">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p>
        </w:tc>
        <w:tc>
          <w:tcPr>
            <w:tcW w:w="1761" w:type="dxa"/>
            <w:noWrap w:val="0"/>
            <w:vAlign w:val="center"/>
          </w:tcPr>
          <w:p w14:paraId="2E92DFD0">
            <w:pPr>
              <w:keepNext w:val="0"/>
              <w:keepLines w:val="0"/>
              <w:pageBreakBefore w:val="0"/>
              <w:kinsoku/>
              <w:wordWrap/>
              <w:overflowPunct/>
              <w:topLinePunct w:val="0"/>
              <w:bidi w:val="0"/>
              <w:spacing w:line="240" w:lineRule="auto"/>
              <w:ind w:right="-105" w:rightChars="-50"/>
              <w:jc w:val="center"/>
              <w:textAlignment w:val="auto"/>
              <w:rPr>
                <w:rFonts w:hint="default" w:ascii="Times New Roman" w:hAnsi="Times New Roman" w:cs="Times New Roman"/>
                <w:snapToGrid w:val="0"/>
                <w:color w:val="auto"/>
                <w:kern w:val="21"/>
                <w:sz w:val="21"/>
                <w:szCs w:val="21"/>
                <w:highlight w:val="none"/>
              </w:rPr>
            </w:pPr>
          </w:p>
        </w:tc>
        <w:tc>
          <w:tcPr>
            <w:tcW w:w="1704" w:type="dxa"/>
            <w:shd w:val="clear" w:color="auto" w:fill="auto"/>
            <w:noWrap w:val="0"/>
            <w:vAlign w:val="center"/>
          </w:tcPr>
          <w:p w14:paraId="6D473472">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10</w:t>
            </w:r>
          </w:p>
        </w:tc>
        <w:tc>
          <w:tcPr>
            <w:tcW w:w="1081" w:type="dxa"/>
            <w:shd w:val="clear" w:color="auto" w:fill="auto"/>
            <w:noWrap w:val="0"/>
            <w:vAlign w:val="center"/>
          </w:tcPr>
          <w:p w14:paraId="49279CC9">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r>
      <w:tr w14:paraId="79981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1E3AD5B">
            <w:pPr>
              <w:pStyle w:val="37"/>
              <w:spacing w:beforeLines="0" w:afterLines="0" w:line="240" w:lineRule="auto"/>
              <w:rPr>
                <w:rFonts w:hint="default" w:ascii="Times New Roman" w:hAnsi="Times New Roman" w:cs="Times New Roman"/>
                <w:snapToGrid w:val="0"/>
                <w:color w:val="auto"/>
                <w:kern w:val="21"/>
                <w:szCs w:val="21"/>
                <w:highlight w:val="none"/>
              </w:rPr>
            </w:pPr>
          </w:p>
        </w:tc>
        <w:tc>
          <w:tcPr>
            <w:tcW w:w="1417" w:type="dxa"/>
            <w:noWrap w:val="0"/>
            <w:vAlign w:val="center"/>
          </w:tcPr>
          <w:p w14:paraId="1F2C4517">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sz w:val="21"/>
                <w:szCs w:val="21"/>
                <w:highlight w:val="none"/>
              </w:rPr>
              <w:t>废弃活性炭</w:t>
            </w:r>
          </w:p>
        </w:tc>
        <w:tc>
          <w:tcPr>
            <w:tcW w:w="1701" w:type="dxa"/>
            <w:shd w:val="clear" w:color="auto" w:fill="auto"/>
            <w:noWrap w:val="0"/>
            <w:vAlign w:val="center"/>
          </w:tcPr>
          <w:p w14:paraId="2971886F">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2.5</w:t>
            </w:r>
          </w:p>
        </w:tc>
        <w:tc>
          <w:tcPr>
            <w:tcW w:w="1276" w:type="dxa"/>
            <w:shd w:val="clear" w:color="auto" w:fill="auto"/>
            <w:noWrap w:val="0"/>
            <w:vAlign w:val="center"/>
          </w:tcPr>
          <w:p w14:paraId="6557EB91">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2.5</w:t>
            </w:r>
          </w:p>
        </w:tc>
        <w:tc>
          <w:tcPr>
            <w:tcW w:w="1701" w:type="dxa"/>
            <w:shd w:val="clear" w:color="auto" w:fill="auto"/>
            <w:noWrap w:val="0"/>
            <w:vAlign w:val="center"/>
          </w:tcPr>
          <w:p w14:paraId="53309BE2">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14:paraId="1AA80B8E">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0.27</w:t>
            </w:r>
          </w:p>
        </w:tc>
        <w:tc>
          <w:tcPr>
            <w:tcW w:w="1761" w:type="dxa"/>
            <w:noWrap w:val="0"/>
            <w:vAlign w:val="center"/>
          </w:tcPr>
          <w:p w14:paraId="44D24AA7">
            <w:pPr>
              <w:keepNext w:val="0"/>
              <w:keepLines w:val="0"/>
              <w:pageBreakBefore w:val="0"/>
              <w:kinsoku/>
              <w:wordWrap/>
              <w:overflowPunct/>
              <w:topLinePunct w:val="0"/>
              <w:bidi w:val="0"/>
              <w:spacing w:line="240" w:lineRule="auto"/>
              <w:ind w:right="-105" w:rightChars="-50"/>
              <w:jc w:val="center"/>
              <w:textAlignment w:val="auto"/>
              <w:rPr>
                <w:rFonts w:hint="default" w:ascii="Times New Roman" w:hAnsi="Times New Roman" w:cs="Times New Roman"/>
                <w:snapToGrid w:val="0"/>
                <w:color w:val="auto"/>
                <w:kern w:val="21"/>
                <w:sz w:val="21"/>
                <w:szCs w:val="21"/>
                <w:highlight w:val="none"/>
              </w:rPr>
            </w:pPr>
          </w:p>
        </w:tc>
        <w:tc>
          <w:tcPr>
            <w:tcW w:w="1704" w:type="dxa"/>
            <w:shd w:val="clear" w:color="auto" w:fill="auto"/>
            <w:noWrap w:val="0"/>
            <w:vAlign w:val="center"/>
          </w:tcPr>
          <w:p w14:paraId="50433DC1">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2.77</w:t>
            </w:r>
          </w:p>
        </w:tc>
        <w:tc>
          <w:tcPr>
            <w:tcW w:w="1081" w:type="dxa"/>
            <w:shd w:val="clear" w:color="auto" w:fill="auto"/>
            <w:noWrap w:val="0"/>
            <w:vAlign w:val="center"/>
          </w:tcPr>
          <w:p w14:paraId="7A0401B4">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+0.27</w:t>
            </w:r>
          </w:p>
        </w:tc>
      </w:tr>
      <w:tr w14:paraId="5C9D3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D395669">
            <w:pPr>
              <w:pStyle w:val="37"/>
              <w:spacing w:beforeLines="0" w:afterLines="0" w:line="240" w:lineRule="auto"/>
              <w:rPr>
                <w:rFonts w:hint="default" w:ascii="Times New Roman" w:hAnsi="Times New Roman" w:cs="Times New Roman"/>
                <w:snapToGrid w:val="0"/>
                <w:color w:val="auto"/>
                <w:kern w:val="21"/>
                <w:szCs w:val="21"/>
                <w:highlight w:val="none"/>
              </w:rPr>
            </w:pPr>
          </w:p>
        </w:tc>
        <w:tc>
          <w:tcPr>
            <w:tcW w:w="1417" w:type="dxa"/>
            <w:noWrap w:val="0"/>
            <w:vAlign w:val="center"/>
          </w:tcPr>
          <w:p w14:paraId="45F5BADC">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废</w:t>
            </w:r>
            <w:r>
              <w:rPr>
                <w:rFonts w:hint="default" w:ascii="Times New Roman" w:hAnsi="Times New Roman" w:cs="Times New Roman"/>
                <w:color w:val="auto"/>
                <w:sz w:val="21"/>
                <w:szCs w:val="21"/>
                <w:highlight w:val="none"/>
                <w:lang w:val="en-US" w:eastAsia="zh-CN"/>
              </w:rPr>
              <w:t>机油</w:t>
            </w:r>
          </w:p>
        </w:tc>
        <w:tc>
          <w:tcPr>
            <w:tcW w:w="1701" w:type="dxa"/>
            <w:shd w:val="clear" w:color="auto" w:fill="auto"/>
            <w:noWrap w:val="0"/>
            <w:vAlign w:val="center"/>
          </w:tcPr>
          <w:p w14:paraId="222586FB">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1276" w:type="dxa"/>
            <w:shd w:val="clear" w:color="auto" w:fill="auto"/>
            <w:noWrap w:val="0"/>
            <w:vAlign w:val="center"/>
          </w:tcPr>
          <w:p w14:paraId="2B3EE9C7">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0</w:t>
            </w:r>
          </w:p>
        </w:tc>
        <w:tc>
          <w:tcPr>
            <w:tcW w:w="1701" w:type="dxa"/>
            <w:shd w:val="clear" w:color="auto" w:fill="auto"/>
            <w:noWrap w:val="0"/>
            <w:vAlign w:val="center"/>
          </w:tcPr>
          <w:p w14:paraId="12AC0AB4">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14:paraId="65E5DC92">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0.05</w:t>
            </w:r>
          </w:p>
        </w:tc>
        <w:tc>
          <w:tcPr>
            <w:tcW w:w="1761" w:type="dxa"/>
            <w:noWrap w:val="0"/>
            <w:vAlign w:val="center"/>
          </w:tcPr>
          <w:p w14:paraId="6F487E31">
            <w:pPr>
              <w:keepNext w:val="0"/>
              <w:keepLines w:val="0"/>
              <w:pageBreakBefore w:val="0"/>
              <w:kinsoku/>
              <w:wordWrap/>
              <w:overflowPunct/>
              <w:topLinePunct w:val="0"/>
              <w:bidi w:val="0"/>
              <w:spacing w:line="240" w:lineRule="auto"/>
              <w:ind w:right="-105" w:rightChars="-50"/>
              <w:jc w:val="center"/>
              <w:textAlignment w:val="auto"/>
              <w:rPr>
                <w:rFonts w:hint="default" w:ascii="Times New Roman" w:hAnsi="Times New Roman" w:cs="Times New Roman"/>
                <w:snapToGrid w:val="0"/>
                <w:color w:val="auto"/>
                <w:kern w:val="21"/>
                <w:sz w:val="21"/>
                <w:szCs w:val="21"/>
                <w:highlight w:val="none"/>
              </w:rPr>
            </w:pPr>
          </w:p>
        </w:tc>
        <w:tc>
          <w:tcPr>
            <w:tcW w:w="1704" w:type="dxa"/>
            <w:shd w:val="clear" w:color="auto" w:fill="auto"/>
            <w:noWrap w:val="0"/>
            <w:vAlign w:val="center"/>
          </w:tcPr>
          <w:p w14:paraId="24828F42">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0.05</w:t>
            </w:r>
          </w:p>
        </w:tc>
        <w:tc>
          <w:tcPr>
            <w:tcW w:w="1081" w:type="dxa"/>
            <w:shd w:val="clear" w:color="auto" w:fill="auto"/>
            <w:noWrap w:val="0"/>
            <w:vAlign w:val="center"/>
          </w:tcPr>
          <w:p w14:paraId="3469BFEE">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0.05</w:t>
            </w:r>
          </w:p>
        </w:tc>
      </w:tr>
      <w:tr w14:paraId="0D639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6D8F8E2">
            <w:pPr>
              <w:pStyle w:val="37"/>
              <w:spacing w:beforeLines="0" w:afterLines="0" w:line="240" w:lineRule="auto"/>
              <w:rPr>
                <w:rFonts w:hint="default" w:ascii="Times New Roman" w:hAnsi="Times New Roman" w:cs="Times New Roman"/>
                <w:snapToGrid w:val="0"/>
                <w:color w:val="auto"/>
                <w:kern w:val="21"/>
                <w:szCs w:val="21"/>
                <w:highlight w:val="none"/>
              </w:rPr>
            </w:pPr>
          </w:p>
        </w:tc>
        <w:tc>
          <w:tcPr>
            <w:tcW w:w="1417" w:type="dxa"/>
            <w:noWrap w:val="0"/>
            <w:vAlign w:val="center"/>
          </w:tcPr>
          <w:p w14:paraId="7F06B73B">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废催化剂</w:t>
            </w:r>
          </w:p>
        </w:tc>
        <w:tc>
          <w:tcPr>
            <w:tcW w:w="1701" w:type="dxa"/>
            <w:shd w:val="clear" w:color="auto" w:fill="auto"/>
            <w:noWrap w:val="0"/>
            <w:vAlign w:val="center"/>
          </w:tcPr>
          <w:p w14:paraId="01A4C888">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c>
          <w:tcPr>
            <w:tcW w:w="1276" w:type="dxa"/>
            <w:shd w:val="clear" w:color="auto" w:fill="auto"/>
            <w:noWrap w:val="0"/>
            <w:vAlign w:val="center"/>
          </w:tcPr>
          <w:p w14:paraId="13FEF481">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w:t>
            </w:r>
          </w:p>
        </w:tc>
        <w:tc>
          <w:tcPr>
            <w:tcW w:w="1701" w:type="dxa"/>
            <w:shd w:val="clear" w:color="auto" w:fill="auto"/>
            <w:noWrap w:val="0"/>
            <w:vAlign w:val="center"/>
          </w:tcPr>
          <w:p w14:paraId="73D8A707">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559" w:type="dxa"/>
            <w:noWrap w:val="0"/>
            <w:vAlign w:val="center"/>
          </w:tcPr>
          <w:p w14:paraId="59BB1878">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lang w:val="en-US" w:eastAsia="zh-CN"/>
              </w:rPr>
              <w:t>0.25</w:t>
            </w:r>
          </w:p>
        </w:tc>
        <w:tc>
          <w:tcPr>
            <w:tcW w:w="1761" w:type="dxa"/>
            <w:noWrap w:val="0"/>
            <w:vAlign w:val="center"/>
          </w:tcPr>
          <w:p w14:paraId="2D506397">
            <w:pPr>
              <w:keepNext w:val="0"/>
              <w:keepLines w:val="0"/>
              <w:pageBreakBefore w:val="0"/>
              <w:kinsoku/>
              <w:wordWrap/>
              <w:overflowPunct/>
              <w:topLinePunct w:val="0"/>
              <w:bidi w:val="0"/>
              <w:spacing w:line="240" w:lineRule="auto"/>
              <w:ind w:right="-105" w:rightChars="-50"/>
              <w:jc w:val="center"/>
              <w:textAlignment w:val="auto"/>
              <w:rPr>
                <w:rFonts w:hint="default" w:ascii="Times New Roman" w:hAnsi="Times New Roman" w:cs="Times New Roman"/>
                <w:snapToGrid w:val="0"/>
                <w:color w:val="auto"/>
                <w:kern w:val="21"/>
                <w:sz w:val="21"/>
                <w:szCs w:val="21"/>
                <w:highlight w:val="none"/>
              </w:rPr>
            </w:pPr>
          </w:p>
        </w:tc>
        <w:tc>
          <w:tcPr>
            <w:tcW w:w="1704" w:type="dxa"/>
            <w:shd w:val="clear" w:color="auto" w:fill="auto"/>
            <w:noWrap w:val="0"/>
            <w:vAlign w:val="center"/>
          </w:tcPr>
          <w:p w14:paraId="6030519A">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0.25</w:t>
            </w:r>
          </w:p>
        </w:tc>
        <w:tc>
          <w:tcPr>
            <w:tcW w:w="1081" w:type="dxa"/>
            <w:shd w:val="clear" w:color="auto" w:fill="auto"/>
            <w:noWrap w:val="0"/>
            <w:vAlign w:val="center"/>
          </w:tcPr>
          <w:p w14:paraId="3C8E4C7E">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+0.25</w:t>
            </w:r>
          </w:p>
        </w:tc>
      </w:tr>
      <w:tr w14:paraId="1E54B5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E186B84">
            <w:pPr>
              <w:pStyle w:val="37"/>
              <w:spacing w:beforeLines="0" w:afterLines="0" w:line="240" w:lineRule="auto"/>
              <w:rPr>
                <w:rFonts w:hint="default" w:ascii="Times New Roman" w:hAnsi="Times New Roman" w:cs="Times New Roman"/>
                <w:snapToGrid w:val="0"/>
                <w:color w:val="auto"/>
                <w:kern w:val="21"/>
                <w:szCs w:val="21"/>
                <w:highlight w:val="none"/>
              </w:rPr>
            </w:pPr>
          </w:p>
        </w:tc>
        <w:tc>
          <w:tcPr>
            <w:tcW w:w="1417" w:type="dxa"/>
            <w:noWrap w:val="0"/>
            <w:vAlign w:val="center"/>
          </w:tcPr>
          <w:p w14:paraId="148C31B3">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不合格产品</w:t>
            </w:r>
          </w:p>
        </w:tc>
        <w:tc>
          <w:tcPr>
            <w:tcW w:w="1701" w:type="dxa"/>
            <w:shd w:val="clear" w:color="auto" w:fill="auto"/>
            <w:noWrap w:val="0"/>
            <w:vAlign w:val="center"/>
          </w:tcPr>
          <w:p w14:paraId="363CDB1A">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8.4</w:t>
            </w:r>
          </w:p>
        </w:tc>
        <w:tc>
          <w:tcPr>
            <w:tcW w:w="1276" w:type="dxa"/>
            <w:shd w:val="clear" w:color="auto" w:fill="auto"/>
            <w:noWrap w:val="0"/>
            <w:vAlign w:val="center"/>
          </w:tcPr>
          <w:p w14:paraId="6813C0D6">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8.4</w:t>
            </w:r>
          </w:p>
        </w:tc>
        <w:tc>
          <w:tcPr>
            <w:tcW w:w="1701" w:type="dxa"/>
            <w:shd w:val="clear" w:color="auto" w:fill="auto"/>
            <w:noWrap w:val="0"/>
            <w:vAlign w:val="center"/>
          </w:tcPr>
          <w:p w14:paraId="0A005F3B">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c>
          <w:tcPr>
            <w:tcW w:w="1559" w:type="dxa"/>
            <w:noWrap w:val="0"/>
            <w:vAlign w:val="center"/>
          </w:tcPr>
          <w:p w14:paraId="191B2D38">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761" w:type="dxa"/>
            <w:noWrap w:val="0"/>
            <w:vAlign w:val="center"/>
          </w:tcPr>
          <w:p w14:paraId="08F65765">
            <w:pPr>
              <w:keepNext w:val="0"/>
              <w:keepLines w:val="0"/>
              <w:pageBreakBefore w:val="0"/>
              <w:kinsoku/>
              <w:wordWrap/>
              <w:overflowPunct/>
              <w:topLinePunct w:val="0"/>
              <w:bidi w:val="0"/>
              <w:spacing w:line="240" w:lineRule="auto"/>
              <w:ind w:right="-105" w:rightChars="-50"/>
              <w:jc w:val="center"/>
              <w:textAlignment w:val="auto"/>
              <w:rPr>
                <w:rFonts w:hint="default" w:ascii="Times New Roman" w:hAnsi="Times New Roman" w:cs="Times New Roman"/>
                <w:snapToGrid w:val="0"/>
                <w:color w:val="auto"/>
                <w:kern w:val="21"/>
                <w:sz w:val="21"/>
                <w:szCs w:val="21"/>
                <w:highlight w:val="none"/>
              </w:rPr>
            </w:pPr>
          </w:p>
        </w:tc>
        <w:tc>
          <w:tcPr>
            <w:tcW w:w="1704" w:type="dxa"/>
            <w:shd w:val="clear" w:color="auto" w:fill="auto"/>
            <w:noWrap w:val="0"/>
            <w:vAlign w:val="center"/>
          </w:tcPr>
          <w:p w14:paraId="28474E5D">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13.4</w:t>
            </w:r>
          </w:p>
        </w:tc>
        <w:tc>
          <w:tcPr>
            <w:tcW w:w="1081" w:type="dxa"/>
            <w:shd w:val="clear" w:color="auto" w:fill="auto"/>
            <w:noWrap w:val="0"/>
            <w:vAlign w:val="center"/>
          </w:tcPr>
          <w:p w14:paraId="22060C2E">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r>
      <w:tr w14:paraId="34A0C3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392F801">
            <w:pPr>
              <w:pStyle w:val="37"/>
              <w:spacing w:beforeLines="0" w:afterLines="0" w:line="240" w:lineRule="auto"/>
              <w:rPr>
                <w:rFonts w:hint="default" w:ascii="Times New Roman" w:hAnsi="Times New Roman" w:cs="Times New Roman"/>
                <w:snapToGrid w:val="0"/>
                <w:color w:val="auto"/>
                <w:kern w:val="21"/>
                <w:szCs w:val="21"/>
                <w:highlight w:val="none"/>
              </w:rPr>
            </w:pPr>
          </w:p>
        </w:tc>
        <w:tc>
          <w:tcPr>
            <w:tcW w:w="1417" w:type="dxa"/>
            <w:noWrap w:val="0"/>
            <w:vAlign w:val="center"/>
          </w:tcPr>
          <w:p w14:paraId="405E0806">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废包装袋</w:t>
            </w:r>
          </w:p>
        </w:tc>
        <w:tc>
          <w:tcPr>
            <w:tcW w:w="1701" w:type="dxa"/>
            <w:shd w:val="clear" w:color="auto" w:fill="auto"/>
            <w:noWrap w:val="0"/>
            <w:vAlign w:val="center"/>
          </w:tcPr>
          <w:p w14:paraId="12BD776B">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1276" w:type="dxa"/>
            <w:shd w:val="clear" w:color="auto" w:fill="auto"/>
            <w:noWrap w:val="0"/>
            <w:vAlign w:val="center"/>
          </w:tcPr>
          <w:p w14:paraId="0004624D">
            <w:pPr>
              <w:keepNext w:val="0"/>
              <w:keepLines w:val="0"/>
              <w:pageBreakBefore w:val="0"/>
              <w:widowControl w:val="0"/>
              <w:kinsoku/>
              <w:wordWrap/>
              <w:overflowPunct/>
              <w:topLinePunct w:val="0"/>
              <w:bidi w:val="0"/>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1.5</w:t>
            </w:r>
          </w:p>
        </w:tc>
        <w:tc>
          <w:tcPr>
            <w:tcW w:w="1701" w:type="dxa"/>
            <w:shd w:val="clear" w:color="auto" w:fill="auto"/>
            <w:noWrap w:val="0"/>
            <w:vAlign w:val="center"/>
          </w:tcPr>
          <w:p w14:paraId="0201D6F4">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p>
        </w:tc>
        <w:tc>
          <w:tcPr>
            <w:tcW w:w="1559" w:type="dxa"/>
            <w:noWrap w:val="0"/>
            <w:vAlign w:val="center"/>
          </w:tcPr>
          <w:p w14:paraId="18334E53">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 w:val="21"/>
                <w:szCs w:val="21"/>
                <w:highlight w:val="none"/>
                <w:lang w:val="en-US" w:eastAsia="zh-CN"/>
              </w:rPr>
              <w:t>5</w:t>
            </w:r>
          </w:p>
        </w:tc>
        <w:tc>
          <w:tcPr>
            <w:tcW w:w="1761" w:type="dxa"/>
            <w:noWrap w:val="0"/>
            <w:vAlign w:val="center"/>
          </w:tcPr>
          <w:p w14:paraId="675BCFB7">
            <w:pPr>
              <w:keepNext w:val="0"/>
              <w:keepLines w:val="0"/>
              <w:pageBreakBefore w:val="0"/>
              <w:kinsoku/>
              <w:wordWrap/>
              <w:overflowPunct/>
              <w:topLinePunct w:val="0"/>
              <w:bidi w:val="0"/>
              <w:spacing w:line="240" w:lineRule="auto"/>
              <w:ind w:right="-105" w:rightChars="-50"/>
              <w:jc w:val="center"/>
              <w:textAlignment w:val="auto"/>
              <w:rPr>
                <w:rFonts w:hint="default" w:ascii="Times New Roman" w:hAnsi="Times New Roman" w:cs="Times New Roman"/>
                <w:snapToGrid w:val="0"/>
                <w:color w:val="auto"/>
                <w:kern w:val="21"/>
                <w:sz w:val="21"/>
                <w:szCs w:val="21"/>
                <w:highlight w:val="none"/>
              </w:rPr>
            </w:pPr>
          </w:p>
        </w:tc>
        <w:tc>
          <w:tcPr>
            <w:tcW w:w="1704" w:type="dxa"/>
            <w:shd w:val="clear" w:color="auto" w:fill="auto"/>
            <w:noWrap w:val="0"/>
            <w:vAlign w:val="center"/>
          </w:tcPr>
          <w:p w14:paraId="5562E50B">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6.5</w:t>
            </w:r>
          </w:p>
        </w:tc>
        <w:tc>
          <w:tcPr>
            <w:tcW w:w="1081" w:type="dxa"/>
            <w:shd w:val="clear" w:color="auto" w:fill="auto"/>
            <w:noWrap w:val="0"/>
            <w:vAlign w:val="center"/>
          </w:tcPr>
          <w:p w14:paraId="15CA2405">
            <w:pPr>
              <w:pStyle w:val="37"/>
              <w:keepNext w:val="0"/>
              <w:keepLines w:val="0"/>
              <w:pageBreakBefore w:val="0"/>
              <w:widowControl w:val="0"/>
              <w:kinsoku/>
              <w:wordWrap/>
              <w:overflowPunct/>
              <w:topLinePunct w:val="0"/>
              <w:bidi w:val="0"/>
              <w:spacing w:beforeLines="0" w:afterLines="0" w:line="240" w:lineRule="auto"/>
              <w:ind w:left="0" w:leftChars="0" w:firstLine="0" w:firstLineChars="0"/>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+5</w:t>
            </w:r>
          </w:p>
        </w:tc>
      </w:tr>
    </w:tbl>
    <w:p w14:paraId="6E225FE7">
      <w:pPr>
        <w:pStyle w:val="37"/>
        <w:spacing w:before="192" w:beforeLines="80" w:after="24"/>
        <w:ind w:left="0" w:leftChars="0" w:firstLine="0" w:firstLineChars="0"/>
        <w:jc w:val="left"/>
        <w:rPr>
          <w:rFonts w:hint="default" w:ascii="Times New Roman" w:hAnsi="Times New Roman" w:cs="Times New Roman"/>
          <w:color w:val="auto"/>
          <w:highlight w:val="none"/>
        </w:rPr>
        <w:sectPr>
          <w:footerReference r:id="rId5"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r>
        <w:rPr>
          <w:rFonts w:hint="default" w:ascii="Times New Roman" w:hAnsi="Times New Roman" w:cs="Times New Roman"/>
          <w:snapToGrid w:val="0"/>
          <w:color w:val="auto"/>
          <w:kern w:val="21"/>
          <w:szCs w:val="21"/>
          <w:highlight w:val="none"/>
        </w:rPr>
        <w:t>注：</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3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③</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4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④</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5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⑤</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7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⑦</w:t>
      </w:r>
      <w:r>
        <w:rPr>
          <w:rFonts w:hint="default" w:ascii="Times New Roman" w:hAnsi="Times New Roman" w:cs="Times New Roman"/>
          <w:snapToGrid w:val="0"/>
          <w:color w:val="auto"/>
          <w:spacing w:val="-6"/>
          <w:kern w:val="21"/>
          <w:szCs w:val="21"/>
          <w:highlight w:val="none"/>
        </w:rPr>
        <w:fldChar w:fldCharType="end"/>
      </w:r>
      <w:r>
        <w:rPr>
          <w:rFonts w:hint="default" w:ascii="Times New Roman" w:hAnsi="Times New Roman" w:cs="Times New Roman"/>
          <w:snapToGrid w:val="0"/>
          <w:color w:val="auto"/>
          <w:spacing w:val="-6"/>
          <w:kern w:val="21"/>
          <w:szCs w:val="21"/>
          <w:highlight w:val="none"/>
        </w:rPr>
        <w:t>=</w:t>
      </w:r>
      <w:r>
        <w:rPr>
          <w:rFonts w:hint="default" w:ascii="Times New Roman" w:hAnsi="Times New Roman" w:cs="Times New Roman"/>
          <w:snapToGrid w:val="0"/>
          <w:color w:val="auto"/>
          <w:spacing w:val="-16"/>
          <w:kern w:val="21"/>
          <w:szCs w:val="21"/>
          <w:highlight w:val="none"/>
        </w:rPr>
        <w:fldChar w:fldCharType="begin"/>
      </w:r>
      <w:r>
        <w:rPr>
          <w:rFonts w:hint="default" w:ascii="Times New Roman" w:hAnsi="Times New Roman" w:cs="Times New Roman"/>
          <w:snapToGrid w:val="0"/>
          <w:color w:val="auto"/>
          <w:spacing w:val="-16"/>
          <w:kern w:val="21"/>
          <w:szCs w:val="21"/>
          <w:highlight w:val="none"/>
        </w:rPr>
        <w:instrText xml:space="preserve"> = 6 \* GB3 \* MERGEFORMAT </w:instrText>
      </w:r>
      <w:r>
        <w:rPr>
          <w:rFonts w:hint="default" w:ascii="Times New Roman" w:hAnsi="Times New Roman" w:cs="Times New Roman"/>
          <w:snapToGrid w:val="0"/>
          <w:color w:val="auto"/>
          <w:spacing w:val="-16"/>
          <w:kern w:val="21"/>
          <w:szCs w:val="21"/>
          <w:highlight w:val="none"/>
        </w:rPr>
        <w:fldChar w:fldCharType="separate"/>
      </w:r>
      <w:r>
        <w:rPr>
          <w:rFonts w:hint="default" w:ascii="Times New Roman" w:hAnsi="Times New Roman" w:cs="Times New Roman"/>
          <w:color w:val="auto"/>
          <w:szCs w:val="21"/>
          <w:highlight w:val="none"/>
        </w:rPr>
        <w:t>⑥</w:t>
      </w:r>
      <w:r>
        <w:rPr>
          <w:rFonts w:hint="default" w:ascii="Times New Roman" w:hAnsi="Times New Roman" w:cs="Times New Roman"/>
          <w:snapToGrid w:val="0"/>
          <w:color w:val="auto"/>
          <w:spacing w:val="-16"/>
          <w:kern w:val="21"/>
          <w:szCs w:val="21"/>
          <w:highlight w:val="none"/>
        </w:rPr>
        <w:fldChar w:fldCharType="end"/>
      </w:r>
      <w:r>
        <w:rPr>
          <w:rFonts w:hint="default" w:ascii="Times New Roman" w:hAnsi="Times New Roman" w:cs="Times New Roman"/>
          <w:snapToGrid w:val="0"/>
          <w:color w:val="auto"/>
          <w:spacing w:val="-16"/>
          <w:kern w:val="21"/>
          <w:szCs w:val="21"/>
          <w:highlight w:val="none"/>
        </w:rPr>
        <w:t>-</w:t>
      </w:r>
      <w:r>
        <w:rPr>
          <w:rFonts w:hint="default" w:ascii="Times New Roman" w:hAnsi="Times New Roman" w:cs="Times New Roman"/>
          <w:snapToGrid w:val="0"/>
          <w:color w:val="auto"/>
          <w:spacing w:val="-6"/>
          <w:kern w:val="21"/>
          <w:szCs w:val="21"/>
          <w:highlight w:val="none"/>
        </w:rPr>
        <w:fldChar w:fldCharType="begin"/>
      </w:r>
      <w:r>
        <w:rPr>
          <w:rFonts w:hint="default" w:ascii="Times New Roman" w:hAnsi="Times New Roman" w:cs="Times New Roman"/>
          <w:snapToGrid w:val="0"/>
          <w:color w:val="auto"/>
          <w:spacing w:val="-6"/>
          <w:kern w:val="21"/>
          <w:szCs w:val="21"/>
          <w:highlight w:val="none"/>
        </w:rPr>
        <w:instrText xml:space="preserve"> = 1 \* GB3 \* MERGEFORMAT </w:instrText>
      </w:r>
      <w:r>
        <w:rPr>
          <w:rFonts w:hint="default" w:ascii="Times New Roman" w:hAnsi="Times New Roman" w:cs="Times New Roman"/>
          <w:snapToGrid w:val="0"/>
          <w:color w:val="auto"/>
          <w:spacing w:val="-6"/>
          <w:kern w:val="21"/>
          <w:szCs w:val="21"/>
          <w:highlight w:val="none"/>
        </w:rPr>
        <w:fldChar w:fldCharType="separate"/>
      </w:r>
      <w:r>
        <w:rPr>
          <w:rFonts w:hint="default" w:ascii="Times New Roman" w:hAnsi="Times New Roman" w:cs="Times New Roman"/>
          <w:color w:val="auto"/>
          <w:szCs w:val="21"/>
          <w:highlight w:val="none"/>
        </w:rPr>
        <w:t>①</w:t>
      </w:r>
      <w:r>
        <w:rPr>
          <w:rFonts w:hint="default" w:ascii="Times New Roman" w:hAnsi="Times New Roman" w:cs="Times New Roman"/>
          <w:snapToGrid w:val="0"/>
          <w:color w:val="auto"/>
          <w:spacing w:val="-6"/>
          <w:kern w:val="21"/>
          <w:szCs w:val="21"/>
          <w:highlight w:val="none"/>
        </w:rPr>
        <w:fldChar w:fldCharType="end"/>
      </w:r>
    </w:p>
    <w:p w14:paraId="07091ABC">
      <w:pPr>
        <w:rPr>
          <w:rFonts w:hint="default" w:ascii="Times New Roman" w:hAnsi="Times New Roman" w:cs="Times New Roman"/>
          <w:color w:val="auto"/>
          <w:highlight w:val="none"/>
          <w:lang w:val="en-US" w:eastAsia="zh-CN"/>
        </w:rPr>
      </w:pPr>
    </w:p>
    <w:sectPr>
      <w:footerReference r:id="rId6" w:type="default"/>
      <w:pgSz w:w="11906" w:h="16838"/>
      <w:pgMar w:top="1406" w:right="1440" w:bottom="1519"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02"/>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9EB4A8F-A962-4A1F-81AF-D134F756BC1D}"/>
  </w:font>
  <w:font w:name="Arial">
    <w:panose1 w:val="020B0604020202020204"/>
    <w:charset w:val="01"/>
    <w:family w:val="swiss"/>
    <w:pitch w:val="default"/>
    <w:sig w:usb0="E0002EFF" w:usb1="C000785B" w:usb2="00000009" w:usb3="00000000" w:csb0="400001FF" w:csb1="FFFF0000"/>
    <w:embedRegular r:id="rId2" w:fontKey="{82A24E5F-F104-43FA-A8B5-4F44693A446E}"/>
  </w:font>
  <w:font w:name="黑体">
    <w:panose1 w:val="02010609060101010101"/>
    <w:charset w:val="86"/>
    <w:family w:val="auto"/>
    <w:pitch w:val="default"/>
    <w:sig w:usb0="800002BF" w:usb1="38CF7CFA" w:usb2="00000016" w:usb3="00000000" w:csb0="00040001" w:csb1="00000000"/>
    <w:embedRegular r:id="rId3" w:fontKey="{E72315D6-5932-4E5C-8539-E4A78AACE34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3A02EFCF-3D48-4355-A1FD-09AB65F2C9CF}"/>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Verdana">
    <w:panose1 w:val="020B0604030504040204"/>
    <w:charset w:val="00"/>
    <w:family w:val="swiss"/>
    <w:pitch w:val="default"/>
    <w:sig w:usb0="A00006FF" w:usb1="4000205B" w:usb2="00000010" w:usb3="00000000" w:csb0="2000019F" w:csb1="00000000"/>
  </w:font>
  <w:font w:name="方正仿宋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embedRegular r:id="rId5" w:fontKey="{9003FA17-C9CD-454F-94E5-9C78AB0FBE95}"/>
  </w:font>
  <w:font w:name="方正小标宋_GBK">
    <w:panose1 w:val="03000509000000000000"/>
    <w:charset w:val="86"/>
    <w:family w:val="script"/>
    <w:pitch w:val="default"/>
    <w:sig w:usb0="00000001" w:usb1="080E0000" w:usb2="00000000" w:usb3="00000000" w:csb0="00040000" w:csb1="00000000"/>
    <w:embedRegular r:id="rId6" w:fontKey="{CBFF37B7-E1E7-47F0-95CF-E4902C6021A3}"/>
  </w:font>
  <w:font w:name="Segoe UI">
    <w:panose1 w:val="020B0502040204020203"/>
    <w:charset w:val="00"/>
    <w:family w:val="auto"/>
    <w:pitch w:val="default"/>
    <w:sig w:usb0="E4002EFF" w:usb1="C000E47F" w:usb2="00000009" w:usb3="00000000" w:csb0="200001FF" w:csb1="00000000"/>
    <w:embedRegular r:id="rId7" w:fontKey="{4B5375DC-8F83-45E1-B15F-3DED5A955B26}"/>
  </w:font>
  <w:font w:name="WPSEMBED1">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6B892">
    <w:pPr>
      <w:pStyle w:val="15"/>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FC7E6">
    <w:pPr>
      <w:pStyle w:val="15"/>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ADAC3">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CEADAC3">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7B3E5">
    <w:pPr>
      <w:pStyle w:val="15"/>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B14489">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2DB14489">
                    <w:pPr>
                      <w:pStyle w:val="1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40</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0E22D">
    <w:pPr>
      <w:pStyle w:val="15"/>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iZmQ2YmVjYmVhYWI2YjE5NGU2ZDk0MDNjNjk5NGEifQ=="/>
  </w:docVars>
  <w:rsids>
    <w:rsidRoot w:val="6CA25119"/>
    <w:rsid w:val="003F4AEF"/>
    <w:rsid w:val="004039EE"/>
    <w:rsid w:val="004274A1"/>
    <w:rsid w:val="0172557B"/>
    <w:rsid w:val="01E11EA1"/>
    <w:rsid w:val="055C7D54"/>
    <w:rsid w:val="057A66A8"/>
    <w:rsid w:val="05EA4BBF"/>
    <w:rsid w:val="06BA7ED7"/>
    <w:rsid w:val="070749A1"/>
    <w:rsid w:val="0748438B"/>
    <w:rsid w:val="07C35693"/>
    <w:rsid w:val="09B865AF"/>
    <w:rsid w:val="0A083F59"/>
    <w:rsid w:val="0C111A1E"/>
    <w:rsid w:val="0C9715AA"/>
    <w:rsid w:val="0D2D571A"/>
    <w:rsid w:val="0EA93835"/>
    <w:rsid w:val="0EC332CD"/>
    <w:rsid w:val="0EFD761D"/>
    <w:rsid w:val="106A77C5"/>
    <w:rsid w:val="109E3A78"/>
    <w:rsid w:val="11BE624D"/>
    <w:rsid w:val="12DB3ECF"/>
    <w:rsid w:val="1585271A"/>
    <w:rsid w:val="16064DF8"/>
    <w:rsid w:val="162D2F8D"/>
    <w:rsid w:val="1761165C"/>
    <w:rsid w:val="17D93FFB"/>
    <w:rsid w:val="1B342B7B"/>
    <w:rsid w:val="1B821F9A"/>
    <w:rsid w:val="1C146E65"/>
    <w:rsid w:val="1C3E37D5"/>
    <w:rsid w:val="1E8E45E3"/>
    <w:rsid w:val="1EE41045"/>
    <w:rsid w:val="1F1358B7"/>
    <w:rsid w:val="1F6619DB"/>
    <w:rsid w:val="1F757B95"/>
    <w:rsid w:val="206C7C64"/>
    <w:rsid w:val="20AA201A"/>
    <w:rsid w:val="20F86CFE"/>
    <w:rsid w:val="21BF2F00"/>
    <w:rsid w:val="21C611C8"/>
    <w:rsid w:val="222D3868"/>
    <w:rsid w:val="22385479"/>
    <w:rsid w:val="225500D0"/>
    <w:rsid w:val="22714301"/>
    <w:rsid w:val="22B4072A"/>
    <w:rsid w:val="23D32B8D"/>
    <w:rsid w:val="23E6432D"/>
    <w:rsid w:val="23E92BEF"/>
    <w:rsid w:val="23F37984"/>
    <w:rsid w:val="242B7D75"/>
    <w:rsid w:val="244D2F14"/>
    <w:rsid w:val="24C267EA"/>
    <w:rsid w:val="264171BB"/>
    <w:rsid w:val="26555BF8"/>
    <w:rsid w:val="277D5407"/>
    <w:rsid w:val="279A38C3"/>
    <w:rsid w:val="281746C8"/>
    <w:rsid w:val="283A420B"/>
    <w:rsid w:val="287E4F92"/>
    <w:rsid w:val="28F23C75"/>
    <w:rsid w:val="2A217F3E"/>
    <w:rsid w:val="2B0A150C"/>
    <w:rsid w:val="2B15388D"/>
    <w:rsid w:val="2D1453C1"/>
    <w:rsid w:val="2E4664EA"/>
    <w:rsid w:val="30D8296F"/>
    <w:rsid w:val="32467738"/>
    <w:rsid w:val="32B97EA8"/>
    <w:rsid w:val="33686B59"/>
    <w:rsid w:val="337726A7"/>
    <w:rsid w:val="345330BF"/>
    <w:rsid w:val="34F278FD"/>
    <w:rsid w:val="355754E9"/>
    <w:rsid w:val="38B16B5A"/>
    <w:rsid w:val="39194E25"/>
    <w:rsid w:val="39501E64"/>
    <w:rsid w:val="3A6E2A4A"/>
    <w:rsid w:val="3B912DD7"/>
    <w:rsid w:val="3BF05B9E"/>
    <w:rsid w:val="3BFF1B74"/>
    <w:rsid w:val="3D084C60"/>
    <w:rsid w:val="3D8A53CE"/>
    <w:rsid w:val="3DA4778F"/>
    <w:rsid w:val="3EDA2307"/>
    <w:rsid w:val="4088241B"/>
    <w:rsid w:val="41E81277"/>
    <w:rsid w:val="42AA2AF6"/>
    <w:rsid w:val="42DD2F80"/>
    <w:rsid w:val="42EF043D"/>
    <w:rsid w:val="467E30F6"/>
    <w:rsid w:val="471328A2"/>
    <w:rsid w:val="48841071"/>
    <w:rsid w:val="48E90AAA"/>
    <w:rsid w:val="48ED5275"/>
    <w:rsid w:val="48F70317"/>
    <w:rsid w:val="4A326246"/>
    <w:rsid w:val="4A7F6875"/>
    <w:rsid w:val="4B407910"/>
    <w:rsid w:val="4B6F20E6"/>
    <w:rsid w:val="4BCE1BC4"/>
    <w:rsid w:val="4C09340A"/>
    <w:rsid w:val="4C8B10AA"/>
    <w:rsid w:val="4EC579CF"/>
    <w:rsid w:val="4EE24222"/>
    <w:rsid w:val="4F9C2A96"/>
    <w:rsid w:val="51965E03"/>
    <w:rsid w:val="52C95B34"/>
    <w:rsid w:val="54343909"/>
    <w:rsid w:val="54780D2F"/>
    <w:rsid w:val="54B63AD0"/>
    <w:rsid w:val="54C31B1D"/>
    <w:rsid w:val="54FF08A7"/>
    <w:rsid w:val="56850574"/>
    <w:rsid w:val="576510E9"/>
    <w:rsid w:val="587A66B2"/>
    <w:rsid w:val="58D26730"/>
    <w:rsid w:val="590B4058"/>
    <w:rsid w:val="59C9546A"/>
    <w:rsid w:val="5C734CF7"/>
    <w:rsid w:val="5CB9607F"/>
    <w:rsid w:val="5CD64EEC"/>
    <w:rsid w:val="5D22435F"/>
    <w:rsid w:val="5F1E7486"/>
    <w:rsid w:val="5F9235AB"/>
    <w:rsid w:val="5FBB3C84"/>
    <w:rsid w:val="5FE9032D"/>
    <w:rsid w:val="601B2CDC"/>
    <w:rsid w:val="607C6966"/>
    <w:rsid w:val="60E34716"/>
    <w:rsid w:val="61714BDF"/>
    <w:rsid w:val="61B77AEB"/>
    <w:rsid w:val="6395625B"/>
    <w:rsid w:val="64C935E3"/>
    <w:rsid w:val="64D56B50"/>
    <w:rsid w:val="66ED2DD1"/>
    <w:rsid w:val="673C5E50"/>
    <w:rsid w:val="693F403D"/>
    <w:rsid w:val="69D218B9"/>
    <w:rsid w:val="69EA63EA"/>
    <w:rsid w:val="6AD56A2A"/>
    <w:rsid w:val="6BFD0A19"/>
    <w:rsid w:val="6C500369"/>
    <w:rsid w:val="6CA25119"/>
    <w:rsid w:val="6CDD440C"/>
    <w:rsid w:val="6CE13374"/>
    <w:rsid w:val="6D885632"/>
    <w:rsid w:val="6D9944CD"/>
    <w:rsid w:val="6DCA2AB6"/>
    <w:rsid w:val="6EE719FA"/>
    <w:rsid w:val="712423AA"/>
    <w:rsid w:val="72B96F4C"/>
    <w:rsid w:val="72DA5694"/>
    <w:rsid w:val="75676F30"/>
    <w:rsid w:val="76374390"/>
    <w:rsid w:val="78243BBF"/>
    <w:rsid w:val="795D6DCD"/>
    <w:rsid w:val="7A7D5B24"/>
    <w:rsid w:val="7B067070"/>
    <w:rsid w:val="7C69682A"/>
    <w:rsid w:val="7F0377EA"/>
    <w:rsid w:val="7F2B34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7">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8">
    <w:name w:val="heading 3"/>
    <w:basedOn w:val="1"/>
    <w:next w:val="1"/>
    <w:qFormat/>
    <w:uiPriority w:val="0"/>
    <w:pPr>
      <w:keepNext/>
      <w:keepLines/>
      <w:spacing w:before="260" w:beforeLines="0" w:after="260" w:afterLines="0" w:line="413" w:lineRule="auto"/>
      <w:outlineLvl w:val="2"/>
    </w:pPr>
    <w:rPr>
      <w:b/>
      <w:sz w:val="32"/>
      <w:szCs w:val="32"/>
    </w:rPr>
  </w:style>
  <w:style w:type="paragraph" w:styleId="9">
    <w:name w:val="heading 4"/>
    <w:basedOn w:val="1"/>
    <w:next w:val="1"/>
    <w:qFormat/>
    <w:uiPriority w:val="1"/>
    <w:pPr>
      <w:ind w:left="1168"/>
      <w:outlineLvl w:val="3"/>
    </w:pPr>
    <w:rPr>
      <w:rFonts w:ascii="宋体" w:hAnsi="宋体" w:eastAsia="宋体" w:cs="宋体"/>
      <w:b/>
      <w:bCs/>
      <w:sz w:val="24"/>
      <w:szCs w:val="24"/>
      <w:lang w:val="zh-CN" w:eastAsia="zh-CN" w:bidi="zh-CN"/>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5"/>
    <w:qFormat/>
    <w:uiPriority w:val="0"/>
    <w:pPr>
      <w:ind w:firstLine="420" w:firstLineChars="200"/>
    </w:pPr>
    <w:rPr>
      <w:szCs w:val="24"/>
    </w:rPr>
  </w:style>
  <w:style w:type="paragraph" w:styleId="3">
    <w:name w:val="Body Text Indent"/>
    <w:basedOn w:val="1"/>
    <w:next w:val="4"/>
    <w:qFormat/>
    <w:uiPriority w:val="0"/>
    <w:pPr>
      <w:spacing w:after="120"/>
      <w:ind w:left="420" w:leftChars="200"/>
    </w:pPr>
    <w:rPr>
      <w:kern w:val="0"/>
      <w:sz w:val="24"/>
      <w:szCs w:val="20"/>
    </w:rPr>
  </w:style>
  <w:style w:type="paragraph" w:styleId="4">
    <w:name w:val="Balloon Text"/>
    <w:basedOn w:val="1"/>
    <w:semiHidden/>
    <w:qFormat/>
    <w:uiPriority w:val="0"/>
    <w:rPr>
      <w:rFonts w:cstheme="minorBidi"/>
      <w:sz w:val="18"/>
      <w:szCs w:val="22"/>
    </w:rPr>
  </w:style>
  <w:style w:type="paragraph" w:styleId="5">
    <w:name w:val="Body Text"/>
    <w:basedOn w:val="1"/>
    <w:qFormat/>
    <w:uiPriority w:val="0"/>
    <w:pPr>
      <w:widowControl/>
      <w:snapToGrid w:val="0"/>
      <w:spacing w:before="60" w:after="160" w:line="259" w:lineRule="auto"/>
      <w:ind w:right="113"/>
    </w:pPr>
    <w:rPr>
      <w:kern w:val="0"/>
      <w:sz w:val="18"/>
      <w:szCs w:val="20"/>
    </w:rPr>
  </w:style>
  <w:style w:type="paragraph" w:styleId="10">
    <w:name w:val="Normal Indent"/>
    <w:basedOn w:val="1"/>
    <w:next w:val="1"/>
    <w:qFormat/>
    <w:uiPriority w:val="0"/>
    <w:pPr>
      <w:ind w:firstLine="420" w:firstLineChars="200"/>
    </w:pPr>
    <w:rPr>
      <w:szCs w:val="24"/>
    </w:rPr>
  </w:style>
  <w:style w:type="paragraph" w:styleId="11">
    <w:name w:val="caption"/>
    <w:basedOn w:val="1"/>
    <w:next w:val="1"/>
    <w:qFormat/>
    <w:uiPriority w:val="0"/>
    <w:pPr>
      <w:spacing w:before="120" w:beforeLines="0" w:beforeAutospacing="0" w:after="120" w:afterLines="0" w:afterAutospacing="0" w:line="480" w:lineRule="exact"/>
      <w:jc w:val="center"/>
    </w:pPr>
    <w:rPr>
      <w:sz w:val="24"/>
    </w:rPr>
  </w:style>
  <w:style w:type="paragraph" w:styleId="12">
    <w:name w:val="annotation text"/>
    <w:basedOn w:val="1"/>
    <w:semiHidden/>
    <w:qFormat/>
    <w:uiPriority w:val="0"/>
    <w:pPr>
      <w:jc w:val="left"/>
    </w:pPr>
  </w:style>
  <w:style w:type="paragraph" w:styleId="13">
    <w:name w:val="Date"/>
    <w:basedOn w:val="1"/>
    <w:next w:val="1"/>
    <w:qFormat/>
    <w:uiPriority w:val="0"/>
    <w:rPr>
      <w:sz w:val="28"/>
    </w:rPr>
  </w:style>
  <w:style w:type="paragraph" w:styleId="14">
    <w:name w:val="Body Text Indent 2"/>
    <w:basedOn w:val="1"/>
    <w:next w:val="1"/>
    <w:qFormat/>
    <w:uiPriority w:val="0"/>
    <w:pPr>
      <w:spacing w:after="120" w:line="480" w:lineRule="auto"/>
      <w:ind w:left="420" w:leftChars="200"/>
    </w:pPr>
  </w:style>
  <w:style w:type="paragraph" w:styleId="15">
    <w:name w:val="footer"/>
    <w:basedOn w:val="1"/>
    <w:qFormat/>
    <w:uiPriority w:val="99"/>
    <w:pPr>
      <w:tabs>
        <w:tab w:val="center" w:pos="4153"/>
        <w:tab w:val="right" w:pos="8306"/>
      </w:tabs>
      <w:snapToGrid w:val="0"/>
      <w:jc w:val="left"/>
    </w:pPr>
    <w:rPr>
      <w:kern w:val="0"/>
      <w:sz w:val="18"/>
      <w:szCs w:val="20"/>
    </w:rPr>
  </w:style>
  <w:style w:type="paragraph" w:styleId="16">
    <w:name w:val="header"/>
    <w:basedOn w:val="1"/>
    <w:next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index heading"/>
    <w:basedOn w:val="1"/>
    <w:next w:val="18"/>
    <w:qFormat/>
    <w:uiPriority w:val="0"/>
    <w:rPr>
      <w:rFonts w:hint="eastAsia" w:ascii="Cambria" w:hAnsi="Cambria"/>
      <w:b/>
    </w:rPr>
  </w:style>
  <w:style w:type="paragraph" w:styleId="18">
    <w:name w:val="index 1"/>
    <w:basedOn w:val="1"/>
    <w:next w:val="1"/>
    <w:qFormat/>
    <w:uiPriority w:val="0"/>
    <w:pPr>
      <w:ind w:firstLine="0"/>
    </w:pPr>
  </w:style>
  <w:style w:type="paragraph" w:styleId="19">
    <w:name w:val="List"/>
    <w:basedOn w:val="1"/>
    <w:next w:val="1"/>
    <w:qFormat/>
    <w:uiPriority w:val="0"/>
    <w:pPr>
      <w:ind w:left="200" w:hanging="200" w:hangingChars="200"/>
    </w:pPr>
  </w:style>
  <w:style w:type="paragraph" w:styleId="20">
    <w:name w:val="toc 2"/>
    <w:basedOn w:val="1"/>
    <w:next w:val="1"/>
    <w:qFormat/>
    <w:uiPriority w:val="39"/>
    <w:pPr>
      <w:ind w:left="210"/>
      <w:jc w:val="left"/>
    </w:pPr>
    <w:rPr>
      <w:smallCaps/>
      <w:sz w:val="20"/>
      <w:szCs w:val="20"/>
    </w:rPr>
  </w:style>
  <w:style w:type="paragraph" w:styleId="21">
    <w:name w:val="Body Text 2"/>
    <w:basedOn w:val="1"/>
    <w:qFormat/>
    <w:uiPriority w:val="0"/>
    <w:rPr>
      <w:kern w:val="2"/>
    </w:rPr>
  </w:style>
  <w:style w:type="paragraph" w:styleId="2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3">
    <w:name w:val="Body Text First Indent"/>
    <w:basedOn w:val="5"/>
    <w:next w:val="1"/>
    <w:qFormat/>
    <w:uiPriority w:val="0"/>
    <w:pPr>
      <w:spacing w:after="120" w:line="240" w:lineRule="auto"/>
      <w:ind w:firstLine="420" w:firstLineChars="100"/>
    </w:pPr>
    <w:rPr>
      <w:sz w:val="21"/>
      <w:szCs w:val="24"/>
    </w:rPr>
  </w:style>
  <w:style w:type="table" w:styleId="25">
    <w:name w:val="Table Grid"/>
    <w:basedOn w:val="2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Strong"/>
    <w:basedOn w:val="26"/>
    <w:qFormat/>
    <w:uiPriority w:val="0"/>
    <w:rPr>
      <w:b/>
    </w:rPr>
  </w:style>
  <w:style w:type="character" w:styleId="28">
    <w:name w:val="page number"/>
    <w:basedOn w:val="26"/>
    <w:qFormat/>
    <w:uiPriority w:val="0"/>
  </w:style>
  <w:style w:type="character" w:styleId="29">
    <w:name w:val="Hyperlink"/>
    <w:basedOn w:val="26"/>
    <w:qFormat/>
    <w:uiPriority w:val="0"/>
    <w:rPr>
      <w:color w:val="0000FF"/>
      <w:u w:val="single"/>
    </w:rPr>
  </w:style>
  <w:style w:type="character" w:styleId="30">
    <w:name w:val="annotation reference"/>
    <w:semiHidden/>
    <w:qFormat/>
    <w:uiPriority w:val="0"/>
    <w:rPr>
      <w:sz w:val="21"/>
    </w:rPr>
  </w:style>
  <w:style w:type="paragraph" w:customStyle="1" w:styleId="31">
    <w:name w:val="Default"/>
    <w:basedOn w:val="32"/>
    <w:next w:val="3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2">
    <w:name w:val="纯文本1"/>
    <w:basedOn w:val="1"/>
    <w:qFormat/>
    <w:uiPriority w:val="0"/>
    <w:rPr>
      <w:rFonts w:ascii="宋体" w:hAnsi="Courier New" w:cs="Courier New"/>
      <w:kern w:val="2"/>
      <w:sz w:val="21"/>
      <w:szCs w:val="21"/>
    </w:rPr>
  </w:style>
  <w:style w:type="paragraph" w:customStyle="1" w:styleId="33">
    <w:name w:val="样式1"/>
    <w:basedOn w:val="17"/>
    <w:next w:val="1"/>
    <w:qFormat/>
    <w:uiPriority w:val="0"/>
    <w:rPr>
      <w:sz w:val="21"/>
      <w:szCs w:val="22"/>
      <w:lang w:val="en-US" w:eastAsia="zh-CN" w:bidi="ar-SA"/>
    </w:rPr>
  </w:style>
  <w:style w:type="paragraph" w:customStyle="1" w:styleId="34">
    <w:name w:val="Body Text 21"/>
    <w:basedOn w:val="1"/>
    <w:qFormat/>
    <w:uiPriority w:val="0"/>
    <w:pPr>
      <w:spacing w:after="120" w:line="480" w:lineRule="auto"/>
    </w:pPr>
  </w:style>
  <w:style w:type="paragraph" w:customStyle="1" w:styleId="35">
    <w:name w:val="xl2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4"/>
    </w:rPr>
  </w:style>
  <w:style w:type="paragraph" w:customStyle="1" w:styleId="36">
    <w:name w:val="表头"/>
    <w:basedOn w:val="37"/>
    <w:next w:val="1"/>
    <w:qFormat/>
    <w:uiPriority w:val="0"/>
    <w:pPr>
      <w:tabs>
        <w:tab w:val="left" w:pos="360"/>
        <w:tab w:val="left" w:pos="1620"/>
      </w:tabs>
      <w:spacing w:line="560" w:lineRule="exact"/>
      <w:jc w:val="center"/>
    </w:pPr>
    <w:rPr>
      <w:rFonts w:ascii="宋体" w:hAnsi="宋体"/>
      <w:b/>
      <w:color w:val="000000"/>
      <w:szCs w:val="21"/>
    </w:rPr>
  </w:style>
  <w:style w:type="paragraph" w:customStyle="1" w:styleId="37">
    <w:name w:val="表格"/>
    <w:basedOn w:val="19"/>
    <w:next w:val="1"/>
    <w:qFormat/>
    <w:uiPriority w:val="0"/>
    <w:pPr>
      <w:adjustRightInd w:val="0"/>
      <w:snapToGrid w:val="0"/>
      <w:spacing w:beforeLines="10" w:afterLines="10" w:line="259" w:lineRule="auto"/>
      <w:jc w:val="center"/>
    </w:pPr>
    <w:rPr>
      <w:rFonts w:ascii="宋体"/>
      <w:kern w:val="0"/>
      <w:szCs w:val="20"/>
    </w:rPr>
  </w:style>
  <w:style w:type="paragraph" w:customStyle="1" w:styleId="38">
    <w:name w:val="1 表头"/>
    <w:basedOn w:val="1"/>
    <w:qFormat/>
    <w:uiPriority w:val="0"/>
    <w:pPr>
      <w:adjustRightInd w:val="0"/>
      <w:snapToGrid w:val="0"/>
      <w:spacing w:line="240" w:lineRule="auto"/>
      <w:ind w:firstLine="0" w:firstLineChars="0"/>
      <w:jc w:val="center"/>
    </w:pPr>
    <w:rPr>
      <w:b/>
      <w:color w:val="000000"/>
      <w:sz w:val="21"/>
      <w:szCs w:val="21"/>
    </w:rPr>
  </w:style>
  <w:style w:type="paragraph" w:customStyle="1" w:styleId="39">
    <w:name w:val="[Normal]"/>
    <w:qFormat/>
    <w:uiPriority w:val="0"/>
    <w:rPr>
      <w:rFonts w:ascii="宋体" w:hAnsi="宋体" w:eastAsia="宋体" w:cs="Times New Roman"/>
      <w:sz w:val="24"/>
      <w:szCs w:val="22"/>
      <w:lang w:val="zh-CN" w:eastAsia="zh-CN" w:bidi="ar-SA"/>
    </w:rPr>
  </w:style>
  <w:style w:type="paragraph" w:customStyle="1" w:styleId="40">
    <w:name w:val="中文报告书样式"/>
    <w:basedOn w:val="1"/>
    <w:qFormat/>
    <w:uiPriority w:val="0"/>
    <w:pPr>
      <w:adjustRightInd w:val="0"/>
      <w:spacing w:line="480" w:lineRule="atLeast"/>
      <w:ind w:firstLine="482"/>
      <w:textAlignment w:val="baseline"/>
    </w:pPr>
    <w:rPr>
      <w:kern w:val="24"/>
      <w:sz w:val="24"/>
    </w:rPr>
  </w:style>
  <w:style w:type="paragraph" w:customStyle="1" w:styleId="41">
    <w:name w:val="文本"/>
    <w:basedOn w:val="1"/>
    <w:qFormat/>
    <w:uiPriority w:val="0"/>
    <w:pPr>
      <w:adjustRightInd w:val="0"/>
      <w:snapToGrid w:val="0"/>
      <w:spacing w:line="360" w:lineRule="auto"/>
      <w:ind w:firstLine="480" w:firstLineChars="200"/>
      <w:jc w:val="left"/>
    </w:pPr>
    <w:rPr>
      <w:sz w:val="24"/>
      <w:szCs w:val="24"/>
    </w:rPr>
  </w:style>
  <w:style w:type="paragraph" w:customStyle="1" w:styleId="42">
    <w:name w:val="Char"/>
    <w:basedOn w:val="1"/>
    <w:qFormat/>
    <w:uiPriority w:val="0"/>
    <w:pPr>
      <w:spacing w:after="160" w:line="240" w:lineRule="exact"/>
      <w:jc w:val="left"/>
    </w:pPr>
    <w:rPr>
      <w:rFonts w:ascii="Arial" w:hAnsi="Arial" w:eastAsia="Times New Roman" w:cs="Verdana"/>
      <w:b/>
      <w:kern w:val="0"/>
      <w:sz w:val="24"/>
      <w:szCs w:val="24"/>
      <w:lang w:eastAsia="en-US"/>
    </w:rPr>
  </w:style>
  <w:style w:type="paragraph" w:customStyle="1" w:styleId="43">
    <w:name w:val="Table Paragraph"/>
    <w:basedOn w:val="1"/>
    <w:qFormat/>
    <w:uiPriority w:val="1"/>
  </w:style>
  <w:style w:type="paragraph" w:customStyle="1" w:styleId="44">
    <w:name w:val="表+五号"/>
    <w:basedOn w:val="1"/>
    <w:qFormat/>
    <w:uiPriority w:val="99"/>
    <w:rPr>
      <w:szCs w:val="28"/>
    </w:rPr>
  </w:style>
  <w:style w:type="paragraph" w:customStyle="1" w:styleId="45">
    <w:name w:val="正文新"/>
    <w:basedOn w:val="1"/>
    <w:qFormat/>
    <w:uiPriority w:val="0"/>
    <w:pPr>
      <w:spacing w:line="348" w:lineRule="auto"/>
      <w:ind w:firstLine="200"/>
    </w:pPr>
    <w:rPr>
      <w:color w:val="000000"/>
    </w:rPr>
  </w:style>
  <w:style w:type="paragraph" w:customStyle="1" w:styleId="46">
    <w:name w:val="正文(首行缩进)"/>
    <w:basedOn w:val="1"/>
    <w:next w:val="1"/>
    <w:qFormat/>
    <w:uiPriority w:val="0"/>
    <w:pPr>
      <w:spacing w:line="360" w:lineRule="auto"/>
      <w:ind w:firstLine="540" w:firstLineChars="225"/>
    </w:pPr>
    <w:rPr>
      <w:rFonts w:ascii="宋体" w:hAnsi="宋体"/>
      <w:snapToGrid w:val="0"/>
      <w:color w:val="000000"/>
      <w:kern w:val="0"/>
      <w:sz w:val="24"/>
      <w:szCs w:val="28"/>
    </w:rPr>
  </w:style>
  <w:style w:type="paragraph" w:customStyle="1" w:styleId="47">
    <w:name w:val="正文邵"/>
    <w:basedOn w:val="1"/>
    <w:qFormat/>
    <w:uiPriority w:val="0"/>
    <w:pPr>
      <w:spacing w:line="360" w:lineRule="auto"/>
      <w:ind w:firstLine="200" w:firstLineChars="200"/>
    </w:pPr>
    <w:rPr>
      <w:sz w:val="24"/>
      <w:szCs w:val="24"/>
    </w:rPr>
  </w:style>
  <w:style w:type="paragraph" w:styleId="48">
    <w:name w:val="List Paragraph"/>
    <w:basedOn w:val="1"/>
    <w:qFormat/>
    <w:uiPriority w:val="99"/>
    <w:pPr>
      <w:ind w:firstLine="420" w:firstLineChars="200"/>
    </w:pPr>
  </w:style>
  <w:style w:type="paragraph" w:customStyle="1" w:styleId="49">
    <w:name w:val="表格1"/>
    <w:basedOn w:val="1"/>
    <w:qFormat/>
    <w:uiPriority w:val="0"/>
    <w:pPr>
      <w:adjustRightInd w:val="0"/>
      <w:snapToGrid w:val="0"/>
      <w:jc w:val="center"/>
    </w:pPr>
    <w:rPr>
      <w:rFonts w:ascii="Times New Roman" w:hAnsi="Times New Roman" w:eastAsia="方正仿宋_GBK"/>
      <w:color w:val="000000"/>
      <w:kern w:val="0"/>
      <w:szCs w:val="24"/>
    </w:rPr>
  </w:style>
  <w:style w:type="paragraph" w:customStyle="1" w:styleId="50">
    <w:name w:val="样式 加粗 居中 行距: 固定值 25 磅"/>
    <w:basedOn w:val="1"/>
    <w:qFormat/>
    <w:uiPriority w:val="0"/>
    <w:pPr>
      <w:spacing w:line="500" w:lineRule="exact"/>
      <w:jc w:val="center"/>
    </w:pPr>
    <w:rPr>
      <w:rFonts w:cs="宋体"/>
      <w:b/>
      <w:bCs/>
      <w:szCs w:val="20"/>
    </w:rPr>
  </w:style>
  <w:style w:type="paragraph" w:customStyle="1" w:styleId="51">
    <w:name w:val="样式 正文缩进正文缩进2正文缩进 Char Char正文缩进 Char Char Char Char正文缩进 Char ..."/>
    <w:basedOn w:val="10"/>
    <w:qFormat/>
    <w:uiPriority w:val="0"/>
    <w:pPr>
      <w:spacing w:line="360" w:lineRule="auto"/>
      <w:ind w:firstLine="200"/>
    </w:pPr>
    <w:rPr>
      <w:rFonts w:cs="宋体"/>
      <w:sz w:val="24"/>
    </w:rPr>
  </w:style>
  <w:style w:type="paragraph" w:customStyle="1" w:styleId="52">
    <w:name w:val="0正文"/>
    <w:basedOn w:val="22"/>
    <w:qFormat/>
    <w:uiPriority w:val="0"/>
    <w:pPr>
      <w:adjustRightInd w:val="0"/>
      <w:snapToGrid w:val="0"/>
      <w:spacing w:before="0" w:beforeAutospacing="0" w:after="0" w:afterAutospacing="0" w:line="440" w:lineRule="exact"/>
      <w:ind w:firstLine="200" w:firstLineChars="200"/>
      <w:jc w:val="both"/>
    </w:pPr>
    <w:rPr>
      <w:rFonts w:ascii="Times New Roman" w:hAnsi="Times New Roman" w:cs="Times New Roman"/>
      <w:kern w:val="2"/>
    </w:rPr>
  </w:style>
  <w:style w:type="paragraph" w:customStyle="1" w:styleId="53">
    <w:name w:val="表格文字"/>
    <w:next w:val="1"/>
    <w:qFormat/>
    <w:uiPriority w:val="0"/>
    <w:pPr>
      <w:snapToGrid w:val="0"/>
      <w:jc w:val="center"/>
    </w:pPr>
    <w:rPr>
      <w:rFonts w:ascii="宋体" w:hAnsi="宋体" w:eastAsia="宋体" w:cs="Times New Roman"/>
      <w:color w:val="FF00FF"/>
      <w:sz w:val="21"/>
      <w:lang w:val="en-US" w:eastAsia="zh-CN" w:bidi="ar-SA"/>
    </w:rPr>
  </w:style>
  <w:style w:type="table" w:customStyle="1" w:styleId="54">
    <w:name w:val="Table Normal"/>
    <w:unhideWhenUsed/>
    <w:qFormat/>
    <w:uiPriority w:val="0"/>
    <w:tblPr>
      <w:tblCellMar>
        <w:top w:w="0" w:type="dxa"/>
        <w:left w:w="0" w:type="dxa"/>
        <w:bottom w:w="0" w:type="dxa"/>
        <w:right w:w="0" w:type="dxa"/>
      </w:tblCellMar>
    </w:tblPr>
  </w:style>
  <w:style w:type="paragraph" w:customStyle="1" w:styleId="55">
    <w:name w:val="表格标题"/>
    <w:basedOn w:val="36"/>
    <w:qFormat/>
    <w:uiPriority w:val="0"/>
    <w:pPr>
      <w:snapToGrid w:val="0"/>
      <w:spacing w:line="360" w:lineRule="auto"/>
      <w:ind w:firstLine="200" w:firstLineChars="200"/>
      <w:jc w:val="center"/>
    </w:pPr>
    <w:rPr>
      <w:snapToGrid w:val="0"/>
      <w:sz w:val="28"/>
      <w:szCs w:val="28"/>
    </w:rPr>
  </w:style>
  <w:style w:type="paragraph" w:customStyle="1" w:styleId="56">
    <w:name w:val="表格内容"/>
    <w:basedOn w:val="10"/>
    <w:next w:val="1"/>
    <w:qFormat/>
    <w:uiPriority w:val="0"/>
    <w:pPr>
      <w:autoSpaceDE w:val="0"/>
      <w:autoSpaceDN w:val="0"/>
      <w:adjustRightInd w:val="0"/>
      <w:snapToGrid/>
      <w:spacing w:line="240" w:lineRule="auto"/>
      <w:ind w:firstLine="0" w:firstLineChars="0"/>
      <w:jc w:val="center"/>
      <w:textAlignment w:val="center"/>
    </w:pPr>
    <w:rPr>
      <w:kern w:val="0"/>
      <w:sz w:val="21"/>
      <w:szCs w:val="21"/>
    </w:rPr>
  </w:style>
  <w:style w:type="paragraph" w:customStyle="1" w:styleId="57">
    <w:name w:val="表格内"/>
    <w:basedOn w:val="1"/>
    <w:qFormat/>
    <w:uiPriority w:val="0"/>
    <w:pPr>
      <w:spacing w:line="360" w:lineRule="exact"/>
      <w:jc w:val="center"/>
    </w:pPr>
    <w:rPr>
      <w:rFonts w:ascii="Times New Roman" w:hAnsi="Times New Roman" w:cs="Times New Roman"/>
      <w:snapToGrid w:val="0"/>
      <w:szCs w:val="21"/>
    </w:rPr>
  </w:style>
  <w:style w:type="paragraph" w:customStyle="1" w:styleId="58">
    <w:name w:val="正文 楷体"/>
    <w:basedOn w:val="1"/>
    <w:autoRedefine/>
    <w:qFormat/>
    <w:uiPriority w:val="0"/>
    <w:pPr>
      <w:spacing w:line="500" w:lineRule="exact"/>
      <w:ind w:firstLine="200" w:firstLineChars="200"/>
    </w:pPr>
    <w:rPr>
      <w:rFonts w:ascii="楷体_GB2312" w:hAnsi="楷体_GB2312" w:eastAsia="楷体_GB2312" w:cs="宋体"/>
      <w:sz w:val="24"/>
    </w:rPr>
  </w:style>
  <w:style w:type="paragraph" w:customStyle="1" w:styleId="59">
    <w:name w:val="报告表正文"/>
    <w:basedOn w:val="60"/>
    <w:qFormat/>
    <w:uiPriority w:val="0"/>
    <w:pPr>
      <w:adjustRightInd w:val="0"/>
      <w:spacing w:line="312" w:lineRule="auto"/>
      <w:ind w:left="113" w:right="113" w:firstLine="482"/>
      <w:jc w:val="left"/>
      <w:textAlignment w:val="baseline"/>
    </w:pPr>
    <w:rPr>
      <w:kern w:val="0"/>
      <w:sz w:val="24"/>
      <w:szCs w:val="20"/>
    </w:rPr>
  </w:style>
  <w:style w:type="paragraph" w:customStyle="1" w:styleId="60">
    <w:name w:val="报告正文"/>
    <w:basedOn w:val="61"/>
    <w:next w:val="1"/>
    <w:qFormat/>
    <w:uiPriority w:val="0"/>
    <w:pPr>
      <w:widowControl w:val="0"/>
      <w:snapToGrid w:val="0"/>
      <w:spacing w:line="360" w:lineRule="auto"/>
      <w:ind w:firstLine="200" w:firstLineChars="200"/>
    </w:pPr>
    <w:rPr>
      <w:rFonts w:ascii="Times New Roman" w:hAnsi="Times New Roman" w:cs="Times New Roman"/>
      <w:snapToGrid w:val="0"/>
      <w:sz w:val="24"/>
      <w:szCs w:val="28"/>
    </w:rPr>
  </w:style>
  <w:style w:type="paragraph" w:customStyle="1" w:styleId="61">
    <w:name w:val="p17"/>
    <w:basedOn w:val="1"/>
    <w:qFormat/>
    <w:uiPriority w:val="0"/>
    <w:pPr>
      <w:widowControl/>
    </w:pPr>
    <w:rPr>
      <w:rFonts w:ascii="宋体" w:hAnsi="宋体" w:cs="宋体"/>
      <w:kern w:val="0"/>
      <w:szCs w:val="21"/>
    </w:rPr>
  </w:style>
  <w:style w:type="paragraph" w:customStyle="1" w:styleId="62">
    <w:name w:val="表格内容1"/>
    <w:basedOn w:val="1"/>
    <w:qFormat/>
    <w:uiPriority w:val="0"/>
    <w:pPr>
      <w:widowControl/>
      <w:spacing w:line="240" w:lineRule="auto"/>
      <w:ind w:firstLine="0" w:firstLineChars="0"/>
      <w:jc w:val="center"/>
    </w:pPr>
    <w:rPr>
      <w:kern w:val="0"/>
      <w:sz w:val="21"/>
      <w:szCs w:val="21"/>
      <w:lang w:eastAsia="en-US" w:bidi="en-US"/>
    </w:rPr>
  </w:style>
  <w:style w:type="paragraph" w:customStyle="1" w:styleId="63">
    <w:name w:val="Table Text"/>
    <w:basedOn w:val="1"/>
    <w:semiHidden/>
    <w:qFormat/>
    <w:uiPriority w:val="0"/>
    <w:rPr>
      <w:rFonts w:ascii="Arial" w:hAnsi="Arial" w:eastAsia="Arial" w:cs="Arial"/>
      <w:sz w:val="21"/>
      <w:szCs w:val="21"/>
      <w:lang w:val="en-US" w:eastAsia="en-US" w:bidi="ar-SA"/>
    </w:rPr>
  </w:style>
  <w:style w:type="paragraph" w:customStyle="1" w:styleId="64">
    <w:name w:val="环评正文"/>
    <w:basedOn w:val="1"/>
    <w:qFormat/>
    <w:uiPriority w:val="0"/>
    <w:pPr>
      <w:autoSpaceDE w:val="0"/>
      <w:autoSpaceDN w:val="0"/>
      <w:adjustRightInd w:val="0"/>
      <w:snapToGrid w:val="0"/>
      <w:spacing w:line="360" w:lineRule="auto"/>
      <w:ind w:firstLine="200" w:firstLineChars="200"/>
      <w:jc w:val="left"/>
    </w:pPr>
    <w:rPr>
      <w:rFonts w:cs="宋体"/>
      <w:kern w:val="0"/>
      <w:sz w:val="24"/>
      <w:szCs w:val="21"/>
    </w:rPr>
  </w:style>
  <w:style w:type="character" w:customStyle="1" w:styleId="65">
    <w:name w:val="font41"/>
    <w:basedOn w:val="26"/>
    <w:qFormat/>
    <w:uiPriority w:val="0"/>
    <w:rPr>
      <w:rFonts w:hint="eastAsia" w:ascii="宋体" w:hAnsi="宋体" w:eastAsia="宋体" w:cs="宋体"/>
      <w:b/>
      <w:bCs/>
      <w:color w:val="000000"/>
      <w:sz w:val="24"/>
      <w:szCs w:val="24"/>
      <w:u w:val="none"/>
    </w:rPr>
  </w:style>
  <w:style w:type="character" w:customStyle="1" w:styleId="66">
    <w:name w:val="font21"/>
    <w:basedOn w:val="26"/>
    <w:qFormat/>
    <w:uiPriority w:val="0"/>
    <w:rPr>
      <w:rFonts w:hint="default" w:ascii="Times New Roman" w:hAnsi="Times New Roman" w:cs="Times New Roman"/>
      <w:color w:val="000000"/>
      <w:sz w:val="24"/>
      <w:szCs w:val="24"/>
      <w:u w:val="none"/>
    </w:rPr>
  </w:style>
  <w:style w:type="character" w:customStyle="1" w:styleId="67">
    <w:name w:val="font11"/>
    <w:basedOn w:val="26"/>
    <w:qFormat/>
    <w:uiPriority w:val="0"/>
    <w:rPr>
      <w:rFonts w:hint="eastAsia" w:ascii="宋体" w:hAnsi="宋体" w:eastAsia="宋体" w:cs="宋体"/>
      <w:color w:val="000000"/>
      <w:sz w:val="21"/>
      <w:szCs w:val="21"/>
      <w:u w:val="none"/>
    </w:rPr>
  </w:style>
  <w:style w:type="paragraph" w:customStyle="1" w:styleId="68">
    <w:name w:val="表头邵"/>
    <w:basedOn w:val="1"/>
    <w:next w:val="1"/>
    <w:qFormat/>
    <w:uiPriority w:val="0"/>
    <w:pPr>
      <w:jc w:val="center"/>
    </w:pPr>
    <w:rPr>
      <w:b/>
      <w:szCs w:val="21"/>
    </w:rPr>
  </w:style>
  <w:style w:type="paragraph" w:customStyle="1" w:styleId="69">
    <w:name w:val="表内文字"/>
    <w:basedOn w:val="1"/>
    <w:qFormat/>
    <w:uiPriority w:val="0"/>
    <w:pPr>
      <w:adjustRightInd w:val="0"/>
      <w:snapToGrid w:val="0"/>
      <w:jc w:val="center"/>
    </w:pPr>
    <w:rPr>
      <w:sz w:val="21"/>
      <w:szCs w:val="21"/>
    </w:rPr>
  </w:style>
  <w:style w:type="paragraph" w:customStyle="1" w:styleId="70">
    <w:name w:val="一级标题"/>
    <w:basedOn w:val="1"/>
    <w:qFormat/>
    <w:uiPriority w:val="0"/>
    <w:pPr>
      <w:ind w:firstLine="0" w:firstLineChars="0"/>
    </w:pPr>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18.jpeg"/><Relationship Id="rId32" Type="http://schemas.openxmlformats.org/officeDocument/2006/relationships/image" Target="media/image17.wmf"/><Relationship Id="rId31" Type="http://schemas.openxmlformats.org/officeDocument/2006/relationships/oleObject" Target="embeddings/oleObject8.bin"/><Relationship Id="rId30" Type="http://schemas.openxmlformats.org/officeDocument/2006/relationships/image" Target="media/image16.wmf"/><Relationship Id="rId3" Type="http://schemas.openxmlformats.org/officeDocument/2006/relationships/footer" Target="footer1.xml"/><Relationship Id="rId29" Type="http://schemas.openxmlformats.org/officeDocument/2006/relationships/oleObject" Target="embeddings/oleObject7.bin"/><Relationship Id="rId28" Type="http://schemas.openxmlformats.org/officeDocument/2006/relationships/image" Target="media/image15.wmf"/><Relationship Id="rId27" Type="http://schemas.openxmlformats.org/officeDocument/2006/relationships/oleObject" Target="embeddings/oleObject6.bin"/><Relationship Id="rId26" Type="http://schemas.openxmlformats.org/officeDocument/2006/relationships/image" Target="media/image14.wmf"/><Relationship Id="rId25" Type="http://schemas.openxmlformats.org/officeDocument/2006/relationships/oleObject" Target="embeddings/oleObject5.bin"/><Relationship Id="rId24" Type="http://schemas.openxmlformats.org/officeDocument/2006/relationships/image" Target="media/image13.wmf"/><Relationship Id="rId23" Type="http://schemas.openxmlformats.org/officeDocument/2006/relationships/oleObject" Target="embeddings/oleObject4.bin"/><Relationship Id="rId22" Type="http://schemas.openxmlformats.org/officeDocument/2006/relationships/image" Target="media/image12.wmf"/><Relationship Id="rId21" Type="http://schemas.openxmlformats.org/officeDocument/2006/relationships/oleObject" Target="embeddings/oleObject3.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b11bb7db-c956-44d5-a555-4adcde5d5677</errorID>
      <errorWord>"</errorWord>
      <group>L1_Format</group>
      <groupName>格式问题</groupName>
      <ability>L2_HalfPunc</ability>
      <abilityName>全半角检查</abilityName>
      <candidateList/>
      <explain>文本全半角错误。</explain>
      <paraID>5A8E4309</paraID>
      <start>14</start>
      <end>15</end>
      <status>unmodified</status>
      <modifiedWord/>
      <trackRevisions>false</trackRevisions>
    </reviewItem>
    <reviewItem>
      <errorID>2f442298-ca92-4355-afd9-b4106b37406f</errorID>
      <errorWord>-</errorWord>
      <group>L1_Format</group>
      <groupName>格式问题</groupName>
      <ability>L2_HalfPunc</ability>
      <abilityName>全半角检查</abilityName>
      <candidateList>
        <item>－</item>
      </candidateList>
      <explain>文本全半角错误。</explain>
      <paraID>38D6187D</paraID>
      <start>5</start>
      <end>6</end>
      <status>unmodified</status>
      <modifiedWord/>
      <trackRevisions>false</trackRevisions>
    </reviewItem>
    <reviewItem>
      <errorID>1109a11f-473a-468a-ae8c-6c314c230d81</errorID>
      <errorWord>-</errorWord>
      <group>L1_Format</group>
      <groupName>格式问题</groupName>
      <ability>L2_HalfPunc</ability>
      <abilityName>全半角检查</abilityName>
      <candidateList>
        <item>－</item>
      </candidateList>
      <explain>文本全半角错误。</explain>
      <paraID>38D6187D</paraID>
      <start>14</start>
      <end>15</end>
      <status>unmodified</status>
      <modifiedWord/>
      <trackRevisions>false</trackRevisions>
    </reviewItem>
    <reviewItem>
      <errorID>ffe43142-241e-4b96-b139-59dc79bbe347</errorID>
      <errorWord>（</errorWord>
      <group>L1_Punc</group>
      <groupName>标点问题</groupName>
      <ability>L2_Punc</ability>
      <abilityName>标点符号检查</abilityName>
      <candidateList/>
      <explain>同一形式括号套用。</explain>
      <paraID> 424C9CC</paraID>
      <start>12</start>
      <end>13</end>
      <status>unmodified</status>
      <modifiedWord/>
      <trackRevisions>false</trackRevisions>
    </reviewItem>
    <reviewItem>
      <errorID>f92edd44-8e79-47f0-a793-79ce7d31ef29</errorID>
      <errorWord>）</errorWord>
      <group>L1_Punc</group>
      <groupName>标点问题</groupName>
      <ability>L2_Punc</ability>
      <abilityName>标点符号检查</abilityName>
      <candidateList/>
      <explain>同一形式括号套用。</explain>
      <paraID> 424C9CC</paraID>
      <start>20</start>
      <end>21</end>
      <status>unmodified</status>
      <modifiedWord/>
      <trackRevisions>false</trackRevisions>
    </reviewItem>
    <reviewItem>
      <errorID>add050ef-f115-4fc6-8cf8-c95f00e0d88c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39B0630</paraID>
      <start>27</start>
      <end>28</end>
      <status>unmodified</status>
      <modifiedWord/>
      <trackRevisions>false</trackRevisions>
    </reviewItem>
    <reviewItem>
      <errorID>3aadc94c-1cc4-4750-8f7d-b6c84c8610a6</errorID>
      <errorWord>(</errorWord>
      <group>L1_Format</group>
      <groupName>格式问题</groupName>
      <ability>L2_HalfPunc</ability>
      <abilityName>全半角检查</abilityName>
      <candidateList>
        <item>（</item>
      </candidateList>
      <explain>文本全半角错误。</explain>
      <paraID>7A77CBB6</paraID>
      <start>31</start>
      <end>32</end>
      <status>unmodified</status>
      <modifiedWord/>
      <trackRevisions>false</trackRevisions>
    </reviewItem>
    <reviewItem>
      <errorID>3aed69ad-8748-4f59-a59a-69613e9dbf15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7A77CBB6</paraID>
      <start>36</start>
      <end>37</end>
      <status>unmodified</status>
      <modifiedWord/>
      <trackRevisions>false</trackRevisions>
    </reviewItem>
    <reviewItem>
      <errorID>5d4cb05f-ad72-4e28-855d-99bf0d555f8d</errorID>
      <errorWord>)</errorWord>
      <group>L1_Format</group>
      <groupName>格式问题</groupName>
      <ability>L2_HalfPunc</ability>
      <abilityName>全半角检查</abilityName>
      <candidateList>
        <item>）</item>
      </candidateList>
      <explain>文本全半角错误。</explain>
      <paraID>7A77CBB6</paraID>
      <start>42</start>
      <end>43</end>
      <status>unmodified</status>
      <modifiedWord/>
      <trackRevisions>false</trackRevisions>
    </reviewItem>
    <reviewItem>
      <errorID>55a3e38b-fad6-4733-ae36-40f813e938c9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1DEF086A</paraID>
      <start>27</start>
      <end>28</end>
      <status>unmodified</status>
      <modifiedWord/>
      <trackRevisions>false</trackRevisions>
    </reviewItem>
    <reviewItem>
      <errorID>34f67284-99ce-4c1e-8c65-07ff01b6acc7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409F472E</paraID>
      <start>22</start>
      <end>23</end>
      <status>unmodified</status>
      <modifiedWord/>
      <trackRevisions>false</trackRevisions>
    </reviewItem>
    <reviewItem>
      <errorID>c917e705-897f-4390-9ee5-9ef60506aec0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40A28AC6</paraID>
      <start>69</start>
      <end>70</end>
      <status>unmodified</status>
      <modifiedWord/>
      <trackRevisions>false</trackRevisions>
    </reviewItem>
    <reviewItem>
      <errorID>804a8e68-ffec-4884-81ee-aceb0f4fa11c</errorID>
      <errorWord>(</errorWord>
      <group>L1_Format</group>
      <groupName>格式问题</groupName>
      <ability>L2_HalfPunc</ability>
      <abilityName>全半角检查</abilityName>
      <candidateList>
        <item>（</item>
      </candidateList>
      <explain>文本全半角错误。</explain>
      <paraID>763DD29F</paraID>
      <start>26</start>
      <end>27</end>
      <status>unmodified</status>
      <modifiedWord/>
      <trackRevisions>false</trackRevisions>
    </reviewItem>
    <reviewItem>
      <errorID>4ed0878e-f8ec-4515-8122-8e3a3610c435</errorID>
      <errorWord>)</errorWord>
      <group>L1_Format</group>
      <groupName>格式问题</groupName>
      <ability>L2_HalfPunc</ability>
      <abilityName>全半角检查</abilityName>
      <candidateList>
        <item>）</item>
      </candidateList>
      <explain>文本全半角错误。</explain>
      <paraID>763DD29F</paraID>
      <start>33</start>
      <end>34</end>
      <status>unmodified</status>
      <modifiedWord/>
      <trackRevisions>false</trackRevisions>
    </reviewItem>
    <reviewItem>
      <errorID>431ce35c-2cd5-4f42-a318-fe8777b94040</errorID>
      <errorWord>(</errorWord>
      <group>L1_Format</group>
      <groupName>格式问题</groupName>
      <ability>L2_HalfPunc</ability>
      <abilityName>全半角检查</abilityName>
      <candidateList>
        <item>（</item>
      </candidateList>
      <explain>文本全半角错误。</explain>
      <paraID>763DD29F</paraID>
      <start>55</start>
      <end>56</end>
      <status>unmodified</status>
      <modifiedWord/>
      <trackRevisions>false</trackRevisions>
    </reviewItem>
    <reviewItem>
      <errorID>3de4feb4-51f6-4f38-88c9-4b065b0d7c63</errorID>
      <errorWord>)</errorWord>
      <group>L1_Format</group>
      <groupName>格式问题</groupName>
      <ability>L2_HalfPunc</ability>
      <abilityName>全半角检查</abilityName>
      <candidateList>
        <item>）</item>
      </candidateList>
      <explain>文本全半角错误。</explain>
      <paraID>763DD29F</paraID>
      <start>62</start>
      <end>63</end>
      <status>unmodified</status>
      <modifiedWord/>
      <trackRevisions>false</trackRevisions>
    </reviewItem>
    <reviewItem>
      <errorID>f5a06de9-52fe-4c13-bf88-dffef79224fb</errorID>
      <errorWord>(</errorWord>
      <group>L1_Format</group>
      <groupName>格式问题</groupName>
      <ability>L2_HalfPunc</ability>
      <abilityName>全半角检查</abilityName>
      <candidateList>
        <item>（</item>
      </candidateList>
      <explain>文本全半角错误。</explain>
      <paraID>3CC615A6</paraID>
      <start>17</start>
      <end>18</end>
      <status>unmodified</status>
      <modifiedWord/>
      <trackRevisions>false</trackRevisions>
    </reviewItem>
    <reviewItem>
      <errorID>58633ed8-e6ae-4569-a3b4-1ac7ea851530</errorID>
      <errorWord>)</errorWord>
      <group>L1_Format</group>
      <groupName>格式问题</groupName>
      <ability>L2_HalfPunc</ability>
      <abilityName>全半角检查</abilityName>
      <candidateList>
        <item>）</item>
      </candidateList>
      <explain>文本全半角错误。</explain>
      <paraID>3CC615A6</paraID>
      <start>24</start>
      <end>25</end>
      <status>unmodified</status>
      <modifiedWord/>
      <trackRevisions>false</trackRevisions>
    </reviewItem>
    <reviewItem>
      <errorID>370e2e2f-8b2f-4ffd-8fb6-3104612f7f98</errorID>
      <errorWord>(</errorWord>
      <group>L1_Format</group>
      <groupName>格式问题</groupName>
      <ability>L2_HalfPunc</ability>
      <abilityName>全半角检查</abilityName>
      <candidateList>
        <item>（</item>
      </candidateList>
      <explain>文本全半角错误。</explain>
      <paraID> D96175F</paraID>
      <start>26</start>
      <end>27</end>
      <status>unmodified</status>
      <modifiedWord/>
      <trackRevisions>false</trackRevisions>
    </reviewItem>
    <reviewItem>
      <errorID>daefcb6b-42e1-4b9f-b456-008625933bb8</errorID>
      <errorWord>)</errorWord>
      <group>L1_Format</group>
      <groupName>格式问题</groupName>
      <ability>L2_HalfPunc</ability>
      <abilityName>全半角检查</abilityName>
      <candidateList>
        <item>）</item>
      </candidateList>
      <explain>文本全半角错误。</explain>
      <paraID> D96175F</paraID>
      <start>28</start>
      <end>29</end>
      <status>unmodified</status>
      <modifiedWord/>
      <trackRevisions>false</trackRevisions>
    </reviewItem>
    <reviewItem>
      <errorID>f0298d31-ee5f-4088-9fd0-2a4fa2ef4d23</errorID>
      <errorWord>(</errorWord>
      <group>L1_Format</group>
      <groupName>格式问题</groupName>
      <ability>L2_HalfPunc</ability>
      <abilityName>全半角检查</abilityName>
      <candidateList>
        <item>（</item>
      </candidateList>
      <explain>文本全半角错误。</explain>
      <paraID> D96175F</paraID>
      <start>30</start>
      <end>31</end>
      <status>unmodified</status>
      <modifiedWord/>
      <trackRevisions>false</trackRevisions>
    </reviewItem>
    <reviewItem>
      <errorID>111e23d0-3a1e-47b8-974c-6a5da6594a5f</errorID>
      <errorWord>)</errorWord>
      <group>L1_Format</group>
      <groupName>格式问题</groupName>
      <ability>L2_HalfPunc</ability>
      <abilityName>全半角检查</abilityName>
      <candidateList>
        <item>）</item>
      </candidateList>
      <explain>文本全半角错误。</explain>
      <paraID> D96175F</paraID>
      <start>32</start>
      <end>33</end>
      <status>unmodified</status>
      <modifiedWord/>
      <trackRevisions>false</trackRevisions>
    </reviewItem>
    <reviewItem>
      <errorID>9ce3de9a-1813-42d3-b089-89328e7011be</errorID>
      <errorWord>(</errorWord>
      <group>L1_Format</group>
      <groupName>格式问题</groupName>
      <ability>L2_HalfPunc</ability>
      <abilityName>全半角检查</abilityName>
      <candidateList>
        <item>（</item>
      </candidateList>
      <explain>文本全半角错误。</explain>
      <paraID> D96175F</paraID>
      <start>54</start>
      <end>55</end>
      <status>unmodified</status>
      <modifiedWord/>
      <trackRevisions>false</trackRevisions>
    </reviewItem>
    <reviewItem>
      <errorID>0a33b99c-ca38-4576-915e-99887f0efafe</errorID>
      <errorWord>)</errorWord>
      <group>L1_Format</group>
      <groupName>格式问题</groupName>
      <ability>L2_HalfPunc</ability>
      <abilityName>全半角检查</abilityName>
      <candidateList>
        <item>）</item>
      </candidateList>
      <explain>文本全半角错误。</explain>
      <paraID> D96175F</paraID>
      <start>56</start>
      <end>57</end>
      <status>unmodified</status>
      <modifiedWord/>
      <trackRevisions>false</trackRevisions>
    </reviewItem>
    <reviewItem>
      <errorID>2c2ced3b-35a9-4e9b-8d74-ca6e20a5a06a</errorID>
      <errorWord>(</errorWord>
      <group>L1_Format</group>
      <groupName>格式问题</groupName>
      <ability>L2_HalfPunc</ability>
      <abilityName>全半角检查</abilityName>
      <candidateList>
        <item>（</item>
      </candidateList>
      <explain>文本全半角错误。</explain>
      <paraID> D96175F</paraID>
      <start>77</start>
      <end>78</end>
      <status>unmodified</status>
      <modifiedWord/>
      <trackRevisions>false</trackRevisions>
    </reviewItem>
    <reviewItem>
      <errorID>009b5d60-33f1-44d3-b8c1-2b9d23f30a26</errorID>
      <errorWord>)</errorWord>
      <group>L1_Format</group>
      <groupName>格式问题</groupName>
      <ability>L2_HalfPunc</ability>
      <abilityName>全半角检查</abilityName>
      <candidateList>
        <item>）</item>
      </candidateList>
      <explain>文本全半角错误。</explain>
      <paraID> D96175F</paraID>
      <start>79</start>
      <end>80</end>
      <status>unmodified</status>
      <modifiedWord/>
      <trackRevisions>false</trackRevisions>
    </reviewItem>
    <reviewItem>
      <errorID>c425d035-da99-43a3-9c3b-eee7f9315e47</errorID>
      <errorWord>(</errorWord>
      <group>L1_Format</group>
      <groupName>格式问题</groupName>
      <ability>L2_HalfPunc</ability>
      <abilityName>全半角检查</abilityName>
      <candidateList>
        <item>（</item>
      </candidateList>
      <explain>文本全半角错误。</explain>
      <paraID> D96175F</paraID>
      <start>132</start>
      <end>133</end>
      <status>unmodified</status>
      <modifiedWord/>
      <trackRevisions>false</trackRevisions>
    </reviewItem>
    <reviewItem>
      <errorID>be29f818-a898-4200-bb9d-5fa696d3b3c1</errorID>
      <errorWord>)</errorWord>
      <group>L1_Format</group>
      <groupName>格式问题</groupName>
      <ability>L2_HalfPunc</ability>
      <abilityName>全半角检查</abilityName>
      <candidateList>
        <item>）</item>
      </candidateList>
      <explain>文本全半角错误。</explain>
      <paraID> D96175F</paraID>
      <start>134</start>
      <end>135</end>
      <status>unmodified</status>
      <modifiedWord/>
      <trackRevisions>false</trackRevisions>
    </reviewItem>
    <reviewItem>
      <errorID>2f8e58d4-c349-4e2d-b4c2-aed209b83a4c</errorID>
      <errorWord>(</errorWord>
      <group>L1_Format</group>
      <groupName>格式问题</groupName>
      <ability>L2_HalfPunc</ability>
      <abilityName>全半角检查</abilityName>
      <candidateList>
        <item>（</item>
      </candidateList>
      <explain>文本全半角错误。</explain>
      <paraID> D96175F</paraID>
      <start>185</start>
      <end>186</end>
      <status>unmodified</status>
      <modifiedWord/>
      <trackRevisions>false</trackRevisions>
    </reviewItem>
    <reviewItem>
      <errorID>ec32342a-5d8d-42ad-b247-8d8011a0dd3c</errorID>
      <errorWord>)</errorWord>
      <group>L1_Format</group>
      <groupName>格式问题</groupName>
      <ability>L2_HalfPunc</ability>
      <abilityName>全半角检查</abilityName>
      <candidateList>
        <item>）</item>
      </candidateList>
      <explain>文本全半角错误。</explain>
      <paraID> D96175F</paraID>
      <start>187</start>
      <end>188</end>
      <status>unmodified</status>
      <modifiedWord/>
      <trackRevisions>false</trackRevisions>
    </reviewItem>
    <reviewItem>
      <errorID>bd270b11-5ad6-4af1-a5cf-510dae30c1a2</errorID>
      <errorWord>(</errorWord>
      <group>L1_Format</group>
      <groupName>格式问题</groupName>
      <ability>L2_HalfPunc</ability>
      <abilityName>全半角检查</abilityName>
      <candidateList>
        <item>（</item>
      </candidateList>
      <explain>文本全半角错误。</explain>
      <paraID>5698389E</paraID>
      <start>22</start>
      <end>23</end>
      <status>unmodified</status>
      <modifiedWord/>
      <trackRevisions>false</trackRevisions>
    </reviewItem>
    <reviewItem>
      <errorID>1928102f-aa85-4120-a8ba-9f5391eb866b</errorID>
      <errorWord>)</errorWord>
      <group>L1_Format</group>
      <groupName>格式问题</groupName>
      <ability>L2_HalfPunc</ability>
      <abilityName>全半角检查</abilityName>
      <candidateList>
        <item>）</item>
      </candidateList>
      <explain>文本全半角错误。</explain>
      <paraID>5698389E</paraID>
      <start>24</start>
      <end>25</end>
      <status>unmodified</status>
      <modifiedWord/>
      <trackRevisions>false</trackRevisions>
    </reviewItem>
    <reviewItem>
      <errorID>7886c5c5-550f-4dc0-8672-337c64d9147f</errorID>
      <errorWord>(</errorWord>
      <group>L1_Format</group>
      <groupName>格式问题</groupName>
      <ability>L2_HalfPunc</ability>
      <abilityName>全半角检查</abilityName>
      <candidateList>
        <item>（</item>
      </candidateList>
      <explain>文本全半角错误。</explain>
      <paraID>5698389E</paraID>
      <start>59</start>
      <end>60</end>
      <status>unmodified</status>
      <modifiedWord/>
      <trackRevisions>false</trackRevisions>
    </reviewItem>
    <reviewItem>
      <errorID>0de5d3dd-339c-44c3-8707-673344fa551f</errorID>
      <errorWord>)</errorWord>
      <group>L1_Format</group>
      <groupName>格式问题</groupName>
      <ability>L2_HalfPunc</ability>
      <abilityName>全半角检查</abilityName>
      <candidateList>
        <item>）</item>
      </candidateList>
      <explain>文本全半角错误。</explain>
      <paraID>5698389E</paraID>
      <start>62</start>
      <end>63</end>
      <status>unmodified</status>
      <modifiedWord/>
      <trackRevisions>false</trackRevisions>
    </reviewItem>
    <reviewItem>
      <errorID>13202cab-332a-468c-89e2-8ff6bfe1c8fc</errorID>
      <errorWord>(</errorWord>
      <group>L1_Format</group>
      <groupName>格式问题</groupName>
      <ability>L2_HalfPunc</ability>
      <abilityName>全半角检查</abilityName>
      <candidateList>
        <item>（</item>
      </candidateList>
      <explain>文本全半角错误。</explain>
      <paraID>5698389E</paraID>
      <start>78</start>
      <end>79</end>
      <status>unmodified</status>
      <modifiedWord/>
      <trackRevisions>false</trackRevisions>
    </reviewItem>
    <reviewItem>
      <errorID>61facde5-9af9-4936-bcea-dbe502ca0892</errorID>
      <errorWord>)</errorWord>
      <group>L1_Format</group>
      <groupName>格式问题</groupName>
      <ability>L2_HalfPunc</ability>
      <abilityName>全半角检查</abilityName>
      <candidateList>
        <item>）</item>
      </candidateList>
      <explain>文本全半角错误。</explain>
      <paraID>5698389E</paraID>
      <start>81</start>
      <end>82</end>
      <status>unmodified</status>
      <modifiedWord/>
      <trackRevisions>false</trackRevisions>
    </reviewItem>
    <reviewItem>
      <errorID>51baa32b-50bb-44ad-af11-e425727b86e7</errorID>
      <errorWord>(</errorWord>
      <group>L1_Format</group>
      <groupName>格式问题</groupName>
      <ability>L2_HalfPunc</ability>
      <abilityName>全半角检查</abilityName>
      <candidateList>
        <item>（</item>
      </candidateList>
      <explain>文本全半角错误。</explain>
      <paraID>5698389E</paraID>
      <start>85</start>
      <end>86</end>
      <status>unmodified</status>
      <modifiedWord/>
      <trackRevisions>false</trackRevisions>
    </reviewItem>
    <reviewItem>
      <errorID>08238fa0-7f15-46ef-96a9-ee5c639ba018</errorID>
      <errorWord>)</errorWord>
      <group>L1_Format</group>
      <groupName>格式问题</groupName>
      <ability>L2_HalfPunc</ability>
      <abilityName>全半角检查</abilityName>
      <candidateList>
        <item>）</item>
      </candidateList>
      <explain>文本全半角错误。</explain>
      <paraID>5698389E</paraID>
      <start>87</start>
      <end>88</end>
      <status>unmodified</status>
      <modifiedWord/>
      <trackRevisions>false</trackRevisions>
    </reviewItem>
    <reviewItem>
      <errorID>50351211-e8e5-4b23-b152-637cb0bc3cce</errorID>
      <errorWord>(</errorWord>
      <group>L1_Format</group>
      <groupName>格式问题</groupName>
      <ability>L2_HalfPunc</ability>
      <abilityName>全半角检查</abilityName>
      <candidateList>
        <item>（</item>
      </candidateList>
      <explain>文本全半角错误。</explain>
      <paraID>28C0F92A</paraID>
      <start>23</start>
      <end>24</end>
      <status>unmodified</status>
      <modifiedWord/>
      <trackRevisions>false</trackRevisions>
    </reviewItem>
    <reviewItem>
      <errorID>2c5ed541-ed32-4117-b3f8-1222506f9304</errorID>
      <errorWord>)</errorWord>
      <group>L1_Format</group>
      <groupName>格式问题</groupName>
      <ability>L2_HalfPunc</ability>
      <abilityName>全半角检查</abilityName>
      <candidateList>
        <item>）</item>
      </candidateList>
      <explain>文本全半角错误。</explain>
      <paraID>28C0F92A</paraID>
      <start>26</start>
      <end>27</end>
      <status>unmodified</status>
      <modifiedWord/>
      <trackRevisions>false</trackRevisions>
    </reviewItem>
    <reviewItem>
      <errorID>d36fb921-6053-47b5-8177-c69f30485d72</errorID>
      <errorWord>(</errorWord>
      <group>L1_Format</group>
      <groupName>格式问题</groupName>
      <ability>L2_HalfPunc</ability>
      <abilityName>全半角检查</abilityName>
      <candidateList>
        <item>（</item>
      </candidateList>
      <explain>文本全半角错误。</explain>
      <paraID>28C0F92A</paraID>
      <start>30</start>
      <end>31</end>
      <status>unmodified</status>
      <modifiedWord/>
      <trackRevisions>false</trackRevisions>
    </reviewItem>
    <reviewItem>
      <errorID>998fe57a-3391-4788-bee1-924faa4e48eb</errorID>
      <errorWord>)</errorWord>
      <group>L1_Format</group>
      <groupName>格式问题</groupName>
      <ability>L2_HalfPunc</ability>
      <abilityName>全半角检查</abilityName>
      <candidateList>
        <item>）</item>
      </candidateList>
      <explain>文本全半角错误。</explain>
      <paraID>28C0F92A</paraID>
      <start>32</start>
      <end>33</end>
      <status>unmodified</status>
      <modifiedWord/>
      <trackRevisions>false</trackRevisions>
    </reviewItem>
    <reviewItem>
      <errorID>243dd251-0df9-4726-b1e7-242d3f303cde</errorID>
      <errorWord>(</errorWord>
      <group>L1_Format</group>
      <groupName>格式问题</groupName>
      <ability>L2_HalfPunc</ability>
      <abilityName>全半角检查</abilityName>
      <candidateList>
        <item>（</item>
      </candidateList>
      <explain>文本全半角错误。</explain>
      <paraID>3AF73DA3</paraID>
      <start>54</start>
      <end>55</end>
      <status>unmodified</status>
      <modifiedWord/>
      <trackRevisions>false</trackRevisions>
    </reviewItem>
    <reviewItem>
      <errorID>6184d2b5-daa3-417a-a581-7bbf69e8eabd</errorID>
      <errorWord>),</errorWord>
      <group>L1_Format</group>
      <groupName>格式问题</groupName>
      <ability>L2_HalfPunc</ability>
      <abilityName>全半角检查</abilityName>
      <candidateList>
        <item>），</item>
      </candidateList>
      <explain>文本全半角错误。</explain>
      <paraID>3AF73DA3</paraID>
      <start>73</start>
      <end>75</end>
      <status>unmodified</status>
      <modifiedWord/>
      <trackRevisions>false</trackRevisions>
    </reviewItem>
    <reviewItem>
      <errorID>fcbfb324-cbdc-4364-b379-eebdd37ce714</errorID>
      <errorWord>(</errorWord>
      <group>L1_Format</group>
      <groupName>格式问题</groupName>
      <ability>L2_HalfPunc</ability>
      <abilityName>全半角检查</abilityName>
      <candidateList>
        <item>（</item>
      </candidateList>
      <explain>文本全半角错误。</explain>
      <paraID>6F6954D2</paraID>
      <start>75</start>
      <end>76</end>
      <status>unmodified</status>
      <modifiedWord/>
      <trackRevisions>false</trackRevisions>
    </reviewItem>
    <reviewItem>
      <errorID>12375122-b846-4dc6-8db5-d45164962bd6</errorID>
      <errorWord>)</errorWord>
      <group>L1_Format</group>
      <groupName>格式问题</groupName>
      <ability>L2_HalfPunc</ability>
      <abilityName>全半角检查</abilityName>
      <candidateList>
        <item>）</item>
      </candidateList>
      <explain>文本全半角错误。</explain>
      <paraID>6F6954D2</paraID>
      <start>79</start>
      <end>80</end>
      <status>unmodified</status>
      <modifiedWord/>
      <trackRevisions>false</trackRevisions>
    </reviewItem>
    <reviewItem>
      <errorID>40c902ee-80da-47a8-98f5-afc526c1cae5</errorID>
      <errorWord>(</errorWord>
      <group>L1_Format</group>
      <groupName>格式问题</groupName>
      <ability>L2_HalfPunc</ability>
      <abilityName>全半角检查</abilityName>
      <candidateList>
        <item>（</item>
      </candidateList>
      <explain>文本全半角错误。</explain>
      <paraID>6F6954D2</paraID>
      <start>189</start>
      <end>190</end>
      <status>unmodified</status>
      <modifiedWord/>
      <trackRevisions>false</trackRevisions>
    </reviewItem>
    <reviewItem>
      <errorID>499f8192-0b63-4a3f-8d0f-133386a1cfbe</errorID>
      <errorWord>)</errorWord>
      <group>L1_Format</group>
      <groupName>格式问题</groupName>
      <ability>L2_HalfPunc</ability>
      <abilityName>全半角检查</abilityName>
      <candidateList>
        <item>）</item>
      </candidateList>
      <explain>文本全半角错误。</explain>
      <paraID>6F6954D2</paraID>
      <start>196</start>
      <end>197</end>
      <status>unmodified</status>
      <modifiedWord/>
      <trackRevisions>false</trackRevisions>
    </reviewItem>
    <reviewItem>
      <errorID>442420a8-f416-4894-a5eb-6ca1a38a7b01</errorID>
      <errorWord>(</errorWord>
      <group>L1_Format</group>
      <groupName>格式问题</groupName>
      <ability>L2_HalfPunc</ability>
      <abilityName>全半角检查</abilityName>
      <candidateList>
        <item>（</item>
      </candidateList>
      <explain>文本全半角错误。</explain>
      <paraID>5645F1FD</paraID>
      <start>34</start>
      <end>35</end>
      <status>unmodified</status>
      <modifiedWord/>
      <trackRevisions>false</trackRevisions>
    </reviewItem>
    <reviewItem>
      <errorID>0ef42a28-2c23-4e74-958a-9b5c41a027ea</errorID>
      <errorWord>)</errorWord>
      <group>L1_Format</group>
      <groupName>格式问题</groupName>
      <ability>L2_HalfPunc</ability>
      <abilityName>全半角检查</abilityName>
      <candidateList>
        <item>）</item>
      </candidateList>
      <explain>文本全半角错误。</explain>
      <paraID>5645F1FD</paraID>
      <start>36</start>
      <end>37</end>
      <status>unmodified</status>
      <modifiedWord/>
      <trackRevisions>false</trackRevisions>
    </reviewItem>
    <reviewItem>
      <errorID>9e033b05-faea-47eb-91a5-790416c865fc</errorID>
      <errorWord>(</errorWord>
      <group>L1_Format</group>
      <groupName>格式问题</groupName>
      <ability>L2_HalfPunc</ability>
      <abilityName>全半角检查</abilityName>
      <candidateList>
        <item>（</item>
      </candidateList>
      <explain>文本全半角错误。</explain>
      <paraID>1C9E5A79</paraID>
      <start>22</start>
      <end>23</end>
      <status>unmodified</status>
      <modifiedWord/>
      <trackRevisions>false</trackRevisions>
    </reviewItem>
    <reviewItem>
      <errorID>3e1859b7-5c53-42b9-a0c8-2d01d32062a8</errorID>
      <errorWord>)</errorWord>
      <group>L1_Format</group>
      <groupName>格式问题</groupName>
      <ability>L2_HalfPunc</ability>
      <abilityName>全半角检查</abilityName>
      <candidateList>
        <item>）</item>
      </candidateList>
      <explain>文本全半角错误。</explain>
      <paraID>1C9E5A79</paraID>
      <start>25</start>
      <end>26</end>
      <status>unmodified</status>
      <modifiedWord/>
      <trackRevisions>false</trackRevisions>
    </reviewItem>
    <reviewItem>
      <errorID>2a1a945f-e7f2-4a64-80a5-4a1350e8ca48</errorID>
      <errorWord>(</errorWord>
      <group>L1_Format</group>
      <groupName>格式问题</groupName>
      <ability>L2_HalfPunc</ability>
      <abilityName>全半角检查</abilityName>
      <candidateList>
        <item>（</item>
      </candidateList>
      <explain>文本全半角错误。</explain>
      <paraID>1C9E5A79</paraID>
      <start>29</start>
      <end>30</end>
      <status>unmodified</status>
      <modifiedWord/>
      <trackRevisions>false</trackRevisions>
    </reviewItem>
    <reviewItem>
      <errorID>ba4ec181-a803-470a-92e2-65bf2378f2b5</errorID>
      <errorWord>)</errorWord>
      <group>L1_Format</group>
      <groupName>格式问题</groupName>
      <ability>L2_HalfPunc</ability>
      <abilityName>全半角检查</abilityName>
      <candidateList>
        <item>）</item>
      </candidateList>
      <explain>文本全半角错误。</explain>
      <paraID>1C9E5A79</paraID>
      <start>31</start>
      <end>32</end>
      <status>unmodified</status>
      <modifiedWord/>
      <trackRevisions>false</trackRevisions>
    </reviewItem>
    <reviewItem>
      <errorID>b196a1b5-7142-4437-9d49-e4b002125b24</errorID>
      <errorWord>-</errorWord>
      <group>L1_Format</group>
      <groupName>格式问题</groupName>
      <ability>L2_HalfPunc</ability>
      <abilityName>全半角检查</abilityName>
      <candidateList>
        <item>－</item>
      </candidateList>
      <explain>文本全半角错误。</explain>
      <paraID>3E28ECF8</paraID>
      <start>70</start>
      <end>71</end>
      <status>unmodified</status>
      <modifiedWord/>
      <trackRevisions>false</trackRevisions>
    </reviewItem>
    <reviewItem>
      <errorID>63892f64-7a36-4073-9123-6a80f36f854f</errorID>
      <errorWord>(</errorWord>
      <group>L1_Punc</group>
      <groupName>标点问题</groupName>
      <ability>L2_Punc</ability>
      <abilityName>标点符号检查</abilityName>
      <candidateList>
        <item/>
      </candidateList>
      <explain>同一形式括号套用。</explain>
      <paraID>268240DC</paraID>
      <start>62</start>
      <end>63</end>
      <status>unmodified</status>
      <modifiedWord/>
      <trackRevisions>false</trackRevisions>
    </reviewItem>
    <reviewItem>
      <errorID>e8e1c000-8e3b-46ea-bd18-1eac6e0cde41</errorID>
      <errorWord>（</errorWord>
      <group>L1_Punc</group>
      <groupName>标点问题</groupName>
      <ability>L2_Punc</ability>
      <abilityName>标点符号检查</abilityName>
      <candidateList/>
      <explain>同一形式括号套用。</explain>
      <paraID>268240DC</paraID>
      <start>67</start>
      <end>68</end>
      <status>unmodified</status>
      <modifiedWord/>
      <trackRevisions>false</trackRevisions>
    </reviewItem>
    <reviewItem>
      <errorID>eb226577-eebe-4744-8885-763b31055704</errorID>
      <errorWord>）</errorWord>
      <group>L1_Punc</group>
      <groupName>标点问题</groupName>
      <ability>L2_Punc</ability>
      <abilityName>标点符号检查</abilityName>
      <candidateList/>
      <explain>同一形式括号套用。</explain>
      <paraID>268240DC</paraID>
      <start>75</start>
      <end>76</end>
      <status>unmodified</status>
      <modifiedWord/>
      <trackRevisions>false</trackRevisions>
    </reviewItem>
    <reviewItem>
      <errorID>23fb8313-c419-41e4-9f55-93876beb529c</errorID>
      <errorWord>)</errorWord>
      <group>L1_Punc</group>
      <groupName>标点问题</groupName>
      <ability>L2_Punc</ability>
      <abilityName>标点符号检查</abilityName>
      <candidateList/>
      <explain>同一形式括号套用。</explain>
      <paraID>268240DC</paraID>
      <start>76</start>
      <end>77</end>
      <status>unmodified</status>
      <modifiedWord/>
      <trackRevisions>false</trackRevisions>
    </reviewItem>
    <reviewItem>
      <errorID>7cffe269-8545-44bf-b64e-15d48373ab97</errorID>
      <errorWord>(</errorWord>
      <group>L1_Format</group>
      <groupName>格式问题</groupName>
      <ability>L2_HalfPunc</ability>
      <abilityName>全半角检查</abilityName>
      <candidateList>
        <item>（</item>
      </candidateList>
      <explain>文本全半角错误。</explain>
      <paraID>38654C4C</paraID>
      <start>124</start>
      <end>125</end>
      <status>unmodified</status>
      <modifiedWord/>
      <trackRevisions>false</trackRevisions>
    </reviewItem>
    <reviewItem>
      <errorID>79ddc80b-1305-49e8-af91-89b4743efcf5</errorID>
      <errorWord>)</errorWord>
      <group>L1_Format</group>
      <groupName>格式问题</groupName>
      <ability>L2_HalfPunc</ability>
      <abilityName>全半角检查</abilityName>
      <candidateList>
        <item>）</item>
      </candidateList>
      <explain>文本全半角错误。</explain>
      <paraID>38654C4C</paraID>
      <start>134</start>
      <end>135</end>
      <status>unmodified</status>
      <modifiedWord/>
      <trackRevisions>false</trackRevisions>
    </reviewItem>
    <reviewItem>
      <errorID>55c7b278-223f-42ca-856e-9603a1577e72</errorID>
      <errorWord>(</errorWord>
      <group>L1_Format</group>
      <groupName>格式问题</groupName>
      <ability>L2_HalfPunc</ability>
      <abilityName>全半角检查</abilityName>
      <candidateList>
        <item>（</item>
      </candidateList>
      <explain>文本全半角错误。</explain>
      <paraID>5C1DBEFF</paraID>
      <start>37</start>
      <end>38</end>
      <status>unmodified</status>
      <modifiedWord/>
      <trackRevisions>false</trackRevisions>
    </reviewItem>
    <reviewItem>
      <errorID>737eb1b4-e4d4-43e2-b3df-754d2f046e03</errorID>
      <errorWord>)</errorWord>
      <group>L1_Format</group>
      <groupName>格式问题</groupName>
      <ability>L2_HalfPunc</ability>
      <abilityName>全半角检查</abilityName>
      <candidateList>
        <item>）</item>
      </candidateList>
      <explain>文本全半角错误。</explain>
      <paraID>5C1DBEFF</paraID>
      <start>40</start>
      <end>41</end>
      <status>unmodified</status>
      <modifiedWord/>
      <trackRevisions>false</trackRevisions>
    </reviewItem>
    <reviewItem>
      <errorID>99790913-03b1-4bbd-ba16-578538ef22f9</errorID>
      <errorWord>(</errorWord>
      <group>L1_Format</group>
      <groupName>格式问题</groupName>
      <ability>L2_HalfPunc</ability>
      <abilityName>全半角检查</abilityName>
      <candidateList>
        <item>（</item>
      </candidateList>
      <explain>文本全半角错误。</explain>
      <paraID> 1933F3A</paraID>
      <start>21</start>
      <end>22</end>
      <status>unmodified</status>
      <modifiedWord/>
      <trackRevisions>false</trackRevisions>
    </reviewItem>
    <reviewItem>
      <errorID>f3e9c57d-5a2e-4b67-8429-d2b7d87adbec</errorID>
      <errorWord>)</errorWord>
      <group>L1_Format</group>
      <groupName>格式问题</groupName>
      <ability>L2_HalfPunc</ability>
      <abilityName>全半角检查</abilityName>
      <candidateList>
        <item>）</item>
      </candidateList>
      <explain>文本全半角错误。</explain>
      <paraID> 1933F3A</paraID>
      <start>23</start>
      <end>24</end>
      <status>unmodified</status>
      <modifiedWord/>
      <trackRevisions>false</trackRevisions>
    </reviewItem>
    <reviewItem>
      <errorID>5583588c-9954-40ba-b221-e2c84b3ba5e8</errorID>
      <errorWord>(</errorWord>
      <group>L1_Format</group>
      <groupName>格式问题</groupName>
      <ability>L2_HalfPunc</ability>
      <abilityName>全半角检查</abilityName>
      <candidateList>
        <item>（</item>
      </candidateList>
      <explain>文本全半角错误。</explain>
      <paraID>46E07804</paraID>
      <start>169</start>
      <end>170</end>
      <status>unmodified</status>
      <modifiedWord/>
      <trackRevisions>false</trackRevisions>
    </reviewItem>
    <reviewItem>
      <errorID>9f655740-c6df-4993-b54e-996e95dedaca</errorID>
      <errorWord>)</errorWord>
      <group>L1_Format</group>
      <groupName>格式问题</groupName>
      <ability>L2_HalfPunc</ability>
      <abilityName>全半角检查</abilityName>
      <candidateList>
        <item>）</item>
      </candidateList>
      <explain>文本全半角错误。</explain>
      <paraID>46E07804</paraID>
      <start>171</start>
      <end>172</end>
      <status>unmodified</status>
      <modifiedWord/>
      <trackRevisions>false</trackRevisions>
    </reviewItem>
    <reviewItem>
      <errorID>d8447006-01d6-4b22-b0a1-bef526c3d103</errorID>
      <errorWord>(</errorWord>
      <group>L1_Format</group>
      <groupName>格式问题</groupName>
      <ability>L2_HalfPunc</ability>
      <abilityName>全半角检查</abilityName>
      <candidateList>
        <item>（</item>
      </candidateList>
      <explain>文本全半角错误。</explain>
      <paraID>1B0B0F09</paraID>
      <start>239</start>
      <end>240</end>
      <status>unmodified</status>
      <modifiedWord/>
      <trackRevisions>false</trackRevisions>
    </reviewItem>
    <reviewItem>
      <errorID>da5e03c8-31d4-43c5-8b9d-5121ac5c232b</errorID>
      <errorWord>)</errorWord>
      <group>L1_Format</group>
      <groupName>格式问题</groupName>
      <ability>L2_HalfPunc</ability>
      <abilityName>全半角检查</abilityName>
      <candidateList>
        <item>）</item>
      </candidateList>
      <explain>文本全半角错误。</explain>
      <paraID>1B0B0F09</paraID>
      <start>241</start>
      <end>242</end>
      <status>unmodified</status>
      <modifiedWord/>
      <trackRevisions>false</trackRevisions>
    </reviewItem>
    <reviewItem>
      <errorID>e2fc8e3c-fde2-4ed0-b2e2-069a82ab9fb0</errorID>
      <errorWord>(</errorWord>
      <group>L1_Format</group>
      <groupName>格式问题</groupName>
      <ability>L2_HalfPunc</ability>
      <abilityName>全半角检查</abilityName>
      <candidateList>
        <item>（</item>
      </candidateList>
      <explain>文本全半角错误。</explain>
      <paraID> CCE686E</paraID>
      <start>32</start>
      <end>33</end>
      <status>unmodified</status>
      <modifiedWord/>
      <trackRevisions>false</trackRevisions>
    </reviewItem>
    <reviewItem>
      <errorID>88568b52-d4d4-411f-8d62-f96c224d2288</errorID>
      <errorWord>)</errorWord>
      <group>L1_Format</group>
      <groupName>格式问题</groupName>
      <ability>L2_HalfPunc</ability>
      <abilityName>全半角检查</abilityName>
      <candidateList>
        <item>）</item>
      </candidateList>
      <explain>文本全半角错误。</explain>
      <paraID> CCE686E</paraID>
      <start>37</start>
      <end>38</end>
      <status>unmodified</status>
      <modifiedWord/>
      <trackRevisions>false</trackRevisions>
    </reviewItem>
    <reviewItem>
      <errorID>e7ae11bf-b717-4d03-8710-49086375a10b</errorID>
      <errorWord>“</errorWord>
      <group>L1_Punc</group>
      <groupName>标点问题</groupName>
      <ability>L2_Punc</ability>
      <abilityName>标点符号检查</abilityName>
      <candidateList/>
      <explain/>
      <paraID>41B6A7F3</paraID>
      <start>101</start>
      <end>102</end>
      <status>unmodified</status>
      <modifiedWord/>
      <trackRevisions>false</trackRevisions>
    </reviewItem>
    <reviewItem>
      <errorID>2a9f5425-be27-42f8-bb5f-91cb9e95e77d</errorID>
      <errorWord>“</errorWord>
      <group>L1_Punc</group>
      <groupName>标点问题</groupName>
      <ability>L2_Punc</ability>
      <abilityName>标点符号检查</abilityName>
      <candidateList>
        <item>‘</item>
      </candidateList>
      <explain>当引号中还需要使用引号时，外面一层用双引号，里面一层用单引号。</explain>
      <paraID>515B7966</paraID>
      <start>18</start>
      <end>19</end>
      <status>unmodified</status>
      <modifiedWord/>
      <trackRevisions>false</trackRevisions>
    </reviewItem>
    <reviewItem>
      <errorID>2feccedf-0a5c-4c3b-a984-22f986c6eaf8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66F82FA0</paraID>
      <start>0</start>
      <end>2</end>
      <status>unmodified</status>
      <modifiedWord/>
      <trackRevisions>false</trackRevisions>
    </reviewItem>
    <reviewItem>
      <errorID>a89297c4-44c7-4732-9648-4eb072cea704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4DD9B7EF</paraID>
      <start>0</start>
      <end>2</end>
      <status>unmodified</status>
      <modifiedWord/>
      <trackRevisions>false</trackRevisions>
    </reviewItem>
    <reviewItem>
      <errorID>daa9f9ac-2112-4be4-acea-a2ffc6665f22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3DA05733</paraID>
      <start>0</start>
      <end>2</end>
      <status>unmodified</status>
      <modifiedWord/>
      <trackRevisions>false</trackRevisions>
    </reviewItem>
    <reviewItem>
      <errorID>88a10d5f-2465-446c-8b5f-43fa07c417aa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263413E2</paraID>
      <start>0</start>
      <end>2</end>
      <status>unmodified</status>
      <modifiedWord/>
      <trackRevisions>false</trackRevisions>
    </reviewItem>
    <reviewItem>
      <errorID>4e98b874-8d4b-4922-9ec1-d906e783a924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34092F7E</paraID>
      <start>0</start>
      <end>2</end>
      <status>unmodified</status>
      <modifiedWord/>
      <trackRevisions>false</trackRevisions>
    </reviewItem>
    <reviewItem>
      <errorID>d7704e11-5ea9-40be-bfc6-9f45cc46b847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56A23E13</paraID>
      <start>0</start>
      <end>2</end>
      <status>unmodified</status>
      <modifiedWord/>
      <trackRevisions>false</trackRevisions>
    </reviewItem>
    <reviewItem>
      <errorID>b9b45fc4-6dce-4731-a1d1-30bbd3eb058f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1AFF88EB</paraID>
      <start>0</start>
      <end>2</end>
      <status>unmodified</status>
      <modifiedWord/>
      <trackRevisions>false</trackRevisions>
    </reviewItem>
    <reviewItem>
      <errorID>967129c5-0665-4641-8077-a5bffd13528d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7CE070DF</paraID>
      <start>0</start>
      <end>2</end>
      <status>unmodified</status>
      <modifiedWord/>
      <trackRevisions>false</trackRevisions>
    </reviewItem>
    <reviewItem>
      <errorID>8d4eab26-0847-407f-af21-4450232e5601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3F3558CB</paraID>
      <start>0</start>
      <end>2</end>
      <status>unmodified</status>
      <modifiedWord/>
      <trackRevisions>false</trackRevisions>
    </reviewItem>
    <reviewItem>
      <errorID>71be081c-fb0c-4ca5-bcd8-dd873d8426d7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10869E5F</paraID>
      <start>0</start>
      <end>2</end>
      <status>unmodified</status>
      <modifiedWord/>
      <trackRevisions>false</trackRevisions>
    </reviewItem>
    <reviewItem>
      <errorID>075d6596-ddf3-4355-9ebb-2174706377d4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3456E31F</paraID>
      <start>0</start>
      <end>2</end>
      <status>unmodified</status>
      <modifiedWord/>
      <trackRevisions>false</trackRevisions>
    </reviewItem>
    <reviewItem>
      <errorID>95f9f845-458d-4563-88b4-57758621b303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135A9D6F</paraID>
      <start>0</start>
      <end>2</end>
      <status>unmodified</status>
      <modifiedWord/>
      <trackRevisions>false</trackRevisions>
    </reviewItem>
    <reviewItem>
      <errorID>d4a30a5c-9f97-40ef-a94d-aa0f2cc4bc03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1B244A6D</paraID>
      <start>0</start>
      <end>2</end>
      <status>unmodified</status>
      <modifiedWord/>
      <trackRevisions>false</trackRevisions>
    </reviewItem>
    <reviewItem>
      <errorID>68cb8fc4-7797-4d29-8473-94a53ce73d89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167BF7E5</paraID>
      <start>0</start>
      <end>2</end>
      <status>unmodified</status>
      <modifiedWord/>
      <trackRevisions>false</trackRevisions>
    </reviewItem>
    <reviewItem>
      <errorID>6abefede-2dc8-4fde-9364-adf9c8919553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1439A50E</paraID>
      <start>0</start>
      <end>2</end>
      <status>unmodified</status>
      <modifiedWord/>
      <trackRevisions>false</trackRevisions>
    </reviewItem>
    <reviewItem>
      <errorID>d5712715-aa58-474f-be2a-b49701720912</errorID>
      <errorWord>~</errorWord>
      <group>L1_Format</group>
      <groupName>格式问题</groupName>
      <ability>L2_HalfPunc</ability>
      <abilityName>全半角检查</abilityName>
      <candidateList>
        <item>～</item>
      </candidateList>
      <explain>文本全半角错误。</explain>
      <paraID>787DD7F8</paraID>
      <start>24</start>
      <end>25</end>
      <status>unmodified</status>
      <modifiedWord/>
      <trackRevisions>false</trackRevisions>
    </reviewItem>
    <reviewItem>
      <errorID>b7c9b94e-eeb4-4eac-af9c-e3e74b4dfa38</errorID>
      <errorWord>~</errorWord>
      <group>L1_Format</group>
      <groupName>格式问题</groupName>
      <ability>L2_HalfPunc</ability>
      <abilityName>全半角检查</abilityName>
      <candidateList>
        <item>～</item>
      </candidateList>
      <explain>文本全半角错误。</explain>
      <paraID>78126419</paraID>
      <start>17</start>
      <end>18</end>
      <status>unmodified</status>
      <modifiedWord/>
      <trackRevisions>false</trackRevisions>
    </reviewItem>
    <reviewItem>
      <errorID>5494020c-76df-4133-8584-be4778292453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52CC8CDB</paraID>
      <start>207</start>
      <end>208</end>
      <status>unmodified</status>
      <modifiedWord/>
      <trackRevisions>false</trackRevisions>
    </reviewItem>
    <reviewItem>
      <errorID>27d272b9-0046-4c4c-b519-2e41f9c72878</errorID>
      <errorWord>"</errorWord>
      <group>L1_Format</group>
      <groupName>格式问题</groupName>
      <ability>L2_HalfPunc</ability>
      <abilityName>全半角检查</abilityName>
      <candidateList/>
      <explain>文本全半角错误。</explain>
      <paraID>5914CEBB</paraID>
      <start>36</start>
      <end>37</end>
      <status>unmodified</status>
      <modifiedWord/>
      <trackRevisions>false</trackRevisions>
    </reviewItem>
    <reviewItem>
      <errorID>d67950ab-8f38-4e32-9897-017e1fb91599</errorID>
      <errorWord>"</errorWord>
      <group>L1_Format</group>
      <groupName>格式问题</groupName>
      <ability>L2_HalfPunc</ability>
      <abilityName>全半角检查</abilityName>
      <candidateList/>
      <explain>文本全半角错误。</explain>
      <paraID>5914CEBB</paraID>
      <start>53</start>
      <end>54</end>
      <status>unmodified</status>
      <modifiedWord/>
      <trackRevisions>false</trackRevisions>
    </reviewItem>
    <reviewItem>
      <errorID>94951de4-02db-4e95-9eea-61eae083cd44</errorID>
      <errorWord>融化</errorWord>
      <group>L1_Word</group>
      <groupName>字词问题</groupName>
      <ability>L2_Typo</ability>
      <abilityName>字词错误</abilityName>
      <candidateList>
        <item>熔化</item>
      </candidateList>
      <explain>存在发音相同字词的误用。</explain>
      <paraID>5701D272</paraID>
      <start>26</start>
      <end>28</end>
      <status>unmodified</status>
      <modifiedWord/>
      <trackRevisions>false</trackRevisions>
    </reviewItem>
    <reviewItem>
      <errorID>8886dc33-06f8-4bf3-aff2-0e2a048b62bd</errorID>
      <errorWord>~</errorWord>
      <group>L1_Format</group>
      <groupName>格式问题</groupName>
      <ability>L2_HalfPunc</ability>
      <abilityName>全半角检查</abilityName>
      <candidateList>
        <item>～</item>
      </candidateList>
      <explain>文本全半角错误。</explain>
      <paraID>603B906D</paraID>
      <start>13</start>
      <end>14</end>
      <status>unmodified</status>
      <modifiedWord/>
      <trackRevisions>false</trackRevisions>
    </reviewItem>
    <reviewItem>
      <errorID>31919602-2129-451d-813f-ba6fc4877849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277E7C26</paraID>
      <start>28</start>
      <end>29</end>
      <status>unmodified</status>
      <modifiedWord/>
      <trackRevisions>false</trackRevisions>
    </reviewItem>
    <reviewItem>
      <errorID>c33c4e9a-de47-4926-b426-47b1f288bb66</errorID>
      <errorWord>-</errorWord>
      <group>L1_Format</group>
      <groupName>格式问题</groupName>
      <ability>L2_HalfPunc</ability>
      <abilityName>全半角检查</abilityName>
      <candidateList>
        <item>－</item>
      </candidateList>
      <explain>文本全半角错误。</explain>
      <paraID>42C482AB</paraID>
      <start>259</start>
      <end>260</end>
      <status>unmodified</status>
      <modifiedWord/>
      <trackRevisions>false</trackRevisions>
    </reviewItem>
    <reviewItem>
      <errorID>b1f24a09-32b7-46ad-bcfc-6c25b42cfb29</errorID>
      <errorWord>（</errorWord>
      <group>L1_Format</group>
      <groupName>格式问题</groupName>
      <ability>L2_HalfPunc</ability>
      <abilityName>全半角检查</abilityName>
      <candidateList>
        <item>(</item>
      </candidateList>
      <explain>文本全半角错误。</explain>
      <paraID>65BB50B1</paraID>
      <start>0</start>
      <end>1</end>
      <status>unmodified</status>
      <modifiedWord/>
      <trackRevisions>false</trackRevisions>
    </reviewItem>
    <reviewItem>
      <errorID>5b2eb48d-546d-4a9f-8ca3-92643aaa0773</errorID>
      <errorWord>）</errorWord>
      <group>L1_Format</group>
      <groupName>格式问题</groupName>
      <ability>L2_HalfPunc</ability>
      <abilityName>全半角检查</abilityName>
      <candidateList>
        <item>)</item>
      </candidateList>
      <explain>文本全半角错误。</explain>
      <paraID>65BB50B1</paraID>
      <start>7</start>
      <end>8</end>
      <status>unmodified</status>
      <modifiedWord/>
      <trackRevisions>false</trackRevisions>
    </reviewItem>
    <reviewItem>
      <errorID>75488e56-0b8e-4f2f-afdd-5a72befa4b12</errorID>
      <errorWord>(</errorWord>
      <group>L1_Format</group>
      <groupName>格式问题</groupName>
      <ability>L2_HalfPunc</ability>
      <abilityName>全半角检查</abilityName>
      <candidateList>
        <item>（</item>
      </candidateList>
      <explain>文本全半角错误。</explain>
      <paraID> 536D6E3</paraID>
      <start>40</start>
      <end>41</end>
      <status>unmodified</status>
      <modifiedWord/>
      <trackRevisions>false</trackRevisions>
    </reviewItem>
    <reviewItem>
      <errorID>094edd5b-bedc-40b6-8c74-3348a3765f52</errorID>
      <errorWord>)</errorWord>
      <group>L1_Format</group>
      <groupName>格式问题</groupName>
      <ability>L2_HalfPunc</ability>
      <abilityName>全半角检查</abilityName>
      <candidateList>
        <item>）</item>
      </candidateList>
      <explain>文本全半角错误。</explain>
      <paraID> 536D6E3</paraID>
      <start>51</start>
      <end>52</end>
      <status>unmodified</status>
      <modifiedWord/>
      <trackRevisions>false</trackRevisions>
    </reviewItem>
    <reviewItem>
      <errorID>7026bd1a-8bfb-4785-b13c-90d0c25f2cdb</errorID>
      <errorWord>(</errorWord>
      <group>L1_Format</group>
      <groupName>格式问题</groupName>
      <ability>L2_HalfPunc</ability>
      <abilityName>全半角检查</abilityName>
      <candidateList>
        <item>（</item>
      </candidateList>
      <explain>文本全半角错误。</explain>
      <paraID>43A952AA</paraID>
      <start>9</start>
      <end>10</end>
      <status>unmodified</status>
      <modifiedWord/>
      <trackRevisions>false</trackRevisions>
    </reviewItem>
    <reviewItem>
      <errorID>6f46a74d-b844-4911-b592-2de904ed9972</errorID>
      <errorWord>)</errorWord>
      <group>L1_Format</group>
      <groupName>格式问题</groupName>
      <ability>L2_HalfPunc</ability>
      <abilityName>全半角检查</abilityName>
      <candidateList>
        <item>）</item>
      </candidateList>
      <explain>文本全半角错误。</explain>
      <paraID>43A952AA</paraID>
      <start>22</start>
      <end>23</end>
      <status>unmodified</status>
      <modifiedWord/>
      <trackRevisions>false</trackRevisions>
    </reviewItem>
    <reviewItem>
      <errorID>d16dbf73-c210-4b72-a107-31f2989c4a1b</errorID>
      <errorWord>（</errorWord>
      <group>L1_Format</group>
      <groupName>格式问题</groupName>
      <ability>L2_HalfPunc</ability>
      <abilityName>全半角检查</abilityName>
      <candidateList>
        <item>(</item>
      </candidateList>
      <explain>文本全半角错误。</explain>
      <paraID>69D38C99</paraID>
      <start>4</start>
      <end>5</end>
      <status>unmodified</status>
      <modifiedWord/>
      <trackRevisions>false</trackRevisions>
    </reviewItem>
    <reviewItem>
      <errorID>4c23b529-800e-4204-9316-2a65315a35f8</errorID>
      <errorWord>）</errorWord>
      <group>L1_Format</group>
      <groupName>格式问题</groupName>
      <ability>L2_HalfPunc</ability>
      <abilityName>全半角检查</abilityName>
      <candidateList>
        <item>)</item>
      </candidateList>
      <explain>文本全半角错误。</explain>
      <paraID>69D38C99</paraID>
      <start>6</start>
      <end>7</end>
      <status>unmodified</status>
      <modifiedWord/>
      <trackRevisions>false</trackRevisions>
    </reviewItem>
    <reviewItem>
      <errorID>9c5eb07a-0543-4fdd-bd30-1bb624bffc68</errorID>
      <errorWord>（</errorWord>
      <group>L1_Format</group>
      <groupName>格式问题</groupName>
      <ability>L2_HalfPunc</ability>
      <abilityName>全半角检查</abilityName>
      <candidateList>
        <item>(</item>
      </candidateList>
      <explain>文本全半角错误。</explain>
      <paraID> 45B883A</paraID>
      <start>4</start>
      <end>5</end>
      <status>unmodified</status>
      <modifiedWord/>
      <trackRevisions>false</trackRevisions>
    </reviewItem>
    <reviewItem>
      <errorID>c01ea3cb-6715-4d31-a89d-765f71651fcc</errorID>
      <errorWord>）</errorWord>
      <group>L1_Format</group>
      <groupName>格式问题</groupName>
      <ability>L2_HalfPunc</ability>
      <abilityName>全半角检查</abilityName>
      <candidateList>
        <item>)</item>
      </candidateList>
      <explain>文本全半角错误。</explain>
      <paraID> 45B883A</paraID>
      <start>6</start>
      <end>7</end>
      <status>unmodified</status>
      <modifiedWord/>
      <trackRevisions>false</trackRevisions>
    </reviewItem>
    <reviewItem>
      <errorID>a5a059c4-7054-4b5a-9abd-a903873d8441</errorID>
      <errorWord>:</errorWord>
      <group>L1_Format</group>
      <groupName>格式问题</groupName>
      <ability>L2_HalfPunc</ability>
      <abilityName>全半角检查</abilityName>
      <candidateList>
        <item>：</item>
      </candidateList>
      <explain>文本全半角错误。</explain>
      <paraID>3FB7372E</paraID>
      <start>68</start>
      <end>69</end>
      <status>unmodified</status>
      <modifiedWord/>
      <trackRevisions>false</trackRevisions>
    </reviewItem>
    <reviewItem>
      <errorID>7562c373-5a38-4a03-9a07-681289542c27</errorID>
      <errorWord>（</errorWord>
      <group>L1_Punc</group>
      <groupName>标点问题</groupName>
      <ability>L2_Punc</ability>
      <abilityName>标点符号检查</abilityName>
      <candidateList/>
      <explain>同一形式括号套用。</explain>
      <paraID>3FB7372E</paraID>
      <start>120</start>
      <end>121</end>
      <status>unmodified</status>
      <modifiedWord/>
      <trackRevisions>false</trackRevisions>
    </reviewItem>
    <reviewItem>
      <errorID>c80461fa-35e8-44a5-ba17-c19a1d6876c7</errorID>
      <errorWord>）</errorWord>
      <group>L1_Punc</group>
      <groupName>标点问题</groupName>
      <ability>L2_Punc</ability>
      <abilityName>标点符号检查</abilityName>
      <candidateList/>
      <explain>同一形式括号套用。</explain>
      <paraID>3FB7372E</paraID>
      <start>128</start>
      <end>129</end>
      <status>unmodified</status>
      <modifiedWord/>
      <trackRevisions>false</trackRevisions>
    </reviewItem>
    <reviewItem>
      <errorID>ba2317f3-d88a-47e8-b876-f868eb155052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1AC999C1</paraID>
      <start>177</start>
      <end>178</end>
      <status>unmodified</status>
      <modifiedWord/>
      <trackRevisions>false</trackRevisions>
    </reviewItem>
    <reviewItem>
      <errorID>723f8197-9828-4544-a5f6-a31c39be15e0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1AC999C1</paraID>
      <start>204</start>
      <end>205</end>
      <status>unmodified</status>
      <modifiedWord/>
      <trackRevisions>false</trackRevisions>
    </reviewItem>
    <reviewItem>
      <errorID>572935da-9b73-4e37-be44-d1dcf77eddf6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1AC999C1</paraID>
      <start>235</start>
      <end>236</end>
      <status>unmodified</status>
      <modifiedWord/>
      <trackRevisions>false</trackRevisions>
    </reviewItem>
    <reviewItem>
      <errorID>81a04332-1921-4abf-a58a-917a8d06e8c9</errorID>
      <errorWord>(</errorWord>
      <group>L1_Format</group>
      <groupName>格式问题</groupName>
      <ability>L2_HalfPunc</ability>
      <abilityName>全半角检查</abilityName>
      <candidateList>
        <item>（</item>
      </candidateList>
      <explain>文本全半角错误。</explain>
      <paraID>6B9028B1</paraID>
      <start>5</start>
      <end>6</end>
      <status>unmodified</status>
      <modifiedWord/>
      <trackRevisions>false</trackRevisions>
    </reviewItem>
    <reviewItem>
      <errorID>27200c0f-30b1-461d-bee4-0fb0da216b49</errorID>
      <errorWord>)</errorWord>
      <group>L1_Format</group>
      <groupName>格式问题</groupName>
      <ability>L2_HalfPunc</ability>
      <abilityName>全半角检查</abilityName>
      <candidateList>
        <item>）</item>
      </candidateList>
      <explain>文本全半角错误。</explain>
      <paraID>6B9028B1</paraID>
      <start>9</start>
      <end>10</end>
      <status>unmodified</status>
      <modifiedWord/>
      <trackRevisions>false</trackRevisions>
    </reviewItem>
    <reviewItem>
      <errorID>5a8f6fbe-1ed9-4a97-8c60-b0a32e741c6b</errorID>
      <errorWord>(</errorWord>
      <group>L1_Format</group>
      <groupName>格式问题</groupName>
      <ability>L2_HalfPunc</ability>
      <abilityName>全半角检查</abilityName>
      <candidateList>
        <item>（</item>
      </candidateList>
      <explain>文本全半角错误。</explain>
      <paraID>6B9028B1</paraID>
      <start>52</start>
      <end>53</end>
      <status>unmodified</status>
      <modifiedWord/>
      <trackRevisions>false</trackRevisions>
    </reviewItem>
    <reviewItem>
      <errorID>71bd8f40-518e-4b2d-8ed0-b81d881a5686</errorID>
      <errorWord>)</errorWord>
      <group>L1_Format</group>
      <groupName>格式问题</groupName>
      <ability>L2_HalfPunc</ability>
      <abilityName>全半角检查</abilityName>
      <candidateList>
        <item>）</item>
      </candidateList>
      <explain>文本全半角错误。</explain>
      <paraID>6B9028B1</paraID>
      <start>55</start>
      <end>56</end>
      <status>unmodified</status>
      <modifiedWord/>
      <trackRevisions>false</trackRevisions>
    </reviewItem>
    <reviewItem>
      <errorID>304aad3d-b70d-4225-801e-0b40fae55a7d</errorID>
      <errorWord>(</errorWord>
      <group>L1_Format</group>
      <groupName>格式问题</groupName>
      <ability>L2_HalfPunc</ability>
      <abilityName>全半角检查</abilityName>
      <candidateList>
        <item>（</item>
      </candidateList>
      <explain>文本全半角错误。</explain>
      <paraID>6B9028B1</paraID>
      <start>65</start>
      <end>66</end>
      <status>unmodified</status>
      <modifiedWord/>
      <trackRevisions>false</trackRevisions>
    </reviewItem>
    <reviewItem>
      <errorID>ccfe73ea-2c2e-4c41-add7-324117a60d09</errorID>
      <errorWord>)</errorWord>
      <group>L1_Format</group>
      <groupName>格式问题</groupName>
      <ability>L2_HalfPunc</ability>
      <abilityName>全半角检查</abilityName>
      <candidateList>
        <item>）</item>
      </candidateList>
      <explain>文本全半角错误。</explain>
      <paraID>6B9028B1</paraID>
      <start>70</start>
      <end>71</end>
      <status>unmodified</status>
      <modifiedWord/>
      <trackRevisions>false</trackRevisions>
    </reviewItem>
    <reviewItem>
      <errorID>84f0f5a2-5b40-4a57-b6d0-239ddb744ea5</errorID>
      <errorWord>(</errorWord>
      <group>L1_Format</group>
      <groupName>格式问题</groupName>
      <ability>L2_HalfPunc</ability>
      <abilityName>全半角检查</abilityName>
      <candidateList>
        <item>（</item>
      </candidateList>
      <explain>文本全半角错误。</explain>
      <paraID>3887A902</paraID>
      <start>104</start>
      <end>105</end>
      <status>unmodified</status>
      <modifiedWord/>
      <trackRevisions>false</trackRevisions>
    </reviewItem>
    <reviewItem>
      <errorID>0ad98706-74d8-40fa-bd0a-3bd369d94fa4</errorID>
      <errorWord>)</errorWord>
      <group>L1_Format</group>
      <groupName>格式问题</groupName>
      <ability>L2_HalfPunc</ability>
      <abilityName>全半角检查</abilityName>
      <candidateList>
        <item>）</item>
      </candidateList>
      <explain>文本全半角错误。</explain>
      <paraID>3887A902</paraID>
      <start>108</start>
      <end>109</end>
      <status>unmodified</status>
      <modifiedWord/>
      <trackRevisions>false</trackRevisions>
    </reviewItem>
    <reviewItem>
      <errorID>13384de2-9ce5-46be-9155-30647d8ed4c0</errorID>
      <errorWord>(</errorWord>
      <group>L1_Format</group>
      <groupName>格式问题</groupName>
      <ability>L2_HalfPunc</ability>
      <abilityName>全半角检查</abilityName>
      <candidateList>
        <item>（</item>
      </candidateList>
      <explain>文本全半角错误。</explain>
      <paraID>6DF7C4BA</paraID>
      <start>7</start>
      <end>8</end>
      <status>unmodified</status>
      <modifiedWord/>
      <trackRevisions>false</trackRevisions>
    </reviewItem>
    <reviewItem>
      <errorID>be259718-56e4-4a88-b2cd-88fe318efb50</errorID>
      <errorWord>)</errorWord>
      <group>L1_Format</group>
      <groupName>格式问题</groupName>
      <ability>L2_HalfPunc</ability>
      <abilityName>全半角检查</abilityName>
      <candidateList>
        <item>）</item>
      </candidateList>
      <explain>文本全半角错误。</explain>
      <paraID>6DF7C4BA</paraID>
      <start>9</start>
      <end>10</end>
      <status>unmodified</status>
      <modifiedWord/>
      <trackRevisions>false</trackRevisions>
    </reviewItem>
    <reviewItem>
      <errorID>14c2dfbe-8cd5-4a50-af5c-8ecb517f601c</errorID>
      <errorWord>(</errorWord>
      <group>L1_Format</group>
      <groupName>格式问题</groupName>
      <ability>L2_HalfPunc</ability>
      <abilityName>全半角检查</abilityName>
      <candidateList>
        <item>（</item>
      </candidateList>
      <explain>文本全半角错误。</explain>
      <paraID>7262A7B3</paraID>
      <start>5</start>
      <end>6</end>
      <status>unmodified</status>
      <modifiedWord/>
      <trackRevisions>false</trackRevisions>
    </reviewItem>
    <reviewItem>
      <errorID>9c701150-398a-44e6-b1a1-b460ae366544</errorID>
      <errorWord>)</errorWord>
      <group>L1_Format</group>
      <groupName>格式问题</groupName>
      <ability>L2_HalfPunc</ability>
      <abilityName>全半角检查</abilityName>
      <candidateList>
        <item>）</item>
      </candidateList>
      <explain>文本全半角错误。</explain>
      <paraID>7262A7B3</paraID>
      <start>7</start>
      <end>8</end>
      <status>unmodified</status>
      <modifiedWord/>
      <trackRevisions>false</trackRevisions>
    </reviewItem>
    <reviewItem>
      <errorID>bad83338-8ab7-47ec-99ee-ec8d66f6d20b</errorID>
      <errorWord>(</errorWord>
      <group>L1_Format</group>
      <groupName>格式问题</groupName>
      <ability>L2_HalfPunc</ability>
      <abilityName>全半角检查</abilityName>
      <candidateList>
        <item>（</item>
      </candidateList>
      <explain>文本全半角错误。</explain>
      <paraID>7A53A235</paraID>
      <start>7</start>
      <end>8</end>
      <status>unmodified</status>
      <modifiedWord/>
      <trackRevisions>false</trackRevisions>
    </reviewItem>
    <reviewItem>
      <errorID>2a42da1c-cca0-464f-a51b-0b12277cdfcb</errorID>
      <errorWord>)</errorWord>
      <group>L1_Format</group>
      <groupName>格式问题</groupName>
      <ability>L2_HalfPunc</ability>
      <abilityName>全半角检查</abilityName>
      <candidateList>
        <item>）</item>
      </candidateList>
      <explain>文本全半角错误。</explain>
      <paraID>7A53A235</paraID>
      <start>9</start>
      <end>10</end>
      <status>unmodified</status>
      <modifiedWord/>
      <trackRevisions>false</trackRevisions>
    </reviewItem>
    <reviewItem>
      <errorID>cabf0021-2f98-48dc-b520-5d1b9b292ad8</errorID>
      <errorWord>(</errorWord>
      <group>L1_Format</group>
      <groupName>格式问题</groupName>
      <ability>L2_HalfPunc</ability>
      <abilityName>全半角检查</abilityName>
      <candidateList>
        <item>（</item>
      </candidateList>
      <explain>文本全半角错误。</explain>
      <paraID>36BD34D5</paraID>
      <start>4</start>
      <end>5</end>
      <status>unmodified</status>
      <modifiedWord/>
      <trackRevisions>false</trackRevisions>
    </reviewItem>
    <reviewItem>
      <errorID>d0e89e55-8645-4c52-bfeb-1b2757665388</errorID>
      <errorWord>)</errorWord>
      <group>L1_Format</group>
      <groupName>格式问题</groupName>
      <ability>L2_HalfPunc</ability>
      <abilityName>全半角检查</abilityName>
      <candidateList>
        <item>）</item>
      </candidateList>
      <explain>文本全半角错误。</explain>
      <paraID>36BD34D5</paraID>
      <start>8</start>
      <end>9</end>
      <status>unmodified</status>
      <modifiedWord/>
      <trackRevisions>false</trackRevisions>
    </reviewItem>
    <reviewItem>
      <errorID>cd580eb5-25fe-491c-b759-0c02c6342fde</errorID>
      <errorWord>(</errorWord>
      <group>L1_Format</group>
      <groupName>格式问题</groupName>
      <ability>L2_HalfPunc</ability>
      <abilityName>全半角检查</abilityName>
      <candidateList>
        <item>（</item>
      </candidateList>
      <explain>文本全半角错误。</explain>
      <paraID>71E0366F</paraID>
      <start>4</start>
      <end>5</end>
      <status>unmodified</status>
      <modifiedWord/>
      <trackRevisions>false</trackRevisions>
    </reviewItem>
    <reviewItem>
      <errorID>8b89bea0-e079-4588-8ee1-cffb24e571a5</errorID>
      <errorWord>)</errorWord>
      <group>L1_Format</group>
      <groupName>格式问题</groupName>
      <ability>L2_HalfPunc</ability>
      <abilityName>全半角检查</abilityName>
      <candidateList>
        <item>）</item>
      </candidateList>
      <explain>文本全半角错误。</explain>
      <paraID>71E0366F</paraID>
      <start>6</start>
      <end>7</end>
      <status>unmodified</status>
      <modifiedWord/>
      <trackRevisions>false</trackRevisions>
    </reviewItem>
    <reviewItem>
      <errorID>ae8e2835-35aa-4bff-a0ef-558c0c9cc6e6</errorID>
      <errorWord>(</errorWord>
      <group>L1_Format</group>
      <groupName>格式问题</groupName>
      <ability>L2_HalfPunc</ability>
      <abilityName>全半角检查</abilityName>
      <candidateList>
        <item>（</item>
      </candidateList>
      <explain>文本全半角错误。</explain>
      <paraID>79A33141</paraID>
      <start>6</start>
      <end>7</end>
      <status>unmodified</status>
      <modifiedWord/>
      <trackRevisions>false</trackRevisions>
    </reviewItem>
    <reviewItem>
      <errorID>01bb0dfc-d79d-4d16-82f3-a40c501b8966</errorID>
      <errorWord>)</errorWord>
      <group>L1_Format</group>
      <groupName>格式问题</groupName>
      <ability>L2_HalfPunc</ability>
      <abilityName>全半角检查</abilityName>
      <candidateList>
        <item>）</item>
      </candidateList>
      <explain>文本全半角错误。</explain>
      <paraID>79A33141</paraID>
      <start>8</start>
      <end>9</end>
      <status>unmodified</status>
      <modifiedWord/>
      <trackRevisions>false</trackRevisions>
    </reviewItem>
    <reviewItem>
      <errorID>6f93fc33-7f0c-4b3c-9313-bc80e9754c7e</errorID>
      <errorWord>(</errorWord>
      <group>L1_Format</group>
      <groupName>格式问题</groupName>
      <ability>L2_HalfPunc</ability>
      <abilityName>全半角检查</abilityName>
      <candidateList>
        <item>（</item>
      </candidateList>
      <explain>文本全半角错误。</explain>
      <paraID>31D9E7F0</paraID>
      <start>7</start>
      <end>8</end>
      <status>unmodified</status>
      <modifiedWord/>
      <trackRevisions>false</trackRevisions>
    </reviewItem>
    <reviewItem>
      <errorID>47b468b0-ab1a-46e7-91a9-2cf117f39201</errorID>
      <errorWord>)</errorWord>
      <group>L1_Format</group>
      <groupName>格式问题</groupName>
      <ability>L2_HalfPunc</ability>
      <abilityName>全半角检查</abilityName>
      <candidateList>
        <item>）</item>
      </candidateList>
      <explain>文本全半角错误。</explain>
      <paraID>31D9E7F0</paraID>
      <start>12</start>
      <end>13</end>
      <status>unmodified</status>
      <modifiedWord/>
      <trackRevisions>false</trackRevisions>
    </reviewItem>
    <reviewItem>
      <errorID>db1c1b0b-b1e1-485f-a347-9151396f0021</errorID>
      <errorWord>》</errorWord>
      <group>L1_Punc</group>
      <groupName>标点问题</groupName>
      <ability>L2_Punc</ability>
      <abilityName>标点符号检查</abilityName>
      <candidateList/>
      <explain/>
      <paraID>5515C995</paraID>
      <start>335</start>
      <end>336</end>
      <status>unmodified</status>
      <modifiedWord/>
      <trackRevisions>false</trackRevisions>
    </reviewItem>
    <reviewItem>
      <errorID>abe835b4-1782-47b8-8eb6-0046d99a418c</errorID>
      <errorWord>（</errorWord>
      <group>L1_Format</group>
      <groupName>格式问题</groupName>
      <ability>L2_HalfPunc</ability>
      <abilityName>全半角检查</abilityName>
      <candidateList>
        <item>(</item>
      </candidateList>
      <explain>文本全半角错误。</explain>
      <paraID>5AD11BC5</paraID>
      <start>2</start>
      <end>3</end>
      <status>unmodified</status>
      <modifiedWord/>
      <trackRevisions>false</trackRevisions>
    </reviewItem>
    <reviewItem>
      <errorID>50f6229e-b04a-4aa6-9cff-a783a448b27f</errorID>
      <errorWord>）</errorWord>
      <group>L1_Format</group>
      <groupName>格式问题</groupName>
      <ability>L2_HalfPunc</ability>
      <abilityName>全半角检查</abilityName>
      <candidateList>
        <item>)</item>
      </candidateList>
      <explain>文本全半角错误。</explain>
      <paraID>5AD11BC5</paraID>
      <start>4</start>
      <end>5</end>
      <status>unmodified</status>
      <modifiedWord/>
      <trackRevisions>false</trackRevisions>
    </reviewItem>
    <reviewItem>
      <errorID>b0a3b819-7e18-454e-9486-17b8087a2085</errorID>
      <errorWord>)</errorWord>
      <group>L1_Format</group>
      <groupName>格式问题</groupName>
      <ability>L2_HalfPunc</ability>
      <abilityName>全半角检查</abilityName>
      <candidateList>
        <item>）</item>
      </candidateList>
      <explain>文本全半角错误。</explain>
      <paraID>297C76BE</paraID>
      <start>12</start>
      <end>13</end>
      <status>unmodified</status>
      <modifiedWord/>
      <trackRevisions>false</trackRevisions>
    </reviewItem>
    <reviewItem>
      <errorID>6ba0415a-fc3d-4bdf-aade-54365bb04b50</errorID>
      <errorWord>(</errorWord>
      <group>L1_Format</group>
      <groupName>格式问题</groupName>
      <ability>L2_HalfPunc</ability>
      <abilityName>全半角检查</abilityName>
      <candidateList>
        <item>（</item>
      </candidateList>
      <explain>文本全半角错误。</explain>
      <paraID>61A1B54C</paraID>
      <start>14</start>
      <end>15</end>
      <status>unmodified</status>
      <modifiedWord/>
      <trackRevisions>false</trackRevisions>
    </reviewItem>
    <reviewItem>
      <errorID>4e5aca46-df9d-4167-9657-8592b97a53d0</errorID>
      <errorWord>)</errorWord>
      <group>L1_Format</group>
      <groupName>格式问题</groupName>
      <ability>L2_HalfPunc</ability>
      <abilityName>全半角检查</abilityName>
      <candidateList>
        <item>）</item>
      </candidateList>
      <explain>文本全半角错误。</explain>
      <paraID>185BBB8A</paraID>
      <start>20</start>
      <end>21</end>
      <status>unmodified</status>
      <modifiedWord/>
      <trackRevisions>false</trackRevisions>
    </reviewItem>
    <reviewItem>
      <errorID>89de1da9-04d7-4d7b-859d-a5a010dfa763</errorID>
      <errorWord>,</errorWord>
      <group>L1_Format</group>
      <groupName>格式问题</groupName>
      <ability>L2_HalfPunc</ability>
      <abilityName>全半角检查</abilityName>
      <candidateList>
        <item>，</item>
      </candidateList>
      <explain>文本全半角错误。</explain>
      <paraID>4AC50360</paraID>
      <start>84</start>
      <end>85</end>
      <status>unmodified</status>
      <modifiedWord/>
      <trackRevisions>false</trackRevisions>
    </reviewItem>
    <reviewItem>
      <errorID>4e918a9d-1222-4f7c-8eb4-1133db55eef4</errorID>
      <errorWord>（</errorWord>
      <group>L1_Format</group>
      <groupName>格式问题</groupName>
      <ability>L2_HalfPunc</ability>
      <abilityName>全半角检查</abilityName>
      <candidateList>
        <item>(</item>
      </candidateList>
      <explain>文本全半角错误。</explain>
      <paraID>408E2FF9</paraID>
      <start>0</start>
      <end>1</end>
      <status>unmodified</status>
      <modifiedWord/>
      <trackRevisions>false</trackRevisions>
    </reviewItem>
    <reviewItem>
      <errorID>a9db44a2-e099-48e2-8463-06972983bc80</errorID>
      <errorWord>）</errorWord>
      <group>L1_Format</group>
      <groupName>格式问题</groupName>
      <ability>L2_HalfPunc</ability>
      <abilityName>全半角检查</abilityName>
      <candidateList>
        <item>)</item>
      </candidateList>
      <explain>文本全半角错误。</explain>
      <paraID>408E2FF9</paraID>
      <start>3</start>
      <end>4</end>
      <status>unmodified</status>
      <modifiedWord/>
      <trackRevisions>false</trackRevisions>
    </reviewItem>
    <reviewItem>
      <errorID>4125259b-0c71-47d0-99d1-8740977e1090</errorID>
      <errorWord>（</errorWord>
      <group>L1_Format</group>
      <groupName>格式问题</groupName>
      <ability>L2_HalfPunc</ability>
      <abilityName>全半角检查</abilityName>
      <candidateList>
        <item>(</item>
      </candidateList>
      <explain>文本全半角错误。</explain>
      <paraID>6FAD866C</paraID>
      <start>0</start>
      <end>1</end>
      <status>unmodified</status>
      <modifiedWord/>
      <trackRevisions>false</trackRevisions>
    </reviewItem>
    <reviewItem>
      <errorID>0bd6c3b6-db5c-4776-9114-5a5bc8a8cc49</errorID>
      <errorWord>）</errorWord>
      <group>L1_Format</group>
      <groupName>格式问题</groupName>
      <ability>L2_HalfPunc</ability>
      <abilityName>全半角检查</abilityName>
      <candidateList>
        <item>)</item>
      </candidateList>
      <explain>文本全半角错误。</explain>
      <paraID>6FAD866C</paraID>
      <start>3</start>
      <end>4</end>
      <status>unmodified</status>
      <modifiedWord/>
      <trackRevisions>false</trackRevisions>
    </reviewItem>
    <reviewItem>
      <errorID>2aca7543-9e70-4ad3-a193-77ca8077ca70</errorID>
      <errorWord>（</errorWord>
      <group>L1_Format</group>
      <groupName>格式问题</groupName>
      <ability>L2_HalfPunc</ability>
      <abilityName>全半角检查</abilityName>
      <candidateList>
        <item>(</item>
      </candidateList>
      <explain>文本全半角错误。</explain>
      <paraID>3655A8DE</paraID>
      <start>0</start>
      <end>1</end>
      <status>unmodified</status>
      <modifiedWord/>
      <trackRevisions>false</trackRevisions>
    </reviewItem>
    <reviewItem>
      <errorID>67d1d4b3-d7dc-421a-9b04-e098185af366</errorID>
      <errorWord>）</errorWord>
      <group>L1_Format</group>
      <groupName>格式问题</groupName>
      <ability>L2_HalfPunc</ability>
      <abilityName>全半角检查</abilityName>
      <candidateList>
        <item>)</item>
      </candidateList>
      <explain>文本全半角错误。</explain>
      <paraID>3655A8DE</paraID>
      <start>3</start>
      <end>4</end>
      <status>unmodified</status>
      <modifiedWord/>
      <trackRevisions>false</trackRevisions>
    </reviewItem>
    <reviewItem>
      <errorID>42af4bb4-72b5-44f3-8f56-84d06939437a</errorID>
      <errorWord>(</errorWord>
      <group>L1_Format</group>
      <groupName>格式问题</groupName>
      <ability>L2_HalfPunc</ability>
      <abilityName>全半角检查</abilityName>
      <candidateList>
        <item>（</item>
      </candidateList>
      <explain>文本全半角错误。</explain>
      <paraID>1624E28C</paraID>
      <start>62</start>
      <end>63</end>
      <status>unmodified</status>
      <modifiedWord/>
      <trackRevisions>false</trackRevisions>
    </reviewItem>
    <reviewItem>
      <errorID>83b34393-8fb1-4f77-8496-5f8bc10e04f5</errorID>
      <errorWord>)</errorWord>
      <group>L1_Format</group>
      <groupName>格式问题</groupName>
      <ability>L2_HalfPunc</ability>
      <abilityName>全半角检查</abilityName>
      <candidateList>
        <item>）</item>
      </candidateList>
      <explain>文本全半角错误。</explain>
      <paraID>1624E28C</paraID>
      <start>74</start>
      <end>75</end>
      <status>unmodified</status>
      <modifiedWord/>
      <trackRevisions>false</trackRevisions>
    </reviewItem>
    <reviewItem>
      <errorID>fdfb1ea5-a033-4622-bdfe-de79d53e9c74</errorID>
      <errorWord>-</errorWord>
      <group>L1_Format</group>
      <groupName>格式问题</groupName>
      <ability>L2_HalfPunc</ability>
      <abilityName>全半角检查</abilityName>
      <candidateList>
        <item>－</item>
      </candidateList>
      <explain>文本全半角错误。</explain>
      <paraID>20FDEB61</paraID>
      <start>51</start>
      <end>52</end>
      <status>unmodified</status>
      <modifiedWord/>
      <trackRevisions>false</trackRevisions>
    </reviewItem>
    <reviewItem>
      <errorID>acd19f28-e45b-4e2c-847a-fd622e16938e</errorID>
      <errorWord>“</errorWord>
      <group>L1_Punc</group>
      <groupName>标点问题</groupName>
      <ability>L2_Punc</ability>
      <abilityName>标点符号检查</abilityName>
      <candidateList/>
      <explain/>
      <paraID>6392C6BA</paraID>
      <start>0</start>
      <end>1</end>
      <status>unmodified</status>
      <modifiedWord/>
      <trackRevisions>false</trackRevisions>
    </reviewItem>
    <reviewItem>
      <errorID>baaab004-5d9b-4739-9ff1-771bbdb116a3</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2DD0838</paraID>
      <start>79</start>
      <end>80</end>
      <status>unmodified</status>
      <modifiedWord/>
      <trackRevisions>false</trackRevisions>
    </reviewItem>
    <reviewItem>
      <errorID>f81f3c1a-a16f-4233-8d2b-cc7e870a96bb</errorID>
      <errorWord>，...，</errorWord>
      <group>L1_Punc</group>
      <groupName>标点问题</groupName>
      <ability>L2_Punc</ability>
      <abilityName>标点符号检查</abilityName>
      <candidateList>
        <item>，</item>
      </candidateList>
      <explain/>
      <paraID>1EFCDF94</paraID>
      <start>8</start>
      <end>13</end>
      <status>unmodified</status>
      <modifiedWord/>
      <trackRevisions>false</trackRevisions>
    </reviewItem>
    <reviewItem>
      <errorID>ad44c5b5-d343-4d0c-87ac-c246a1647cc6</errorID>
      <errorWord>，...，</errorWord>
      <group>L1_Punc</group>
      <groupName>标点问题</groupName>
      <ability>L2_Punc</ability>
      <abilityName>标点符号检查</abilityName>
      <candidateList>
        <item>，</item>
      </candidateList>
      <explain/>
      <paraID>1EFCDF94</paraID>
      <start>38</start>
      <end>43</end>
      <status>unmodified</status>
      <modifiedWord/>
      <trackRevisions>false</trackRevisions>
    </reviewItem>
    <reviewItem>
      <errorID>126742b7-432e-48d3-9ff6-286148efa8b5</errorID>
      <errorWord>（</errorWord>
      <group>L1_Format</group>
      <groupName>格式问题</groupName>
      <ability>L2_HalfPunc</ability>
      <abilityName>全半角检查</abilityName>
      <candidateList>
        <item>(</item>
      </candidateList>
      <explain>文本全半角错误。</explain>
      <paraID>18C860D0</paraID>
      <start>1</start>
      <end>2</end>
      <status>unmodified</status>
      <modifiedWord/>
      <trackRevisions>false</trackRevisions>
    </reviewItem>
    <reviewItem>
      <errorID>dca6f03e-2948-46e3-8b3e-7fc1f628eb41</errorID>
      <errorWord>）</errorWord>
      <group>L1_Format</group>
      <groupName>格式问题</groupName>
      <ability>L2_HalfPunc</ability>
      <abilityName>全半角检查</abilityName>
      <candidateList>
        <item>)</item>
      </candidateList>
      <explain>文本全半角错误。</explain>
      <paraID>18C860D0</paraID>
      <start>7</start>
      <end>8</end>
      <status>unmodified</status>
      <modifiedWord/>
      <trackRevisions>false</trackRevisions>
    </reviewItem>
    <reviewItem>
      <errorID>a35871bc-2271-435b-a4d1-127810f43bcb</errorID>
      <errorWord>,</errorWord>
      <group>L1_Format</group>
      <groupName>格式问题</groupName>
      <ability>L2_HalfPunc</ability>
      <abilityName>全半角检查</abilityName>
      <candidateList>
        <item>，</item>
      </candidateList>
      <explain>文本全半角错误。</explain>
      <paraID> ADF826C</paraID>
      <start>11</start>
      <end>12</end>
      <status>unmodified</status>
      <modifiedWord/>
      <trackRevisions>false</trackRevisions>
    </reviewItem>
    <reviewItem>
      <errorID>61558788-7f94-433f-9e27-92815492f2bb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602EBCB2</paraID>
      <start>126</start>
      <end>127</end>
      <status>unmodified</status>
      <modifiedWord/>
      <trackRevisions>false</trackRevisions>
    </reviewItem>
    <reviewItem>
      <errorID>8163367a-61cf-48bc-917c-e1064a9812c1</errorID>
      <errorWord>》</errorWord>
      <group>L1_Punc</group>
      <groupName>标点问题</groupName>
      <ability>L2_Punc</ability>
      <abilityName>标点符号检查</abilityName>
      <candidateList/>
      <explain/>
      <paraID>12B5D74D</paraID>
      <start>23</start>
      <end>24</end>
      <status>unmodified</status>
      <modifiedWord/>
      <trackRevisions>false</trackRevisions>
    </reviewItem>
    <reviewItem>
      <errorID>4d90dd89-8b07-4d29-8a4a-6a28c68308a5</errorID>
      <errorWord>临近</errorWord>
      <group>L1_Word</group>
      <groupName>字词问题</groupName>
      <ability>L2_Typo</ability>
      <abilityName>字词错误</abilityName>
      <candidateList>
        <item>邻近</item>
      </candidateList>
      <explain>存在发音相同字词的误用。</explain>
      <paraID>27C806B7</paraID>
      <start>5</start>
      <end>7</end>
      <status>unmodified</status>
      <modifiedWord/>
      <trackRevisions>false</trackRevisions>
    </reviewItem>
    <reviewItem>
      <errorID>d453a048-3a32-45f3-b9bf-e5ccd75d3ce9</errorID>
      <errorWord>区</errorWord>
      <group>L1_Word</group>
      <groupName>字词问题</groupName>
      <ability>L2_Typo</ability>
      <abilityName>字词错误</abilityName>
      <candidateList>
        <item>区域</item>
      </candidateList>
      <explain/>
      <paraID>414DEFD8</paraID>
      <start>9</start>
      <end>10</end>
      <status>unmodified</status>
      <modifiedWord/>
      <trackRevisions>false</trackRevisions>
    </reviewItem>
    <reviewItem>
      <errorID>587b525b-4379-4289-b19f-cafee34cb17d</errorID>
      <errorWord>"</errorWord>
      <group>L1_Format</group>
      <groupName>格式问题</groupName>
      <ability>L2_HalfPunc</ability>
      <abilityName>全半角检查</abilityName>
      <candidateList/>
      <explain>文本全半角错误。</explain>
      <paraID>510B6057</paraID>
      <start>15</start>
      <end>16</end>
      <status>unmodified</status>
      <modifiedWord/>
      <trackRevisions>false</trackRevisions>
    </reviewItem>
    <reviewItem>
      <errorID>eac3da32-9198-4dec-91c5-d85e10b27d2d</errorID>
      <errorWord>(</errorWord>
      <group>L1_Format</group>
      <groupName>格式问题</groupName>
      <ability>L2_HalfPunc</ability>
      <abilityName>全半角检查</abilityName>
      <candidateList>
        <item>（</item>
      </candidateList>
      <explain>文本全半角错误。</explain>
      <paraID>33A17FAE</paraID>
      <start>4</start>
      <end>5</end>
      <status>unmodified</status>
      <modifiedWord/>
      <trackRevisions>false</trackRevisions>
    </reviewItem>
    <reviewItem>
      <errorID>5731cb53-7cd9-4fc4-9f84-003ac09f1993</errorID>
      <errorWord>)</errorWord>
      <group>L1_Format</group>
      <groupName>格式问题</groupName>
      <ability>L2_HalfPunc</ability>
      <abilityName>全半角检查</abilityName>
      <candidateList>
        <item>）</item>
      </candidateList>
      <explain>文本全半角错误。</explain>
      <paraID>33A17FAE</paraID>
      <start>7</start>
      <end>8</end>
      <status>unmodified</status>
      <modifiedWord/>
      <trackRevisions>false</trackRevisions>
    </reviewItem>
    <reviewItem>
      <errorID>5f2db85b-2cac-4596-a439-c9de4e8e7919</errorID>
      <errorWord>(</errorWord>
      <group>L1_Format</group>
      <groupName>格式问题</groupName>
      <ability>L2_HalfPunc</ability>
      <abilityName>全半角检查</abilityName>
      <candidateList>
        <item>（</item>
      </candidateList>
      <explain>文本全半角错误。</explain>
      <paraID>7AEE18D7</paraID>
      <start>3</start>
      <end>4</end>
      <status>unmodified</status>
      <modifiedWord/>
      <trackRevisions>false</trackRevisions>
    </reviewItem>
    <reviewItem>
      <errorID>4fd66d3d-07eb-44a6-90c0-1c973172b06a</errorID>
      <errorWord>)</errorWord>
      <group>L1_Format</group>
      <groupName>格式问题</groupName>
      <ability>L2_HalfPunc</ability>
      <abilityName>全半角检查</abilityName>
      <candidateList>
        <item>）</item>
      </candidateList>
      <explain>文本全半角错误。</explain>
      <paraID>1429A19E</paraID>
      <start>2</start>
      <end>3</end>
      <status>unmodified</status>
      <modifiedWord/>
      <trackRevisions>false</trackRevisions>
    </reviewItem>
    <reviewItem>
      <errorID>6f914c5d-28ae-49c3-9875-50a4bc9fb63f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18450BD9</paraID>
      <start>0</start>
      <end>2</end>
      <status>unmodified</status>
      <modifiedWord/>
      <trackRevisions>false</trackRevisions>
    </reviewItem>
    <reviewItem>
      <errorID>26072c4b-0083-46f1-861b-69df12693ceb</errorID>
      <errorWord>-</errorWord>
      <group>L1_Format</group>
      <groupName>格式问题</groupName>
      <ability>L2_HalfPunc</ability>
      <abilityName>全半角检查</abilityName>
      <candidateList>
        <item>－</item>
      </candidateList>
      <explain>文本全半角错误。</explain>
      <paraID>6EFEBEAB</paraID>
      <start>60</start>
      <end>61</end>
      <status>unmodified</status>
      <modifiedWord/>
      <trackRevisions>false</trackRevisions>
    </reviewItem>
    <reviewItem>
      <errorID>054d3f83-b370-49eb-a834-b8f988bbbfe1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4991D31D</paraID>
      <start>0</start>
      <end>2</end>
      <status>unmodified</status>
      <modifiedWord/>
      <trackRevisions>false</trackRevisions>
    </reviewItem>
    <reviewItem>
      <errorID>f03bb22c-468e-483b-b944-b60fc792ad0d</errorID>
      <errorWord>-</errorWord>
      <group>L1_Format</group>
      <groupName>格式问题</groupName>
      <ability>L2_HalfPunc</ability>
      <abilityName>全半角检查</abilityName>
      <candidateList>
        <item>－</item>
      </candidateList>
      <explain>文本全半角错误。</explain>
      <paraID>68A699A8</paraID>
      <start>113</start>
      <end>114</end>
      <status>unmodified</status>
      <modifiedWord/>
      <trackRevisions>false</trackRevisions>
    </reviewItem>
    <reviewItem>
      <errorID>7cec43d4-34d3-4d23-856c-2cf3d2ad5872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70CC3D6B</paraID>
      <start>0</start>
      <end>2</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2ff230-887d-4848-b253-89da10a62389}">
  <ds:schemaRefs/>
</ds:datastoreItem>
</file>

<file path=docProps/app.xml><?xml version="1.0" encoding="utf-8"?>
<Properties xmlns="http://schemas.openxmlformats.org/officeDocument/2006/extended-properties" xmlns:vt="http://schemas.openxmlformats.org/officeDocument/2006/docPropsVTypes">
  <Template>Normal.dotm</Template>
  <Pages>83</Pages>
  <Words>15908</Words>
  <Characters>16691</Characters>
  <Lines>0</Lines>
  <Paragraphs>0</Paragraphs>
  <TotalTime>4</TotalTime>
  <ScaleCrop>false</ScaleCrop>
  <LinksUpToDate>false</LinksUpToDate>
  <CharactersWithSpaces>16753</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2021-03-31T10:02:00Z</dcterms:created>
  <dc:creator>-ZYJ。</dc:creator>
  <cp:lastModifiedBy>磊少</cp:lastModifiedBy>
  <cp:lastPrinted>2021-06-23T03:39:00Z</cp:lastPrinted>
  <dcterms:modified xsi:type="dcterms:W3CDTF">2026-01-14T05:12:49Z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B937DBF0E25048459C48247D3D3DC856_13</vt:lpwstr>
  </property>
  <property fmtid="{D5CDD505-2E9C-101B-9397-08002B2CF9AE}" pid="4" name="KSOSaveFontToCloudKey">
    <vt:lpwstr>394434088_cloud</vt:lpwstr>
  </property>
  <property fmtid="{D5CDD505-2E9C-101B-9397-08002B2CF9AE}" pid="5" name="commondata">
    <vt:lpwstr>eyJoZGlkIjoiNDRhNGU5NjU1NjI2MjI4Yzg0ZTU5NmQ1MDdkMGYxNDcifQ==</vt:lpwstr>
  </property>
  <property fmtid="{D5CDD505-2E9C-101B-9397-08002B2CF9AE}" pid="6" name="KSOTemplateDocerSaveRecord">
    <vt:lpwstr>eyJoZGlkIjoiMDljYzUzMWQ4OWI0YzBkYjYzMDRhZTY5ZjZkYmFmYTgiLCJ1c2VySWQiOiIyNzg2Mzc1NTQifQ==</vt:lpwstr>
  </property>
</Properties>
</file>