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9DCA">
      <w:pPr>
        <w:pStyle w:val="19"/>
        <w:numPr>
          <w:ilvl w:val="0"/>
          <w:numId w:val="1"/>
        </w:numPr>
        <w:jc w:val="center"/>
        <w:outlineLvl w:val="0"/>
        <w:rPr>
          <w:rFonts w:hint="eastAsia" w:ascii="黑体" w:hAnsi="黑体" w:eastAsia="黑体"/>
          <w:snapToGrid w:val="0"/>
          <w:color w:val="auto"/>
          <w:sz w:val="30"/>
          <w:szCs w:val="30"/>
          <w:lang w:eastAsia="zh-CN"/>
        </w:rPr>
      </w:pPr>
      <w:bookmarkStart w:id="10" w:name="_GoBack"/>
      <w:bookmarkEnd w:id="10"/>
      <w:r>
        <w:rPr>
          <w:rFonts w:hint="eastAsia" w:ascii="黑体" w:hAnsi="黑体" w:eastAsia="黑体"/>
          <w:snapToGrid w:val="0"/>
          <w:color w:val="auto"/>
          <w:sz w:val="30"/>
          <w:szCs w:val="30"/>
        </w:rPr>
        <w:t>建设项目基本情况</w:t>
      </w:r>
    </w:p>
    <w:tbl>
      <w:tblPr>
        <w:tblStyle w:val="22"/>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268"/>
        <w:gridCol w:w="1701"/>
        <w:gridCol w:w="3045"/>
      </w:tblGrid>
      <w:tr w14:paraId="18B5E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2CD353C8">
            <w:pPr>
              <w:adjustRightInd w:val="0"/>
              <w:snapToGrid w:val="0"/>
              <w:jc w:val="center"/>
              <w:rPr>
                <w:color w:val="auto"/>
                <w:sz w:val="24"/>
              </w:rPr>
            </w:pPr>
            <w:r>
              <w:rPr>
                <w:color w:val="auto"/>
                <w:sz w:val="24"/>
              </w:rPr>
              <w:t>建设项目名称</w:t>
            </w:r>
          </w:p>
        </w:tc>
        <w:tc>
          <w:tcPr>
            <w:tcW w:w="7014" w:type="dxa"/>
            <w:gridSpan w:val="3"/>
            <w:vAlign w:val="center"/>
          </w:tcPr>
          <w:p w14:paraId="6DA25669">
            <w:pPr>
              <w:adjustRightInd w:val="0"/>
              <w:snapToGrid w:val="0"/>
              <w:jc w:val="center"/>
              <w:rPr>
                <w:color w:val="auto"/>
                <w:sz w:val="24"/>
              </w:rPr>
            </w:pPr>
            <w:r>
              <w:rPr>
                <w:rFonts w:hint="eastAsia"/>
                <w:color w:val="auto"/>
                <w:sz w:val="24"/>
              </w:rPr>
              <w:t>玛纳斯恒吉农林资源化利用科技有限公司农林固废资源化利用工程</w:t>
            </w:r>
          </w:p>
        </w:tc>
      </w:tr>
      <w:tr w14:paraId="437A5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277C85D9">
            <w:pPr>
              <w:adjustRightInd w:val="0"/>
              <w:snapToGrid w:val="0"/>
              <w:jc w:val="center"/>
              <w:rPr>
                <w:color w:val="auto"/>
                <w:sz w:val="24"/>
              </w:rPr>
            </w:pPr>
            <w:r>
              <w:rPr>
                <w:color w:val="auto"/>
                <w:sz w:val="24"/>
              </w:rPr>
              <w:t>项目代码</w:t>
            </w:r>
          </w:p>
        </w:tc>
        <w:tc>
          <w:tcPr>
            <w:tcW w:w="7014" w:type="dxa"/>
            <w:gridSpan w:val="3"/>
            <w:vAlign w:val="center"/>
          </w:tcPr>
          <w:p w14:paraId="3B6AEE6F">
            <w:pPr>
              <w:adjustRightInd w:val="0"/>
              <w:snapToGrid w:val="0"/>
              <w:jc w:val="center"/>
              <w:rPr>
                <w:rFonts w:hint="eastAsia" w:eastAsia="宋体"/>
                <w:color w:val="auto"/>
                <w:sz w:val="24"/>
                <w:lang w:eastAsia="zh-CN"/>
              </w:rPr>
            </w:pPr>
            <w:r>
              <w:rPr>
                <w:rFonts w:hint="eastAsia"/>
                <w:color w:val="auto"/>
                <w:sz w:val="24"/>
                <w:lang w:val="en-US" w:eastAsia="zh-CN"/>
              </w:rPr>
              <w:t>2020-652324-42-03-036062</w:t>
            </w:r>
          </w:p>
        </w:tc>
      </w:tr>
      <w:tr w14:paraId="00F1F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5542D414">
            <w:pPr>
              <w:adjustRightInd w:val="0"/>
              <w:snapToGrid w:val="0"/>
              <w:jc w:val="center"/>
              <w:rPr>
                <w:color w:val="auto"/>
                <w:sz w:val="24"/>
              </w:rPr>
            </w:pPr>
            <w:r>
              <w:rPr>
                <w:color w:val="auto"/>
                <w:sz w:val="24"/>
              </w:rPr>
              <w:t>建设单位联系人</w:t>
            </w:r>
          </w:p>
        </w:tc>
        <w:tc>
          <w:tcPr>
            <w:tcW w:w="2268" w:type="dxa"/>
            <w:vAlign w:val="center"/>
          </w:tcPr>
          <w:p w14:paraId="55961A3E">
            <w:pPr>
              <w:adjustRightInd w:val="0"/>
              <w:snapToGrid w:val="0"/>
              <w:jc w:val="center"/>
              <w:rPr>
                <w:color w:val="auto"/>
                <w:sz w:val="24"/>
                <w:szCs w:val="24"/>
              </w:rPr>
            </w:pPr>
            <w:r>
              <w:rPr>
                <w:rFonts w:hint="eastAsia" w:cs="Times New Roman"/>
                <w:bCs/>
                <w:color w:val="auto"/>
                <w:sz w:val="24"/>
                <w:szCs w:val="24"/>
                <w:highlight w:val="none"/>
                <w:lang w:eastAsia="zh-CN"/>
              </w:rPr>
              <w:t>马跃飞</w:t>
            </w:r>
          </w:p>
        </w:tc>
        <w:tc>
          <w:tcPr>
            <w:tcW w:w="1701" w:type="dxa"/>
            <w:vAlign w:val="center"/>
          </w:tcPr>
          <w:p w14:paraId="7898933B">
            <w:pPr>
              <w:adjustRightInd w:val="0"/>
              <w:snapToGrid w:val="0"/>
              <w:jc w:val="center"/>
              <w:rPr>
                <w:color w:val="auto"/>
                <w:sz w:val="24"/>
                <w:szCs w:val="24"/>
              </w:rPr>
            </w:pPr>
            <w:r>
              <w:rPr>
                <w:color w:val="auto"/>
                <w:sz w:val="24"/>
                <w:szCs w:val="24"/>
              </w:rPr>
              <w:t>联系方式</w:t>
            </w:r>
          </w:p>
        </w:tc>
        <w:tc>
          <w:tcPr>
            <w:tcW w:w="3045" w:type="dxa"/>
            <w:vAlign w:val="center"/>
          </w:tcPr>
          <w:p w14:paraId="13AD3090">
            <w:pPr>
              <w:adjustRightInd w:val="0"/>
              <w:snapToGrid w:val="0"/>
              <w:jc w:val="center"/>
              <w:rPr>
                <w:color w:val="auto"/>
                <w:sz w:val="24"/>
                <w:szCs w:val="24"/>
              </w:rPr>
            </w:pPr>
            <w:r>
              <w:rPr>
                <w:rFonts w:hint="eastAsia" w:cs="Times New Roman"/>
                <w:bCs/>
                <w:color w:val="auto"/>
                <w:sz w:val="24"/>
                <w:szCs w:val="24"/>
                <w:highlight w:val="none"/>
                <w:lang w:val="en-US" w:eastAsia="zh-CN"/>
              </w:rPr>
              <w:t>18651512330</w:t>
            </w:r>
          </w:p>
        </w:tc>
      </w:tr>
      <w:tr w14:paraId="1F799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437ACC99">
            <w:pPr>
              <w:adjustRightInd w:val="0"/>
              <w:snapToGrid w:val="0"/>
              <w:jc w:val="center"/>
              <w:rPr>
                <w:color w:val="auto"/>
                <w:sz w:val="24"/>
              </w:rPr>
            </w:pPr>
            <w:r>
              <w:rPr>
                <w:color w:val="auto"/>
                <w:sz w:val="24"/>
              </w:rPr>
              <w:t>建设地点</w:t>
            </w:r>
          </w:p>
        </w:tc>
        <w:tc>
          <w:tcPr>
            <w:tcW w:w="7014" w:type="dxa"/>
            <w:gridSpan w:val="3"/>
            <w:vAlign w:val="center"/>
          </w:tcPr>
          <w:p w14:paraId="336DCA1C">
            <w:pPr>
              <w:adjustRightInd w:val="0"/>
              <w:snapToGrid w:val="0"/>
              <w:jc w:val="center"/>
              <w:rPr>
                <w:color w:val="auto"/>
                <w:sz w:val="24"/>
              </w:rPr>
            </w:pPr>
            <w:r>
              <w:rPr>
                <w:rFonts w:hint="eastAsia" w:cs="Times New Roman"/>
                <w:bCs/>
                <w:color w:val="auto"/>
                <w:sz w:val="24"/>
                <w:szCs w:val="24"/>
                <w:highlight w:val="none"/>
                <w:lang w:eastAsia="zh-CN"/>
              </w:rPr>
              <w:t>新疆维吾尔自治区昌吉州玛纳斯县塔西河工业园北区</w:t>
            </w:r>
          </w:p>
        </w:tc>
      </w:tr>
      <w:tr w14:paraId="5E798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306A0A4D">
            <w:pPr>
              <w:adjustRightInd w:val="0"/>
              <w:snapToGrid w:val="0"/>
              <w:jc w:val="center"/>
              <w:rPr>
                <w:color w:val="auto"/>
                <w:sz w:val="24"/>
              </w:rPr>
            </w:pPr>
            <w:r>
              <w:rPr>
                <w:color w:val="auto"/>
                <w:sz w:val="24"/>
              </w:rPr>
              <w:t>地理坐标</w:t>
            </w:r>
          </w:p>
        </w:tc>
        <w:tc>
          <w:tcPr>
            <w:tcW w:w="7014" w:type="dxa"/>
            <w:gridSpan w:val="3"/>
            <w:vAlign w:val="center"/>
          </w:tcPr>
          <w:p w14:paraId="4E47B35C">
            <w:pPr>
              <w:jc w:val="center"/>
              <w:rPr>
                <w:color w:val="auto"/>
                <w:sz w:val="24"/>
              </w:rPr>
            </w:pPr>
            <w:r>
              <w:rPr>
                <w:rFonts w:hint="eastAsia" w:cs="Times New Roman"/>
                <w:bCs/>
                <w:color w:val="auto"/>
                <w:sz w:val="24"/>
                <w:szCs w:val="24"/>
                <w:highlight w:val="none"/>
                <w:lang w:eastAsia="zh-CN"/>
              </w:rPr>
              <w:t>东经</w:t>
            </w:r>
            <w:r>
              <w:rPr>
                <w:rFonts w:hint="default" w:ascii="Times New Roman" w:hAnsi="Times New Roman" w:cs="Times New Roman"/>
                <w:bCs/>
                <w:color w:val="auto"/>
                <w:sz w:val="24"/>
                <w:szCs w:val="24"/>
                <w:highlight w:val="none"/>
                <w:lang w:eastAsia="zh-CN"/>
              </w:rPr>
              <w:t>8</w:t>
            </w:r>
            <w:r>
              <w:rPr>
                <w:rFonts w:hint="eastAsia" w:cs="Times New Roman"/>
                <w:bCs/>
                <w:color w:val="auto"/>
                <w:sz w:val="24"/>
                <w:szCs w:val="24"/>
                <w:highlight w:val="none"/>
                <w:lang w:val="en-US" w:eastAsia="zh-CN"/>
              </w:rPr>
              <w:t>6</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25</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46.328</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eastAsia="zh-CN"/>
              </w:rPr>
              <w:t>北纬</w:t>
            </w:r>
            <w:r>
              <w:rPr>
                <w:rFonts w:hint="default" w:ascii="Times New Roman" w:hAnsi="Times New Roman" w:cs="Times New Roman"/>
                <w:bCs/>
                <w:color w:val="auto"/>
                <w:sz w:val="24"/>
                <w:szCs w:val="24"/>
                <w:highlight w:val="none"/>
                <w:lang w:eastAsia="zh-CN"/>
              </w:rPr>
              <w:t>44°1</w:t>
            </w:r>
            <w:r>
              <w:rPr>
                <w:rFonts w:hint="eastAsia" w:cs="Times New Roman"/>
                <w:bCs/>
                <w:color w:val="auto"/>
                <w:sz w:val="24"/>
                <w:szCs w:val="24"/>
                <w:highlight w:val="none"/>
                <w:lang w:val="en-US" w:eastAsia="zh-CN"/>
              </w:rPr>
              <w:t>7</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36.637</w:t>
            </w:r>
            <w:r>
              <w:rPr>
                <w:rFonts w:hint="default" w:ascii="Times New Roman" w:hAnsi="Times New Roman" w:cs="Times New Roman"/>
                <w:bCs/>
                <w:color w:val="auto"/>
                <w:sz w:val="24"/>
                <w:szCs w:val="24"/>
                <w:highlight w:val="none"/>
                <w:lang w:eastAsia="zh-CN"/>
              </w:rPr>
              <w:t>"</w:t>
            </w:r>
          </w:p>
        </w:tc>
      </w:tr>
      <w:tr w14:paraId="508FE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14:paraId="1CA43B9E">
            <w:pPr>
              <w:adjustRightInd w:val="0"/>
              <w:snapToGrid w:val="0"/>
              <w:jc w:val="center"/>
              <w:rPr>
                <w:color w:val="auto"/>
                <w:sz w:val="24"/>
              </w:rPr>
            </w:pPr>
            <w:r>
              <w:rPr>
                <w:color w:val="auto"/>
                <w:sz w:val="24"/>
              </w:rPr>
              <w:t>国民经济</w:t>
            </w:r>
          </w:p>
          <w:p w14:paraId="51D33023">
            <w:pPr>
              <w:adjustRightInd w:val="0"/>
              <w:snapToGrid w:val="0"/>
              <w:jc w:val="center"/>
              <w:rPr>
                <w:color w:val="auto"/>
                <w:sz w:val="24"/>
              </w:rPr>
            </w:pPr>
            <w:r>
              <w:rPr>
                <w:color w:val="auto"/>
                <w:sz w:val="24"/>
              </w:rPr>
              <w:t>行业类别</w:t>
            </w:r>
          </w:p>
        </w:tc>
        <w:tc>
          <w:tcPr>
            <w:tcW w:w="2268" w:type="dxa"/>
            <w:vAlign w:val="center"/>
          </w:tcPr>
          <w:p w14:paraId="7F0CDD39">
            <w:pPr>
              <w:adjustRightInd w:val="0"/>
              <w:snapToGrid w:val="0"/>
              <w:jc w:val="center"/>
              <w:rPr>
                <w:color w:val="auto"/>
                <w:sz w:val="24"/>
              </w:rPr>
            </w:pPr>
            <w:r>
              <w:rPr>
                <w:rFonts w:hint="eastAsia" w:cs="Times New Roman"/>
                <w:bCs/>
                <w:color w:val="auto"/>
                <w:sz w:val="24"/>
                <w:szCs w:val="24"/>
                <w:highlight w:val="none"/>
                <w:lang w:eastAsia="zh-CN"/>
              </w:rPr>
              <w:t>废弃资源综合利用业（</w:t>
            </w:r>
            <w:r>
              <w:rPr>
                <w:rFonts w:hint="eastAsia" w:cs="Times New Roman"/>
                <w:bCs/>
                <w:color w:val="auto"/>
                <w:sz w:val="24"/>
                <w:szCs w:val="24"/>
                <w:highlight w:val="none"/>
                <w:lang w:val="en-US" w:eastAsia="zh-CN"/>
              </w:rPr>
              <w:t>C42</w:t>
            </w:r>
            <w:r>
              <w:rPr>
                <w:rFonts w:hint="eastAsia" w:cs="Times New Roman"/>
                <w:bCs/>
                <w:color w:val="auto"/>
                <w:sz w:val="24"/>
                <w:szCs w:val="24"/>
                <w:highlight w:val="none"/>
                <w:lang w:eastAsia="zh-CN"/>
              </w:rPr>
              <w:t>）</w:t>
            </w:r>
          </w:p>
        </w:tc>
        <w:tc>
          <w:tcPr>
            <w:tcW w:w="1701" w:type="dxa"/>
            <w:vAlign w:val="center"/>
          </w:tcPr>
          <w:p w14:paraId="5C9E6E37">
            <w:pPr>
              <w:adjustRightInd w:val="0"/>
              <w:snapToGrid w:val="0"/>
              <w:jc w:val="center"/>
              <w:rPr>
                <w:color w:val="auto"/>
                <w:sz w:val="24"/>
              </w:rPr>
            </w:pPr>
            <w:bookmarkStart w:id="0" w:name="_Hlk49843745"/>
            <w:r>
              <w:rPr>
                <w:color w:val="auto"/>
                <w:sz w:val="24"/>
              </w:rPr>
              <w:t>建设项目</w:t>
            </w:r>
          </w:p>
          <w:p w14:paraId="596F483F">
            <w:pPr>
              <w:adjustRightInd w:val="0"/>
              <w:snapToGrid w:val="0"/>
              <w:jc w:val="center"/>
              <w:rPr>
                <w:color w:val="auto"/>
                <w:sz w:val="24"/>
              </w:rPr>
            </w:pPr>
            <w:r>
              <w:rPr>
                <w:color w:val="auto"/>
                <w:sz w:val="24"/>
              </w:rPr>
              <w:t>行业类别</w:t>
            </w:r>
            <w:bookmarkEnd w:id="0"/>
          </w:p>
        </w:tc>
        <w:tc>
          <w:tcPr>
            <w:tcW w:w="3045" w:type="dxa"/>
            <w:vAlign w:val="center"/>
          </w:tcPr>
          <w:p w14:paraId="77C6FB30">
            <w:pPr>
              <w:adjustRightInd w:val="0"/>
              <w:snapToGrid w:val="0"/>
              <w:rPr>
                <w:color w:val="auto"/>
                <w:sz w:val="24"/>
              </w:rPr>
            </w:pPr>
            <w:r>
              <w:rPr>
                <w:rFonts w:hint="eastAsia"/>
                <w:color w:val="auto"/>
                <w:sz w:val="24"/>
                <w:lang w:eastAsia="zh-CN"/>
              </w:rPr>
              <w:t>三十九、废弃资源综合利用业</w:t>
            </w:r>
            <w:r>
              <w:rPr>
                <w:rFonts w:hint="eastAsia"/>
                <w:color w:val="auto"/>
                <w:sz w:val="24"/>
                <w:lang w:val="en-US" w:eastAsia="zh-CN"/>
              </w:rPr>
              <w:t>85-非金属废料和碎屑加工处理422</w:t>
            </w:r>
          </w:p>
        </w:tc>
      </w:tr>
      <w:tr w14:paraId="67A0B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14:paraId="641EDA2E">
            <w:pPr>
              <w:adjustRightInd w:val="0"/>
              <w:snapToGrid w:val="0"/>
              <w:jc w:val="center"/>
              <w:rPr>
                <w:color w:val="auto"/>
                <w:sz w:val="24"/>
              </w:rPr>
            </w:pPr>
            <w:r>
              <w:rPr>
                <w:color w:val="auto"/>
                <w:sz w:val="24"/>
              </w:rPr>
              <w:t>建设性质</w:t>
            </w:r>
          </w:p>
        </w:tc>
        <w:tc>
          <w:tcPr>
            <w:tcW w:w="2268" w:type="dxa"/>
            <w:vAlign w:val="center"/>
          </w:tcPr>
          <w:p w14:paraId="61F4F04A">
            <w:pPr>
              <w:jc w:val="left"/>
              <w:rPr>
                <w:color w:val="auto"/>
                <w:sz w:val="24"/>
              </w:rPr>
            </w:pPr>
            <w:r>
              <w:rPr>
                <w:rFonts w:hAnsi="MS Mincho" w:eastAsia="MS Mincho"/>
                <w:color w:val="auto"/>
                <w:sz w:val="24"/>
              </w:rPr>
              <w:t>☑</w:t>
            </w:r>
            <w:r>
              <w:rPr>
                <w:color w:val="auto"/>
                <w:sz w:val="24"/>
              </w:rPr>
              <w:t>新建（迁建）</w:t>
            </w:r>
          </w:p>
          <w:p w14:paraId="38733DE5">
            <w:pPr>
              <w:jc w:val="left"/>
              <w:rPr>
                <w:color w:val="auto"/>
                <w:sz w:val="24"/>
              </w:rPr>
            </w:pPr>
            <w:r>
              <w:rPr>
                <w:color w:val="auto"/>
                <w:sz w:val="24"/>
              </w:rPr>
              <w:sym w:font="Wingdings 2" w:char="00A3"/>
            </w:r>
            <w:r>
              <w:rPr>
                <w:color w:val="auto"/>
                <w:sz w:val="24"/>
              </w:rPr>
              <w:t>改建</w:t>
            </w:r>
          </w:p>
          <w:p w14:paraId="3F23EBC5">
            <w:pPr>
              <w:jc w:val="left"/>
              <w:rPr>
                <w:color w:val="auto"/>
                <w:sz w:val="24"/>
              </w:rPr>
            </w:pPr>
            <w:r>
              <w:rPr>
                <w:color w:val="auto"/>
                <w:sz w:val="24"/>
              </w:rPr>
              <w:sym w:font="Wingdings 2" w:char="00A3"/>
            </w:r>
            <w:r>
              <w:rPr>
                <w:color w:val="auto"/>
                <w:sz w:val="24"/>
              </w:rPr>
              <w:t>扩建</w:t>
            </w:r>
          </w:p>
          <w:p w14:paraId="05FE2134">
            <w:pPr>
              <w:jc w:val="left"/>
              <w:rPr>
                <w:color w:val="auto"/>
                <w:sz w:val="24"/>
              </w:rPr>
            </w:pPr>
            <w:r>
              <w:rPr>
                <w:color w:val="auto"/>
                <w:sz w:val="24"/>
              </w:rPr>
              <w:sym w:font="Wingdings 2" w:char="00A3"/>
            </w:r>
            <w:r>
              <w:rPr>
                <w:color w:val="auto"/>
                <w:sz w:val="24"/>
              </w:rPr>
              <w:t>技术改造</w:t>
            </w:r>
          </w:p>
        </w:tc>
        <w:tc>
          <w:tcPr>
            <w:tcW w:w="1701" w:type="dxa"/>
            <w:vAlign w:val="center"/>
          </w:tcPr>
          <w:p w14:paraId="77D73B4C">
            <w:pPr>
              <w:adjustRightInd w:val="0"/>
              <w:snapToGrid w:val="0"/>
              <w:jc w:val="center"/>
              <w:rPr>
                <w:color w:val="auto"/>
                <w:sz w:val="24"/>
              </w:rPr>
            </w:pPr>
            <w:r>
              <w:rPr>
                <w:color w:val="auto"/>
                <w:sz w:val="24"/>
              </w:rPr>
              <w:t>建设项目</w:t>
            </w:r>
          </w:p>
          <w:p w14:paraId="259C917A">
            <w:pPr>
              <w:adjustRightInd w:val="0"/>
              <w:snapToGrid w:val="0"/>
              <w:jc w:val="center"/>
              <w:rPr>
                <w:color w:val="auto"/>
                <w:sz w:val="24"/>
              </w:rPr>
            </w:pPr>
            <w:r>
              <w:rPr>
                <w:color w:val="auto"/>
                <w:sz w:val="24"/>
              </w:rPr>
              <w:t>申报情形</w:t>
            </w:r>
          </w:p>
        </w:tc>
        <w:tc>
          <w:tcPr>
            <w:tcW w:w="3045" w:type="dxa"/>
            <w:vAlign w:val="center"/>
          </w:tcPr>
          <w:p w14:paraId="2F1F2673">
            <w:pPr>
              <w:jc w:val="left"/>
              <w:rPr>
                <w:color w:val="auto"/>
                <w:sz w:val="24"/>
              </w:rPr>
            </w:pPr>
            <w:r>
              <w:rPr>
                <w:rFonts w:hAnsi="MS Mincho" w:eastAsia="MS Mincho"/>
                <w:color w:val="auto"/>
                <w:sz w:val="24"/>
              </w:rPr>
              <w:t>☑</w:t>
            </w:r>
            <w:r>
              <w:rPr>
                <w:color w:val="auto"/>
                <w:sz w:val="24"/>
              </w:rPr>
              <w:t xml:space="preserve">首次申报项目 </w:t>
            </w:r>
          </w:p>
          <w:p w14:paraId="0BB9CB43">
            <w:pPr>
              <w:jc w:val="left"/>
              <w:rPr>
                <w:color w:val="auto"/>
                <w:sz w:val="24"/>
              </w:rPr>
            </w:pPr>
            <w:r>
              <w:rPr>
                <w:color w:val="auto"/>
                <w:sz w:val="24"/>
              </w:rPr>
              <w:sym w:font="Wingdings 2" w:char="00A3"/>
            </w:r>
            <w:r>
              <w:rPr>
                <w:color w:val="auto"/>
                <w:sz w:val="24"/>
              </w:rPr>
              <w:t>不予批准后再次申报项目</w:t>
            </w:r>
          </w:p>
          <w:p w14:paraId="3E2AF4E3">
            <w:pPr>
              <w:jc w:val="left"/>
              <w:rPr>
                <w:color w:val="auto"/>
                <w:sz w:val="24"/>
              </w:rPr>
            </w:pPr>
            <w:r>
              <w:rPr>
                <w:color w:val="auto"/>
                <w:sz w:val="24"/>
              </w:rPr>
              <w:sym w:font="Wingdings 2" w:char="00A3"/>
            </w:r>
            <w:r>
              <w:rPr>
                <w:color w:val="auto"/>
                <w:sz w:val="24"/>
              </w:rPr>
              <w:t>超五年重新审核项目</w:t>
            </w:r>
          </w:p>
          <w:p w14:paraId="48F6C472">
            <w:pPr>
              <w:jc w:val="left"/>
              <w:rPr>
                <w:color w:val="auto"/>
                <w:sz w:val="24"/>
              </w:rPr>
            </w:pPr>
            <w:r>
              <w:rPr>
                <w:color w:val="auto"/>
                <w:sz w:val="24"/>
              </w:rPr>
              <w:sym w:font="Wingdings 2" w:char="00A3"/>
            </w:r>
            <w:r>
              <w:rPr>
                <w:color w:val="auto"/>
                <w:sz w:val="24"/>
              </w:rPr>
              <w:t>重大变动重新报批项目</w:t>
            </w:r>
          </w:p>
        </w:tc>
      </w:tr>
      <w:tr w14:paraId="59B82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56" w:type="dxa"/>
            <w:tcMar>
              <w:top w:w="16" w:type="dxa"/>
              <w:left w:w="16" w:type="dxa"/>
              <w:right w:w="16" w:type="dxa"/>
            </w:tcMar>
            <w:vAlign w:val="center"/>
          </w:tcPr>
          <w:p w14:paraId="6A936839">
            <w:pPr>
              <w:adjustRightInd w:val="0"/>
              <w:snapToGrid w:val="0"/>
              <w:jc w:val="center"/>
              <w:rPr>
                <w:color w:val="auto"/>
                <w:sz w:val="24"/>
              </w:rPr>
            </w:pPr>
            <w:r>
              <w:rPr>
                <w:color w:val="auto"/>
                <w:sz w:val="24"/>
              </w:rPr>
              <w:t>项目审批（核准/</w:t>
            </w:r>
          </w:p>
          <w:p w14:paraId="2D098165">
            <w:pPr>
              <w:adjustRightInd w:val="0"/>
              <w:snapToGrid w:val="0"/>
              <w:jc w:val="center"/>
              <w:rPr>
                <w:color w:val="auto"/>
                <w:sz w:val="24"/>
              </w:rPr>
            </w:pPr>
            <w:r>
              <w:rPr>
                <w:color w:val="auto"/>
                <w:sz w:val="24"/>
              </w:rPr>
              <w:t>备案）部门（选填）</w:t>
            </w:r>
          </w:p>
        </w:tc>
        <w:tc>
          <w:tcPr>
            <w:tcW w:w="2268" w:type="dxa"/>
            <w:vAlign w:val="center"/>
          </w:tcPr>
          <w:p w14:paraId="5157BC13">
            <w:pPr>
              <w:adjustRightInd w:val="0"/>
              <w:snapToGrid w:val="0"/>
              <w:jc w:val="center"/>
              <w:rPr>
                <w:color w:val="auto"/>
                <w:sz w:val="24"/>
              </w:rPr>
            </w:pPr>
            <w:r>
              <w:rPr>
                <w:color w:val="auto"/>
                <w:sz w:val="24"/>
              </w:rPr>
              <w:t>/</w:t>
            </w:r>
          </w:p>
        </w:tc>
        <w:tc>
          <w:tcPr>
            <w:tcW w:w="1701" w:type="dxa"/>
            <w:vAlign w:val="center"/>
          </w:tcPr>
          <w:p w14:paraId="2426B648">
            <w:pPr>
              <w:adjustRightInd w:val="0"/>
              <w:snapToGrid w:val="0"/>
              <w:jc w:val="center"/>
              <w:rPr>
                <w:color w:val="auto"/>
                <w:sz w:val="24"/>
              </w:rPr>
            </w:pPr>
            <w:r>
              <w:rPr>
                <w:color w:val="auto"/>
                <w:sz w:val="24"/>
              </w:rPr>
              <w:t>项目审批（核准/</w:t>
            </w:r>
          </w:p>
          <w:p w14:paraId="087BD197">
            <w:pPr>
              <w:adjustRightInd w:val="0"/>
              <w:snapToGrid w:val="0"/>
              <w:jc w:val="center"/>
              <w:rPr>
                <w:color w:val="auto"/>
                <w:sz w:val="24"/>
              </w:rPr>
            </w:pPr>
            <w:r>
              <w:rPr>
                <w:color w:val="auto"/>
                <w:sz w:val="24"/>
              </w:rPr>
              <w:t>备案）文号（选填）</w:t>
            </w:r>
          </w:p>
        </w:tc>
        <w:tc>
          <w:tcPr>
            <w:tcW w:w="3045" w:type="dxa"/>
            <w:vAlign w:val="center"/>
          </w:tcPr>
          <w:p w14:paraId="14D975EB">
            <w:pPr>
              <w:adjustRightInd w:val="0"/>
              <w:snapToGrid w:val="0"/>
              <w:jc w:val="center"/>
              <w:rPr>
                <w:color w:val="auto"/>
                <w:sz w:val="24"/>
              </w:rPr>
            </w:pPr>
            <w:r>
              <w:rPr>
                <w:color w:val="auto"/>
                <w:sz w:val="24"/>
              </w:rPr>
              <w:t>/</w:t>
            </w:r>
          </w:p>
        </w:tc>
      </w:tr>
      <w:tr w14:paraId="46655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10D66417">
            <w:pPr>
              <w:adjustRightInd w:val="0"/>
              <w:snapToGrid w:val="0"/>
              <w:jc w:val="center"/>
              <w:rPr>
                <w:color w:val="auto"/>
                <w:sz w:val="24"/>
              </w:rPr>
            </w:pPr>
            <w:r>
              <w:rPr>
                <w:color w:val="auto"/>
                <w:sz w:val="24"/>
              </w:rPr>
              <w:t>总投资（万元）</w:t>
            </w:r>
          </w:p>
        </w:tc>
        <w:tc>
          <w:tcPr>
            <w:tcW w:w="2268" w:type="dxa"/>
            <w:vAlign w:val="center"/>
          </w:tcPr>
          <w:p w14:paraId="4FFFB775">
            <w:pPr>
              <w:adjustRightInd w:val="0"/>
              <w:snapToGrid w:val="0"/>
              <w:jc w:val="center"/>
              <w:rPr>
                <w:rFonts w:hint="eastAsia" w:eastAsia="宋体"/>
                <w:color w:val="auto"/>
                <w:sz w:val="24"/>
                <w:lang w:eastAsia="zh-CN"/>
              </w:rPr>
            </w:pPr>
            <w:r>
              <w:rPr>
                <w:rFonts w:hint="eastAsia"/>
                <w:color w:val="auto"/>
                <w:sz w:val="24"/>
                <w:lang w:val="en-US" w:eastAsia="zh-CN"/>
              </w:rPr>
              <w:t>21800</w:t>
            </w:r>
          </w:p>
        </w:tc>
        <w:tc>
          <w:tcPr>
            <w:tcW w:w="1701" w:type="dxa"/>
            <w:tcMar>
              <w:top w:w="16" w:type="dxa"/>
              <w:left w:w="16" w:type="dxa"/>
              <w:right w:w="16" w:type="dxa"/>
            </w:tcMar>
            <w:vAlign w:val="center"/>
          </w:tcPr>
          <w:p w14:paraId="2B9A860C">
            <w:pPr>
              <w:adjustRightInd w:val="0"/>
              <w:snapToGrid w:val="0"/>
              <w:jc w:val="center"/>
              <w:rPr>
                <w:color w:val="auto"/>
                <w:sz w:val="24"/>
              </w:rPr>
            </w:pPr>
            <w:r>
              <w:rPr>
                <w:color w:val="auto"/>
                <w:sz w:val="24"/>
              </w:rPr>
              <w:t>环保投资（万元）</w:t>
            </w:r>
          </w:p>
        </w:tc>
        <w:tc>
          <w:tcPr>
            <w:tcW w:w="3045" w:type="dxa"/>
            <w:vAlign w:val="center"/>
          </w:tcPr>
          <w:p w14:paraId="766B36C1">
            <w:pPr>
              <w:adjustRightInd w:val="0"/>
              <w:snapToGrid w:val="0"/>
              <w:jc w:val="center"/>
              <w:rPr>
                <w:rFonts w:hint="eastAsia" w:eastAsia="宋体"/>
                <w:color w:val="auto"/>
                <w:sz w:val="24"/>
                <w:lang w:eastAsia="zh-CN"/>
              </w:rPr>
            </w:pPr>
            <w:r>
              <w:rPr>
                <w:rFonts w:hint="eastAsia"/>
                <w:color w:val="auto"/>
                <w:sz w:val="24"/>
                <w:highlight w:val="none"/>
                <w:lang w:val="en-US" w:eastAsia="zh-CN"/>
              </w:rPr>
              <w:t>787.5</w:t>
            </w:r>
          </w:p>
        </w:tc>
      </w:tr>
      <w:tr w14:paraId="1AF54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7D2CBCD8">
            <w:pPr>
              <w:adjustRightInd w:val="0"/>
              <w:snapToGrid w:val="0"/>
              <w:jc w:val="center"/>
              <w:rPr>
                <w:color w:val="auto"/>
                <w:sz w:val="24"/>
              </w:rPr>
            </w:pPr>
            <w:r>
              <w:rPr>
                <w:color w:val="auto"/>
                <w:sz w:val="24"/>
              </w:rPr>
              <w:t>环保投资占比（%）</w:t>
            </w:r>
          </w:p>
        </w:tc>
        <w:tc>
          <w:tcPr>
            <w:tcW w:w="2268" w:type="dxa"/>
            <w:vAlign w:val="center"/>
          </w:tcPr>
          <w:p w14:paraId="405CE67B">
            <w:pPr>
              <w:adjustRightInd w:val="0"/>
              <w:snapToGrid w:val="0"/>
              <w:jc w:val="center"/>
              <w:rPr>
                <w:rFonts w:hint="eastAsia" w:eastAsia="宋体"/>
                <w:color w:val="auto"/>
                <w:sz w:val="24"/>
                <w:lang w:eastAsia="zh-CN"/>
              </w:rPr>
            </w:pPr>
            <w:r>
              <w:rPr>
                <w:rFonts w:hint="eastAsia"/>
                <w:color w:val="auto"/>
                <w:sz w:val="24"/>
                <w:highlight w:val="none"/>
                <w:lang w:val="en-US" w:eastAsia="zh-CN"/>
              </w:rPr>
              <w:t>3.61</w:t>
            </w:r>
          </w:p>
        </w:tc>
        <w:tc>
          <w:tcPr>
            <w:tcW w:w="1701" w:type="dxa"/>
            <w:tcMar>
              <w:top w:w="16" w:type="dxa"/>
              <w:left w:w="16" w:type="dxa"/>
              <w:right w:w="16" w:type="dxa"/>
            </w:tcMar>
            <w:vAlign w:val="center"/>
          </w:tcPr>
          <w:p w14:paraId="1C1D0E2E">
            <w:pPr>
              <w:adjustRightInd w:val="0"/>
              <w:snapToGrid w:val="0"/>
              <w:jc w:val="center"/>
              <w:rPr>
                <w:color w:val="auto"/>
                <w:sz w:val="24"/>
              </w:rPr>
            </w:pPr>
            <w:r>
              <w:rPr>
                <w:color w:val="auto"/>
                <w:sz w:val="24"/>
              </w:rPr>
              <w:t>施工工期</w:t>
            </w:r>
          </w:p>
        </w:tc>
        <w:tc>
          <w:tcPr>
            <w:tcW w:w="3045" w:type="dxa"/>
            <w:vAlign w:val="center"/>
          </w:tcPr>
          <w:p w14:paraId="01735798">
            <w:pPr>
              <w:adjustRightInd w:val="0"/>
              <w:snapToGrid w:val="0"/>
              <w:jc w:val="center"/>
              <w:rPr>
                <w:color w:val="auto"/>
                <w:sz w:val="24"/>
              </w:rPr>
            </w:pPr>
            <w:r>
              <w:rPr>
                <w:rFonts w:hint="eastAsia"/>
                <w:color w:val="auto"/>
                <w:sz w:val="24"/>
                <w:lang w:val="en-US" w:eastAsia="zh-CN"/>
              </w:rPr>
              <w:t>12</w:t>
            </w:r>
            <w:r>
              <w:rPr>
                <w:color w:val="auto"/>
                <w:sz w:val="24"/>
              </w:rPr>
              <w:t>个月</w:t>
            </w:r>
          </w:p>
        </w:tc>
      </w:tr>
      <w:tr w14:paraId="4DAF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14:paraId="23B936B6">
            <w:pPr>
              <w:adjustRightInd w:val="0"/>
              <w:snapToGrid w:val="0"/>
              <w:jc w:val="center"/>
              <w:rPr>
                <w:color w:val="auto"/>
                <w:sz w:val="24"/>
              </w:rPr>
            </w:pPr>
            <w:r>
              <w:rPr>
                <w:color w:val="auto"/>
                <w:sz w:val="24"/>
              </w:rPr>
              <w:t>是否开工建设</w:t>
            </w:r>
          </w:p>
        </w:tc>
        <w:tc>
          <w:tcPr>
            <w:tcW w:w="2268" w:type="dxa"/>
            <w:vAlign w:val="center"/>
          </w:tcPr>
          <w:p w14:paraId="2F8AB0A4">
            <w:pPr>
              <w:adjustRightInd w:val="0"/>
              <w:snapToGrid w:val="0"/>
              <w:rPr>
                <w:color w:val="auto"/>
                <w:sz w:val="24"/>
              </w:rPr>
            </w:pPr>
            <w:r>
              <w:rPr>
                <w:rFonts w:hAnsi="MS Mincho" w:eastAsia="MS Mincho"/>
                <w:color w:val="auto"/>
                <w:sz w:val="24"/>
              </w:rPr>
              <w:t>☑</w:t>
            </w:r>
            <w:r>
              <w:rPr>
                <w:color w:val="auto"/>
                <w:sz w:val="24"/>
              </w:rPr>
              <w:t>否</w:t>
            </w:r>
          </w:p>
          <w:p w14:paraId="2DD6989C">
            <w:pPr>
              <w:adjustRightInd w:val="0"/>
              <w:snapToGrid w:val="0"/>
              <w:rPr>
                <w:color w:val="auto"/>
                <w:sz w:val="24"/>
              </w:rPr>
            </w:pPr>
            <w:r>
              <w:rPr>
                <w:color w:val="auto"/>
                <w:sz w:val="24"/>
              </w:rPr>
              <w:sym w:font="Wingdings 2" w:char="00A3"/>
            </w:r>
            <w:r>
              <w:rPr>
                <w:color w:val="auto"/>
                <w:sz w:val="24"/>
              </w:rPr>
              <w:t>是：</w:t>
            </w:r>
            <w:r>
              <w:rPr>
                <w:color w:val="auto"/>
                <w:sz w:val="24"/>
                <w:u w:val="single"/>
              </w:rPr>
              <w:t xml:space="preserve">  </w:t>
            </w:r>
          </w:p>
        </w:tc>
        <w:tc>
          <w:tcPr>
            <w:tcW w:w="1701" w:type="dxa"/>
            <w:tcMar>
              <w:top w:w="16" w:type="dxa"/>
              <w:left w:w="16" w:type="dxa"/>
              <w:right w:w="16" w:type="dxa"/>
            </w:tcMar>
            <w:vAlign w:val="center"/>
          </w:tcPr>
          <w:p w14:paraId="4A50416E">
            <w:pPr>
              <w:adjustRightInd w:val="0"/>
              <w:snapToGrid w:val="0"/>
              <w:jc w:val="center"/>
              <w:rPr>
                <w:color w:val="auto"/>
                <w:spacing w:val="-6"/>
                <w:sz w:val="24"/>
              </w:rPr>
            </w:pPr>
            <w:r>
              <w:rPr>
                <w:color w:val="auto"/>
                <w:spacing w:val="-6"/>
                <w:sz w:val="24"/>
              </w:rPr>
              <w:t>用地（用海）</w:t>
            </w:r>
          </w:p>
          <w:p w14:paraId="700D11AC">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45" w:type="dxa"/>
            <w:vAlign w:val="center"/>
          </w:tcPr>
          <w:p w14:paraId="06CB26BD">
            <w:pPr>
              <w:adjustRightInd w:val="0"/>
              <w:snapToGrid w:val="0"/>
              <w:jc w:val="center"/>
              <w:rPr>
                <w:rFonts w:hint="eastAsia" w:eastAsia="宋体"/>
                <w:color w:val="auto"/>
                <w:sz w:val="24"/>
                <w:lang w:eastAsia="zh-CN"/>
              </w:rPr>
            </w:pPr>
            <w:r>
              <w:rPr>
                <w:rFonts w:hint="eastAsia"/>
                <w:color w:val="auto"/>
                <w:sz w:val="24"/>
                <w:lang w:val="en-US" w:eastAsia="zh-CN"/>
              </w:rPr>
              <w:t>33115.61</w:t>
            </w:r>
          </w:p>
        </w:tc>
      </w:tr>
      <w:tr w14:paraId="0E8FD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6" w:type="dxa"/>
            <w:vAlign w:val="center"/>
          </w:tcPr>
          <w:p w14:paraId="0326E18B">
            <w:pPr>
              <w:autoSpaceDE w:val="0"/>
              <w:autoSpaceDN w:val="0"/>
              <w:adjustRightInd w:val="0"/>
              <w:snapToGrid w:val="0"/>
              <w:jc w:val="center"/>
              <w:rPr>
                <w:color w:val="auto"/>
                <w:kern w:val="0"/>
                <w:sz w:val="24"/>
              </w:rPr>
            </w:pPr>
            <w:r>
              <w:rPr>
                <w:color w:val="auto"/>
                <w:kern w:val="0"/>
                <w:sz w:val="24"/>
              </w:rPr>
              <w:t>专项评价设置情况</w:t>
            </w:r>
          </w:p>
        </w:tc>
        <w:tc>
          <w:tcPr>
            <w:tcW w:w="7014" w:type="dxa"/>
            <w:gridSpan w:val="3"/>
            <w:vAlign w:val="center"/>
          </w:tcPr>
          <w:p w14:paraId="34D9E12F">
            <w:pPr>
              <w:autoSpaceDE w:val="0"/>
              <w:autoSpaceDN w:val="0"/>
              <w:adjustRightInd w:val="0"/>
              <w:snapToGrid w:val="0"/>
              <w:jc w:val="center"/>
              <w:rPr>
                <w:color w:val="auto"/>
                <w:kern w:val="0"/>
                <w:sz w:val="24"/>
              </w:rPr>
            </w:pPr>
            <w:r>
              <w:rPr>
                <w:rFonts w:hint="eastAsia"/>
                <w:color w:val="auto"/>
                <w:kern w:val="0"/>
                <w:sz w:val="24"/>
              </w:rPr>
              <w:t>无</w:t>
            </w:r>
          </w:p>
        </w:tc>
      </w:tr>
      <w:tr w14:paraId="01C60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0C74315A">
            <w:pPr>
              <w:autoSpaceDE w:val="0"/>
              <w:autoSpaceDN w:val="0"/>
              <w:adjustRightInd w:val="0"/>
              <w:snapToGrid w:val="0"/>
              <w:jc w:val="center"/>
              <w:rPr>
                <w:color w:val="auto"/>
                <w:kern w:val="0"/>
                <w:sz w:val="24"/>
              </w:rPr>
            </w:pPr>
            <w:r>
              <w:rPr>
                <w:color w:val="auto"/>
                <w:sz w:val="24"/>
              </w:rPr>
              <w:t>规划情况</w:t>
            </w:r>
          </w:p>
        </w:tc>
        <w:tc>
          <w:tcPr>
            <w:tcW w:w="7014" w:type="dxa"/>
            <w:gridSpan w:val="3"/>
            <w:vAlign w:val="center"/>
          </w:tcPr>
          <w:p w14:paraId="17621EC3">
            <w:pPr>
              <w:keepNext w:val="0"/>
              <w:keepLines w:val="0"/>
              <w:pageBreakBefore w:val="0"/>
              <w:widowControl w:val="0"/>
              <w:suppressLineNumbers w:val="0"/>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玛纳斯县塔河工业园区位于玛纳斯县县城以东约 10km 处</w:t>
            </w:r>
            <w:r>
              <w:rPr>
                <w:rFonts w:hint="eastAsia" w:cs="Times New Roman"/>
                <w:color w:val="auto"/>
                <w:kern w:val="0"/>
                <w:sz w:val="24"/>
                <w:highlight w:val="none"/>
                <w:lang w:eastAsia="zh-CN"/>
              </w:rPr>
              <w:t>。</w:t>
            </w:r>
            <w:r>
              <w:rPr>
                <w:rFonts w:hint="eastAsia" w:ascii="Times New Roman" w:hAnsi="Times New Roman" w:cs="Times New Roman"/>
                <w:color w:val="auto"/>
                <w:kern w:val="0"/>
                <w:sz w:val="24"/>
                <w:highlight w:val="none"/>
              </w:rPr>
              <w:t>规划用地行政区划属于玛纳斯县包家店镇和平原林场。312国道横贯园区，乌奎高速公路、北疆铁路分别从园区的中部、南界穿过。</w:t>
            </w:r>
            <w:r>
              <w:rPr>
                <w:rFonts w:hint="eastAsia" w:cs="Times New Roman"/>
                <w:color w:val="auto"/>
                <w:kern w:val="0"/>
                <w:sz w:val="24"/>
                <w:highlight w:val="none"/>
                <w:lang w:eastAsia="zh-CN"/>
              </w:rPr>
              <w:t>根据《玛纳斯县塔河工业园区总体规划（</w:t>
            </w:r>
            <w:r>
              <w:rPr>
                <w:rFonts w:hint="eastAsia" w:cs="Times New Roman"/>
                <w:color w:val="auto"/>
                <w:kern w:val="0"/>
                <w:sz w:val="24"/>
                <w:highlight w:val="none"/>
                <w:lang w:val="en-US" w:eastAsia="zh-CN"/>
              </w:rPr>
              <w:t>2008-2025</w:t>
            </w:r>
            <w:r>
              <w:rPr>
                <w:rFonts w:hint="eastAsia" w:cs="Times New Roman"/>
                <w:color w:val="auto"/>
                <w:kern w:val="0"/>
                <w:sz w:val="24"/>
                <w:highlight w:val="none"/>
                <w:lang w:eastAsia="zh-CN"/>
              </w:rPr>
              <w:t>）》，</w:t>
            </w:r>
            <w:r>
              <w:rPr>
                <w:rFonts w:hint="eastAsia" w:ascii="Times New Roman" w:hAnsi="Times New Roman" w:cs="Times New Roman"/>
                <w:color w:val="auto"/>
                <w:kern w:val="0"/>
                <w:sz w:val="24"/>
                <w:highlight w:val="none"/>
              </w:rPr>
              <w:t>园区分为北区、中区和南区。园区规划总面积为61.85km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，其中北区规划面积 14.35km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，中区规划面积 19.05km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，南区规划面积 28.45km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w:t>
            </w:r>
          </w:p>
          <w:p w14:paraId="001FB924">
            <w:pPr>
              <w:keepNext w:val="0"/>
              <w:keepLines w:val="0"/>
              <w:pageBreakBefore w:val="0"/>
              <w:widowControl w:val="0"/>
              <w:suppressLineNumbers w:val="0"/>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kern w:val="0"/>
                <w:sz w:val="24"/>
                <w:highlight w:val="none"/>
              </w:rPr>
            </w:pPr>
            <w:r>
              <w:rPr>
                <w:rFonts w:hint="eastAsia" w:cs="Times New Roman"/>
                <w:color w:val="auto"/>
                <w:kern w:val="0"/>
                <w:sz w:val="24"/>
                <w:highlight w:val="none"/>
                <w:lang w:eastAsia="zh-CN"/>
              </w:rPr>
              <w:t>根据规划，园区产业定位为：北区规划以煤电铝循环经济为主导产业，主要生产电解铝、铝型材、化工产品等高附加值的工业产品；中区以煤化、煤电为规划的主干产业，主要生产煤电、煤制天然气、煤制油等其他高附加值的新型煤化工产品。南区以煤化工、煤电为主导产业，主要生产煤电、煤质天然气，煤制油等其他高附加值的新型煤化工产品。</w:t>
            </w:r>
          </w:p>
          <w:p w14:paraId="03544B1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lang w:eastAsia="zh-CN"/>
              </w:rPr>
              <w:t>玛纳斯县塔西河工业</w:t>
            </w:r>
            <w:r>
              <w:rPr>
                <w:rFonts w:hint="eastAsia"/>
                <w:color w:val="auto"/>
                <w:kern w:val="0"/>
                <w:sz w:val="24"/>
              </w:rPr>
              <w:t>园区于2013年3月取得了玛纳斯县人民政府出具的《玛纳斯县塔河工业园区总体规划</w:t>
            </w:r>
            <w:r>
              <w:rPr>
                <w:rFonts w:hint="eastAsia"/>
                <w:color w:val="auto"/>
                <w:kern w:val="0"/>
                <w:sz w:val="24"/>
                <w:lang w:eastAsia="zh-CN"/>
              </w:rPr>
              <w:t>的</w:t>
            </w:r>
            <w:r>
              <w:rPr>
                <w:rFonts w:hint="eastAsia"/>
                <w:color w:val="auto"/>
                <w:kern w:val="0"/>
                <w:sz w:val="24"/>
              </w:rPr>
              <w:t>批复》（玛政发〔2013〕8号）</w:t>
            </w:r>
            <w:r>
              <w:rPr>
                <w:rFonts w:hint="eastAsia"/>
                <w:color w:val="auto"/>
                <w:kern w:val="0"/>
                <w:sz w:val="24"/>
                <w:lang w:eastAsia="zh-CN"/>
              </w:rPr>
              <w:t>。</w:t>
            </w:r>
          </w:p>
        </w:tc>
      </w:tr>
      <w:tr w14:paraId="00C02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27700A53">
            <w:pPr>
              <w:adjustRightInd w:val="0"/>
              <w:snapToGrid w:val="0"/>
              <w:jc w:val="center"/>
              <w:rPr>
                <w:color w:val="auto"/>
                <w:sz w:val="24"/>
              </w:rPr>
            </w:pPr>
            <w:r>
              <w:rPr>
                <w:color w:val="auto"/>
                <w:sz w:val="24"/>
              </w:rPr>
              <w:t>规划环境影响</w:t>
            </w:r>
          </w:p>
          <w:p w14:paraId="4A84C58B">
            <w:pPr>
              <w:adjustRightInd w:val="0"/>
              <w:snapToGrid w:val="0"/>
              <w:jc w:val="center"/>
              <w:rPr>
                <w:color w:val="auto"/>
                <w:kern w:val="0"/>
                <w:sz w:val="24"/>
              </w:rPr>
            </w:pPr>
            <w:r>
              <w:rPr>
                <w:color w:val="auto"/>
                <w:sz w:val="24"/>
              </w:rPr>
              <w:t>评价情况</w:t>
            </w:r>
          </w:p>
        </w:tc>
        <w:tc>
          <w:tcPr>
            <w:tcW w:w="7014" w:type="dxa"/>
            <w:gridSpan w:val="3"/>
            <w:vAlign w:val="center"/>
          </w:tcPr>
          <w:p w14:paraId="7E7290D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lang w:val="en-US" w:eastAsia="zh-CN"/>
              </w:rPr>
              <w:t>园区规划过程中新疆环境保护科学研究院承担了园区规划环境影响项评价工作，并于</w:t>
            </w:r>
            <w:r>
              <w:rPr>
                <w:rFonts w:hint="eastAsia"/>
                <w:color w:val="auto"/>
                <w:kern w:val="0"/>
                <w:sz w:val="24"/>
              </w:rPr>
              <w:t>2013年5月</w:t>
            </w:r>
            <w:r>
              <w:rPr>
                <w:rFonts w:hint="eastAsia"/>
                <w:color w:val="auto"/>
                <w:kern w:val="0"/>
                <w:sz w:val="24"/>
                <w:lang w:eastAsia="zh-CN"/>
              </w:rPr>
              <w:t>取得原玛纳斯县环境保护局</w:t>
            </w:r>
            <w:r>
              <w:rPr>
                <w:rFonts w:hint="eastAsia"/>
                <w:color w:val="auto"/>
                <w:kern w:val="0"/>
                <w:sz w:val="24"/>
              </w:rPr>
              <w:t>《关于玛纳斯县塔河工业园区总体规划环境影响报告书的审查意见》（玛环审〔2013〕37号）。</w:t>
            </w:r>
          </w:p>
        </w:tc>
      </w:tr>
      <w:tr w14:paraId="002A6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3CFEC29C">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014" w:type="dxa"/>
            <w:gridSpan w:val="3"/>
            <w:vAlign w:val="center"/>
          </w:tcPr>
          <w:p w14:paraId="739CD45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color w:val="auto"/>
                <w:kern w:val="0"/>
                <w:sz w:val="24"/>
              </w:rPr>
            </w:pPr>
            <w:r>
              <w:rPr>
                <w:rFonts w:hint="eastAsia"/>
                <w:color w:val="auto"/>
                <w:kern w:val="0"/>
                <w:sz w:val="24"/>
              </w:rPr>
              <w:t>项目建设地点位于玛纳斯塔河工业园北区</w:t>
            </w:r>
            <w:r>
              <w:rPr>
                <w:rFonts w:hint="eastAsia"/>
                <w:color w:val="auto"/>
                <w:kern w:val="0"/>
                <w:sz w:val="24"/>
                <w:lang w:eastAsia="zh-CN"/>
              </w:rPr>
              <w:t>（建设地点及在园区位置分别见图</w:t>
            </w:r>
            <w:r>
              <w:rPr>
                <w:rFonts w:hint="eastAsia"/>
                <w:color w:val="auto"/>
                <w:kern w:val="0"/>
                <w:sz w:val="24"/>
                <w:lang w:val="en-US" w:eastAsia="zh-CN"/>
              </w:rPr>
              <w:t>1、图2</w:t>
            </w:r>
            <w:r>
              <w:rPr>
                <w:rFonts w:hint="eastAsia"/>
                <w:color w:val="auto"/>
                <w:kern w:val="0"/>
                <w:sz w:val="24"/>
                <w:lang w:eastAsia="zh-CN"/>
              </w:rPr>
              <w:t>）</w:t>
            </w:r>
            <w:r>
              <w:rPr>
                <w:rFonts w:hint="eastAsia"/>
                <w:color w:val="auto"/>
                <w:kern w:val="0"/>
                <w:sz w:val="24"/>
              </w:rPr>
              <w:t>，占地类型为园区规划工业用地。根据园区规划，项目所在北区指导产业为煤电铝循环经济为主导产业，主要生产电解铝、铝型材、化工产品等高附加值的工业产品。本项目为利用玛纳斯县周边农田棉花秸秆生产具有高附加值的生物质炭，同时利用烟气余热进行发电，电力并入现有电网，符合园区产业定位。</w:t>
            </w:r>
          </w:p>
          <w:p w14:paraId="55F0D55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color w:val="auto"/>
                <w:kern w:val="0"/>
                <w:sz w:val="24"/>
              </w:rPr>
            </w:pPr>
            <w:r>
              <w:rPr>
                <w:rFonts w:hint="eastAsia"/>
                <w:color w:val="auto"/>
                <w:kern w:val="0"/>
                <w:sz w:val="24"/>
              </w:rPr>
              <w:t>项目用水用电均由园区管网统一供给，工业废气经污染治理措施处理后均能达标排放，生产废水排入园区下水管网依托工业园区污水处理厂集中治理，生产固废回收利用，生活垃圾由园区指定处理，符合园区基础设施规划及规划环评相关要求。</w:t>
            </w:r>
          </w:p>
          <w:p w14:paraId="4055F7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rPr>
              <w:t>本项目环境功能区划与园区环境功能区划一致，园区环境保护策略主要包括严格环境准入，禁止落后产业入园；大力推进清洁生产和节能减排，促进循环经济，实现总量控制目标；构建园区循环经济产业链；加强重点污染行业和企业监管等，本项目建设符合产业政策要求，不属于限值入园的工业企业类型，区域承载力能够满足本项目的资源能源需求，同时项目以棉花秸秆为原料，充分利用炭化烟气余热进行发电，符合循环经济要求。项目建设过程中需按照国家法律法规要求认真落实环境保护“三同时”制度，严格落实设计和环评报告提出的污染防治措施和环境保护措施，并加强环保设施的运行维护和管理，保证各种环保设施的正常运行和污染物长期稳定达标排放，项目建成运行后积极开展清洁生产审核。故项目建设</w:t>
            </w:r>
            <w:r>
              <w:rPr>
                <w:rFonts w:hint="eastAsia"/>
                <w:color w:val="auto"/>
                <w:kern w:val="0"/>
                <w:sz w:val="24"/>
                <w:lang w:eastAsia="zh-CN"/>
              </w:rPr>
              <w:t>符合《玛纳斯县塔河工业园区总体规划（2008-2025）》及规划环境影响评价审查意见要求</w:t>
            </w:r>
            <w:r>
              <w:rPr>
                <w:rFonts w:hint="eastAsia"/>
                <w:color w:val="auto"/>
                <w:kern w:val="0"/>
                <w:sz w:val="24"/>
              </w:rPr>
              <w:t>。</w:t>
            </w:r>
          </w:p>
        </w:tc>
      </w:tr>
      <w:tr w14:paraId="7BA27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56" w:type="dxa"/>
            <w:vAlign w:val="center"/>
          </w:tcPr>
          <w:p w14:paraId="356BF894">
            <w:pPr>
              <w:autoSpaceDE w:val="0"/>
              <w:autoSpaceDN w:val="0"/>
              <w:adjustRightInd w:val="0"/>
              <w:snapToGrid w:val="0"/>
              <w:jc w:val="center"/>
              <w:rPr>
                <w:color w:val="auto"/>
                <w:kern w:val="0"/>
                <w:sz w:val="24"/>
              </w:rPr>
            </w:pPr>
            <w:r>
              <w:rPr>
                <w:color w:val="auto"/>
                <w:kern w:val="0"/>
                <w:sz w:val="24"/>
              </w:rPr>
              <w:t>其他符合性分析</w:t>
            </w:r>
          </w:p>
        </w:tc>
        <w:tc>
          <w:tcPr>
            <w:tcW w:w="7014" w:type="dxa"/>
            <w:gridSpan w:val="3"/>
            <w:vAlign w:val="center"/>
          </w:tcPr>
          <w:p w14:paraId="53A82652">
            <w:pPr>
              <w:pStyle w:val="47"/>
              <w:spacing w:line="360" w:lineRule="auto"/>
              <w:ind w:firstLine="480"/>
              <w:rPr>
                <w:rFonts w:ascii="Times New Roman" w:hAnsi="Times New Roman" w:cs="Times New Roman"/>
                <w:bCs/>
                <w:color w:val="auto"/>
                <w:szCs w:val="24"/>
              </w:rPr>
            </w:pPr>
            <w:r>
              <w:rPr>
                <w:rFonts w:ascii="Times New Roman" w:hAnsi="Times New Roman" w:cs="Times New Roman"/>
                <w:bCs/>
                <w:color w:val="auto"/>
                <w:szCs w:val="24"/>
              </w:rPr>
              <w:t>1</w:t>
            </w:r>
            <w:r>
              <w:rPr>
                <w:rFonts w:ascii="Times New Roman" w:cs="Times New Roman"/>
                <w:bCs/>
                <w:color w:val="auto"/>
                <w:szCs w:val="24"/>
              </w:rPr>
              <w:t>、《产业结构调整指导目录（</w:t>
            </w:r>
            <w:r>
              <w:rPr>
                <w:rFonts w:ascii="Times New Roman" w:hAnsi="Times New Roman" w:cs="Times New Roman"/>
                <w:bCs/>
                <w:color w:val="auto"/>
                <w:szCs w:val="24"/>
              </w:rPr>
              <w:t>2019</w:t>
            </w:r>
            <w:r>
              <w:rPr>
                <w:rFonts w:ascii="Times New Roman" w:cs="Times New Roman"/>
                <w:bCs/>
                <w:color w:val="auto"/>
                <w:szCs w:val="24"/>
              </w:rPr>
              <w:t>年本）》相符性</w:t>
            </w:r>
          </w:p>
          <w:p w14:paraId="7111DA30">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rPr>
              <w:t>本工程为</w:t>
            </w:r>
            <w:r>
              <w:rPr>
                <w:rFonts w:hint="eastAsia" w:ascii="Times New Roman" w:cs="Times New Roman"/>
                <w:bCs/>
                <w:color w:val="auto"/>
                <w:szCs w:val="24"/>
                <w:lang w:eastAsia="zh-CN"/>
              </w:rPr>
              <w:t>以秸秆制备生物质炭并利用烟气余热进行发电项目，</w:t>
            </w:r>
            <w:r>
              <w:rPr>
                <w:rFonts w:hint="eastAsia" w:ascii="Times New Roman" w:cs="Times New Roman"/>
                <w:bCs/>
                <w:color w:val="auto"/>
                <w:szCs w:val="24"/>
              </w:rPr>
              <w:t>根据《产业结构调整指导目录（2019年本）》，</w:t>
            </w:r>
            <w:r>
              <w:rPr>
                <w:rFonts w:hint="eastAsia" w:ascii="Times New Roman" w:cs="Times New Roman"/>
                <w:bCs/>
                <w:color w:val="auto"/>
                <w:szCs w:val="24"/>
                <w:lang w:eastAsia="zh-CN"/>
              </w:rPr>
              <w:t>项目中秸秆制备生物质炭过程</w:t>
            </w:r>
            <w:r>
              <w:rPr>
                <w:rFonts w:hint="eastAsia" w:ascii="Times New Roman" w:cs="Times New Roman"/>
                <w:bCs/>
                <w:color w:val="auto"/>
                <w:szCs w:val="24"/>
              </w:rPr>
              <w:t>属于该目录鼓励类中 “第一类 农林业”中 第17项 “农作物秸秆综合利用（秸秆肥料化利用，秸秆饲料化利用，秸秆能源化利用，秸秆基料化利用，秸秆原料化利用等”</w:t>
            </w:r>
            <w:r>
              <w:rPr>
                <w:rFonts w:hint="eastAsia" w:ascii="Times New Roman" w:cs="Times New Roman"/>
                <w:bCs/>
                <w:color w:val="auto"/>
                <w:szCs w:val="24"/>
                <w:lang w:eastAsia="zh-CN"/>
              </w:rPr>
              <w:t>；发电过程不属于</w:t>
            </w:r>
            <w:r>
              <w:rPr>
                <w:rFonts w:hint="eastAsia" w:ascii="Times New Roman" w:cs="Times New Roman"/>
                <w:bCs/>
                <w:color w:val="auto"/>
                <w:szCs w:val="24"/>
              </w:rPr>
              <w:t>目录</w:t>
            </w:r>
            <w:r>
              <w:rPr>
                <w:rFonts w:hint="eastAsia" w:ascii="Times New Roman" w:cs="Times New Roman"/>
                <w:bCs/>
                <w:color w:val="auto"/>
                <w:szCs w:val="24"/>
                <w:lang w:eastAsia="zh-CN"/>
              </w:rPr>
              <w:t>中的鼓励类、限制类和淘汰类，为允许类。故项目整体</w:t>
            </w:r>
            <w:r>
              <w:rPr>
                <w:rFonts w:hint="eastAsia" w:ascii="Times New Roman" w:cs="Times New Roman"/>
                <w:bCs/>
                <w:color w:val="auto"/>
                <w:szCs w:val="24"/>
              </w:rPr>
              <w:t>符合国家产业政策要求</w:t>
            </w:r>
            <w:r>
              <w:rPr>
                <w:rFonts w:ascii="Times New Roman" w:cs="Times New Roman"/>
                <w:bCs/>
                <w:color w:val="auto"/>
                <w:szCs w:val="24"/>
              </w:rPr>
              <w:t>。</w:t>
            </w:r>
          </w:p>
          <w:p w14:paraId="7851F60C">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lang w:val="en-US" w:eastAsia="zh-CN"/>
              </w:rPr>
              <w:t>2</w:t>
            </w:r>
            <w:r>
              <w:rPr>
                <w:rFonts w:ascii="Times New Roman" w:cs="Times New Roman"/>
                <w:bCs/>
                <w:color w:val="auto"/>
                <w:szCs w:val="24"/>
              </w:rPr>
              <w:t>、《</w:t>
            </w:r>
            <w:r>
              <w:rPr>
                <w:rFonts w:hint="eastAsia" w:ascii="Times New Roman" w:cs="Times New Roman"/>
                <w:bCs/>
                <w:color w:val="auto"/>
                <w:szCs w:val="24"/>
                <w:lang w:eastAsia="zh-CN"/>
              </w:rPr>
              <w:t>关于加强乌鲁木齐、昌吉、石河子、五家渠区域环境同防同治的意见</w:t>
            </w:r>
            <w:r>
              <w:rPr>
                <w:rFonts w:ascii="Times New Roman" w:cs="Times New Roman"/>
                <w:bCs/>
                <w:color w:val="auto"/>
                <w:szCs w:val="24"/>
              </w:rPr>
              <w:t>》</w:t>
            </w:r>
            <w:r>
              <w:rPr>
                <w:rFonts w:hint="eastAsia" w:ascii="Times New Roman" w:cs="Times New Roman"/>
                <w:bCs/>
                <w:color w:val="auto"/>
                <w:szCs w:val="24"/>
                <w:lang w:eastAsia="zh-CN"/>
              </w:rPr>
              <w:t>（新政发〔</w:t>
            </w:r>
            <w:r>
              <w:rPr>
                <w:rFonts w:hint="eastAsia" w:ascii="Times New Roman" w:cs="Times New Roman"/>
                <w:bCs/>
                <w:color w:val="auto"/>
                <w:szCs w:val="24"/>
                <w:lang w:val="en-US" w:eastAsia="zh-CN"/>
              </w:rPr>
              <w:t>2016</w:t>
            </w:r>
            <w:r>
              <w:rPr>
                <w:rFonts w:hint="eastAsia" w:ascii="Times New Roman" w:cs="Times New Roman"/>
                <w:bCs/>
                <w:color w:val="auto"/>
                <w:szCs w:val="24"/>
                <w:lang w:eastAsia="zh-CN"/>
              </w:rPr>
              <w:t>〕</w:t>
            </w:r>
            <w:r>
              <w:rPr>
                <w:rFonts w:hint="eastAsia" w:ascii="Times New Roman" w:cs="Times New Roman"/>
                <w:bCs/>
                <w:color w:val="auto"/>
                <w:szCs w:val="24"/>
                <w:lang w:val="en-US" w:eastAsia="zh-CN"/>
              </w:rPr>
              <w:t>140号，下称《意见》</w:t>
            </w:r>
            <w:r>
              <w:rPr>
                <w:rFonts w:hint="eastAsia" w:ascii="Times New Roman" w:cs="Times New Roman"/>
                <w:bCs/>
                <w:color w:val="auto"/>
                <w:szCs w:val="24"/>
                <w:lang w:eastAsia="zh-CN"/>
              </w:rPr>
              <w:t>）</w:t>
            </w:r>
            <w:r>
              <w:rPr>
                <w:rFonts w:ascii="Times New Roman" w:cs="Times New Roman"/>
                <w:bCs/>
                <w:color w:val="auto"/>
                <w:szCs w:val="24"/>
              </w:rPr>
              <w:t>相符性</w:t>
            </w:r>
            <w:r>
              <w:rPr>
                <w:rFonts w:hint="eastAsia" w:ascii="Times New Roman" w:cs="Times New Roman"/>
                <w:bCs/>
                <w:color w:val="auto"/>
                <w:szCs w:val="24"/>
                <w:lang w:eastAsia="zh-CN"/>
              </w:rPr>
              <w:t>分析</w:t>
            </w:r>
          </w:p>
          <w:p w14:paraId="31CD4C2C">
            <w:pPr>
              <w:pStyle w:val="47"/>
              <w:spacing w:line="360" w:lineRule="auto"/>
              <w:ind w:firstLine="480"/>
              <w:rPr>
                <w:rFonts w:hint="eastAsia" w:ascii="Times New Roman" w:cs="Times New Roman"/>
                <w:bCs/>
                <w:color w:val="auto"/>
                <w:szCs w:val="24"/>
                <w:lang w:eastAsia="zh-CN"/>
              </w:rPr>
            </w:pPr>
            <w:r>
              <w:rPr>
                <w:rFonts w:hint="eastAsia" w:ascii="Times New Roman" w:cs="Times New Roman"/>
                <w:bCs/>
                <w:color w:val="auto"/>
                <w:szCs w:val="24"/>
                <w:lang w:eastAsia="zh-CN"/>
              </w:rPr>
              <w:t>本项目建设地点位于玛纳斯县塔河工业园区北区，且主要以秸秆制备生物质炭并利用烟气余热进行发电，产业及用地符合国家产业政策及园区规划，各项废气污染物经环境保护措施处理后均能满足排放标准要求，符合《意见》中优化产业结构和布局的要求。</w:t>
            </w:r>
          </w:p>
          <w:p w14:paraId="103F885C">
            <w:pPr>
              <w:pStyle w:val="47"/>
              <w:spacing w:line="360" w:lineRule="auto"/>
              <w:ind w:firstLine="480"/>
              <w:rPr>
                <w:rFonts w:hint="eastAsia" w:ascii="Times New Roman" w:cs="Times New Roman"/>
                <w:bCs/>
                <w:color w:val="auto"/>
                <w:szCs w:val="24"/>
                <w:lang w:eastAsia="zh-CN"/>
              </w:rPr>
            </w:pPr>
            <w:r>
              <w:rPr>
                <w:rFonts w:hint="eastAsia" w:ascii="Times New Roman" w:cs="Times New Roman"/>
                <w:bCs/>
                <w:color w:val="auto"/>
                <w:szCs w:val="24"/>
                <w:lang w:eastAsia="zh-CN"/>
              </w:rPr>
              <w:t>项目各项废水能满足园区污水处理厂入场标准后，排入园区下水管网，最终进入园区污水处理厂处置，处置手段合理。项目用水由园区统一供给，同时建设期间落实各项防渗措施，对周边水环境影响较小，符合《意见》中深入开展水环境治理的要求。</w:t>
            </w:r>
          </w:p>
          <w:p w14:paraId="53B851D5">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lang w:eastAsia="zh-CN"/>
              </w:rPr>
              <w:t>故项目的建设符合《关于加强乌鲁木齐、昌吉、石河子、五家渠区域环境同防同治的意见》（新政发〔2016〕140号）要求</w:t>
            </w:r>
            <w:r>
              <w:rPr>
                <w:rFonts w:ascii="Times New Roman" w:cs="Times New Roman"/>
                <w:bCs/>
                <w:color w:val="auto"/>
                <w:szCs w:val="24"/>
              </w:rPr>
              <w:t>。</w:t>
            </w:r>
          </w:p>
          <w:p w14:paraId="3D6AEE44">
            <w:pPr>
              <w:pStyle w:val="49"/>
              <w:spacing w:line="360" w:lineRule="auto"/>
              <w:rPr>
                <w:rFonts w:hint="eastAsia"/>
                <w:color w:val="auto"/>
                <w:lang w:val="en-US" w:eastAsia="zh-CN"/>
              </w:rPr>
            </w:pPr>
            <w:r>
              <w:rPr>
                <w:rFonts w:hint="eastAsia"/>
                <w:color w:val="auto"/>
                <w:lang w:val="en-US" w:eastAsia="zh-CN"/>
              </w:rPr>
              <w:t>3、与《自治区打赢蓝天保卫战三年行动计划（2018-2020年）》</w:t>
            </w:r>
            <w:r>
              <w:rPr>
                <w:rFonts w:hint="eastAsia" w:ascii="Times New Roman" w:cs="Times New Roman"/>
                <w:bCs/>
                <w:color w:val="auto"/>
                <w:szCs w:val="24"/>
                <w:lang w:eastAsia="zh-CN"/>
              </w:rPr>
              <w:t>（新政发〔</w:t>
            </w:r>
            <w:r>
              <w:rPr>
                <w:rFonts w:hint="eastAsia" w:ascii="Times New Roman" w:cs="Times New Roman"/>
                <w:bCs/>
                <w:color w:val="auto"/>
                <w:szCs w:val="24"/>
                <w:lang w:val="en-US" w:eastAsia="zh-CN"/>
              </w:rPr>
              <w:t>201</w:t>
            </w:r>
            <w:r>
              <w:rPr>
                <w:rFonts w:hint="eastAsia" w:cs="Times New Roman"/>
                <w:bCs/>
                <w:color w:val="auto"/>
                <w:szCs w:val="24"/>
                <w:lang w:val="en-US" w:eastAsia="zh-CN"/>
              </w:rPr>
              <w:t>8</w:t>
            </w:r>
            <w:r>
              <w:rPr>
                <w:rFonts w:hint="eastAsia" w:ascii="Times New Roman" w:cs="Times New Roman"/>
                <w:bCs/>
                <w:color w:val="auto"/>
                <w:szCs w:val="24"/>
                <w:lang w:eastAsia="zh-CN"/>
              </w:rPr>
              <w:t>〕</w:t>
            </w:r>
            <w:r>
              <w:rPr>
                <w:rFonts w:hint="eastAsia" w:cs="Times New Roman"/>
                <w:bCs/>
                <w:color w:val="auto"/>
                <w:szCs w:val="24"/>
                <w:lang w:val="en-US" w:eastAsia="zh-CN"/>
              </w:rPr>
              <w:t>66</w:t>
            </w:r>
            <w:r>
              <w:rPr>
                <w:rFonts w:hint="eastAsia" w:ascii="Times New Roman" w:cs="Times New Roman"/>
                <w:bCs/>
                <w:color w:val="auto"/>
                <w:szCs w:val="24"/>
                <w:lang w:val="en-US" w:eastAsia="zh-CN"/>
              </w:rPr>
              <w:t>号</w:t>
            </w:r>
            <w:r>
              <w:rPr>
                <w:rFonts w:hint="eastAsia" w:cs="Times New Roman"/>
                <w:bCs/>
                <w:color w:val="auto"/>
                <w:szCs w:val="24"/>
                <w:lang w:val="en-US" w:eastAsia="zh-CN"/>
              </w:rPr>
              <w:t>，下称《行动计划》</w:t>
            </w:r>
            <w:r>
              <w:rPr>
                <w:rFonts w:hint="eastAsia" w:ascii="Times New Roman" w:cs="Times New Roman"/>
                <w:bCs/>
                <w:color w:val="auto"/>
                <w:szCs w:val="24"/>
                <w:lang w:eastAsia="zh-CN"/>
              </w:rPr>
              <w:t>）</w:t>
            </w:r>
            <w:r>
              <w:rPr>
                <w:rFonts w:hint="eastAsia"/>
                <w:color w:val="auto"/>
                <w:lang w:val="en-US" w:eastAsia="zh-CN"/>
              </w:rPr>
              <w:t>相符性分析</w:t>
            </w:r>
          </w:p>
          <w:p w14:paraId="049EC596">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本工程以棉花秸秆为原料，生产生物质炭产品，同时利用炭化烟气余热进行发电，不属于“三高”项目；且项目建设地点位于玛纳斯县塔河工业园区并严格落实了SO</w:t>
            </w:r>
            <w:r>
              <w:rPr>
                <w:rFonts w:hint="eastAsia" w:ascii="Times New Roman" w:hAnsi="Times New Roman" w:cs="Times New Roman"/>
                <w:color w:val="auto"/>
                <w:sz w:val="24"/>
                <w:vertAlign w:val="subscript"/>
                <w:lang w:val="en-US" w:eastAsia="zh-CN"/>
              </w:rPr>
              <w:t>2</w:t>
            </w:r>
            <w:r>
              <w:rPr>
                <w:rFonts w:hint="eastAsia" w:ascii="Times New Roman" w:hAnsi="Times New Roman" w:cs="Times New Roman"/>
                <w:color w:val="auto"/>
                <w:sz w:val="24"/>
                <w:lang w:val="en-US" w:eastAsia="zh-CN"/>
              </w:rPr>
              <w:t>、NO</w:t>
            </w:r>
            <w:r>
              <w:rPr>
                <w:rFonts w:hint="eastAsia" w:ascii="Times New Roman" w:hAnsi="Times New Roman" w:cs="Times New Roman"/>
                <w:color w:val="auto"/>
                <w:sz w:val="24"/>
                <w:vertAlign w:val="subscript"/>
                <w:lang w:val="en-US" w:eastAsia="zh-CN"/>
              </w:rPr>
              <w:t>x</w:t>
            </w:r>
            <w:r>
              <w:rPr>
                <w:rFonts w:hint="eastAsia" w:ascii="Times New Roman" w:hAnsi="Times New Roman" w:cs="Times New Roman"/>
                <w:color w:val="auto"/>
                <w:sz w:val="24"/>
                <w:lang w:val="en-US" w:eastAsia="zh-CN"/>
              </w:rPr>
              <w:t>、颗粒物的倍量替代措施，满足《行动计划》中对于项目准入及优化产业布局的要求；</w:t>
            </w:r>
          </w:p>
          <w:p w14:paraId="72257598">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对玛纳斯县周边棉花秸秆进行资源化利用，生产工业生物质炭产品，符合《行动计划》中“21.加强秸秆综合利用和氨排放控制。全面推进秸秆综合利用，鼓励秸秆资源化、饲料化、肥料化利用，推动秸秆还田与离田收集，2020年底前，秸秆综合利用率达到85%以上”的政策要求。</w:t>
            </w:r>
          </w:p>
          <w:p w14:paraId="711715FD">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的建设严格落实“三同时”制度，在采取相应的环境保护措施后，项目各项废气均能做到达标排放，其中炭化烟气的排放可以满足《关于印发&lt;新疆维吾尔自治区工业炉窑大气污染综合治理方案&gt;的通知》（新大气发〔2019〕127号）中要求，满足《行动计划》中推进涉气工业污染源全面达标排放的政策要求。</w:t>
            </w:r>
          </w:p>
          <w:p w14:paraId="6DC87558">
            <w:pPr>
              <w:spacing w:line="360" w:lineRule="auto"/>
              <w:ind w:firstLine="480" w:firstLineChars="200"/>
              <w:rPr>
                <w:rFonts w:hint="eastAsia"/>
                <w:color w:val="auto"/>
                <w:lang w:val="en-US" w:eastAsia="zh-CN"/>
              </w:rPr>
            </w:pPr>
            <w:r>
              <w:rPr>
                <w:rFonts w:hint="eastAsia" w:ascii="Times New Roman" w:hAnsi="Times New Roman" w:cs="Times New Roman"/>
                <w:color w:val="auto"/>
                <w:sz w:val="24"/>
                <w:lang w:val="en-US" w:eastAsia="zh-CN"/>
              </w:rPr>
              <w:t>综上所述，项目的建设满足《自治区打赢蓝天保卫战三年行动计划（2018-2020年）》（新政发〔2018〕66号）要求</w:t>
            </w:r>
            <w:r>
              <w:rPr>
                <w:rFonts w:hint="eastAsia"/>
                <w:color w:val="auto"/>
                <w:lang w:val="en-US" w:eastAsia="zh-CN"/>
              </w:rPr>
              <w:t>。</w:t>
            </w:r>
          </w:p>
          <w:p w14:paraId="36F6A34F">
            <w:pPr>
              <w:pStyle w:val="49"/>
              <w:spacing w:line="360" w:lineRule="auto"/>
              <w:rPr>
                <w:color w:val="auto"/>
              </w:rPr>
            </w:pPr>
            <w:r>
              <w:rPr>
                <w:rFonts w:hint="eastAsia"/>
                <w:color w:val="auto"/>
                <w:lang w:val="en-US" w:eastAsia="zh-CN"/>
              </w:rPr>
              <w:t>4</w:t>
            </w:r>
            <w:r>
              <w:rPr>
                <w:rFonts w:hint="eastAsia"/>
                <w:color w:val="auto"/>
              </w:rPr>
              <w:t>、</w:t>
            </w:r>
            <w:r>
              <w:rPr>
                <w:rFonts w:hint="eastAsia"/>
                <w:color w:val="auto"/>
                <w:lang w:eastAsia="zh-CN"/>
              </w:rPr>
              <w:t>项目</w:t>
            </w:r>
            <w:r>
              <w:rPr>
                <w:color w:val="auto"/>
              </w:rPr>
              <w:t>环境可行性分析</w:t>
            </w:r>
          </w:p>
          <w:p w14:paraId="59E53006">
            <w:pPr>
              <w:pStyle w:val="49"/>
              <w:spacing w:line="360" w:lineRule="auto"/>
              <w:rPr>
                <w:rFonts w:hint="eastAsia"/>
                <w:bCs/>
                <w:color w:val="auto"/>
              </w:rPr>
            </w:pPr>
            <w:r>
              <w:rPr>
                <w:bCs/>
                <w:color w:val="auto"/>
              </w:rPr>
              <w:t>本项目为</w:t>
            </w:r>
            <w:r>
              <w:rPr>
                <w:rFonts w:hint="eastAsia"/>
                <w:bCs/>
                <w:color w:val="auto"/>
                <w:lang w:eastAsia="zh-CN"/>
              </w:rPr>
              <w:t>新</w:t>
            </w:r>
            <w:r>
              <w:rPr>
                <w:bCs/>
                <w:color w:val="auto"/>
              </w:rPr>
              <w:t>建项目，</w:t>
            </w:r>
            <w:r>
              <w:rPr>
                <w:rFonts w:hint="eastAsia"/>
                <w:bCs/>
                <w:color w:val="auto"/>
              </w:rPr>
              <w:t>建设</w:t>
            </w:r>
            <w:r>
              <w:rPr>
                <w:rFonts w:hint="eastAsia"/>
                <w:bCs/>
                <w:color w:val="auto"/>
                <w:lang w:eastAsia="zh-CN"/>
              </w:rPr>
              <w:t>地点</w:t>
            </w:r>
            <w:r>
              <w:rPr>
                <w:rFonts w:hint="eastAsia"/>
                <w:bCs/>
                <w:color w:val="auto"/>
              </w:rPr>
              <w:t>位于玛纳斯县塔西河工业园区北区，占地类型为二类工业用地，符合园区规划。区域基础设施配套齐全，供电、供水设施均能满足项目所需；周边农业生产产生的秸秆可以满足项目所需，原料来源可以得到充足保证；根据预测结果，项目污染物最大落地浓度均未超标，项目不设置大气防护距离，项目建设地点500m范围内无铁路、高速公路、国道、省道等重要交通干线、亦无集中居住区、饮用水水源地等敏感区域，故项目选址合理。</w:t>
            </w:r>
          </w:p>
          <w:p w14:paraId="4BD57CBA">
            <w:pPr>
              <w:pStyle w:val="49"/>
              <w:spacing w:line="360" w:lineRule="auto"/>
              <w:rPr>
                <w:b/>
                <w:bCs/>
                <w:color w:val="auto"/>
                <w:kern w:val="0"/>
              </w:rPr>
            </w:pPr>
            <w:r>
              <w:rPr>
                <w:rFonts w:hint="eastAsia"/>
                <w:color w:val="auto"/>
                <w:lang w:val="en-US" w:eastAsia="zh-CN"/>
              </w:rPr>
              <w:t>5</w:t>
            </w:r>
            <w:r>
              <w:rPr>
                <w:color w:val="auto"/>
              </w:rPr>
              <w:t>、“三线一单”符合性分析</w:t>
            </w:r>
          </w:p>
          <w:p w14:paraId="6150AF08">
            <w:pPr>
              <w:pStyle w:val="49"/>
              <w:spacing w:line="360" w:lineRule="auto"/>
              <w:rPr>
                <w:rFonts w:hint="eastAsia"/>
                <w:bCs/>
                <w:color w:val="auto"/>
              </w:rPr>
            </w:pPr>
            <w:r>
              <w:rPr>
                <w:rFonts w:hint="eastAsia"/>
                <w:bCs/>
                <w:color w:val="auto"/>
              </w:rPr>
              <w:t>①生态保护红线是指“在生态空间范围内具有特殊重要生态功能、必须强制性严格保护的区域，是保障和维护国家生态安全的底线和生命线，通常包括具有重要水源涵养、生物多样性维护、水土保持、防风固沙、海岸生态稳定等功能的生态功能重要区域，以及水土流失、土地沙化、石漠化、盐渍化等生态环境敏感脆弱区域。</w:t>
            </w:r>
          </w:p>
          <w:p w14:paraId="4771E934">
            <w:pPr>
              <w:pStyle w:val="49"/>
              <w:spacing w:line="360" w:lineRule="auto"/>
              <w:rPr>
                <w:rFonts w:hint="eastAsia"/>
                <w:bCs/>
                <w:color w:val="auto"/>
              </w:rPr>
            </w:pPr>
            <w:r>
              <w:rPr>
                <w:rFonts w:hint="eastAsia"/>
                <w:bCs/>
                <w:color w:val="auto"/>
              </w:rPr>
              <w:t>本项目位于玛纳斯县塔河工业园区北区，项目用地类型为工业用地。项目选址不在自然保护区、风景名胜区、饮用水水源保护区等生态保护区范围内，满足区域生态保护红线的管控要求。</w:t>
            </w:r>
          </w:p>
          <w:p w14:paraId="3321ED3D">
            <w:pPr>
              <w:pStyle w:val="49"/>
              <w:spacing w:line="360" w:lineRule="auto"/>
              <w:rPr>
                <w:rFonts w:hint="eastAsia"/>
                <w:bCs/>
                <w:color w:val="auto"/>
              </w:rPr>
            </w:pPr>
            <w:r>
              <w:rPr>
                <w:rFonts w:hint="eastAsia"/>
                <w:bCs/>
                <w:color w:val="auto"/>
              </w:rPr>
              <w:t>②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14:paraId="7709A06C">
            <w:pPr>
              <w:pStyle w:val="49"/>
              <w:spacing w:line="360" w:lineRule="auto"/>
              <w:rPr>
                <w:rFonts w:hint="eastAsia"/>
                <w:bCs/>
                <w:color w:val="auto"/>
              </w:rPr>
            </w:pPr>
            <w:r>
              <w:rPr>
                <w:rFonts w:hint="eastAsia"/>
                <w:bCs/>
                <w:color w:val="auto"/>
              </w:rPr>
              <w:t>环境质量底线分别为：项目区区域地下水环境质量目标为《地下水质量标准》（GB/T14848-2017）Ⅲ类标准，大气环境质量目标为《环境空气质量标准》（GB/T14848-2017）中的二级标准。</w:t>
            </w:r>
          </w:p>
          <w:p w14:paraId="0490696E">
            <w:pPr>
              <w:pStyle w:val="49"/>
              <w:spacing w:line="360" w:lineRule="auto"/>
              <w:rPr>
                <w:rFonts w:hint="eastAsia"/>
                <w:bCs/>
                <w:color w:val="auto"/>
              </w:rPr>
            </w:pPr>
            <w:r>
              <w:rPr>
                <w:rFonts w:hint="eastAsia"/>
                <w:bCs/>
                <w:color w:val="auto"/>
              </w:rPr>
              <w:t>本项目产生的主要废气、噪声、固废等污染物均采取了严格的治理和处理、处置措施，在一定程度上减少了污染物的排放，污染物均能达标排放。项目建成后周边环境满足相应环境质量标准，符合环境质量底线的要求，不会对环境质量底线产生冲击。</w:t>
            </w:r>
          </w:p>
          <w:p w14:paraId="6D30FBFE">
            <w:pPr>
              <w:pStyle w:val="49"/>
              <w:spacing w:line="360" w:lineRule="auto"/>
              <w:rPr>
                <w:rFonts w:hint="eastAsia"/>
                <w:bCs/>
                <w:color w:val="auto"/>
              </w:rPr>
            </w:pPr>
            <w:r>
              <w:rPr>
                <w:rFonts w:hint="eastAsia"/>
                <w:bCs/>
                <w:color w:val="auto"/>
              </w:rPr>
              <w:t>③资源利用上线。本项目消耗资源主要是生活生产所需用水、用电。用水由园区给水管网供给，新鲜水用量为</w:t>
            </w:r>
            <w:r>
              <w:rPr>
                <w:rFonts w:hint="eastAsia"/>
                <w:bCs/>
                <w:color w:val="auto"/>
                <w:highlight w:val="none"/>
                <w:lang w:val="en-US" w:eastAsia="zh-CN"/>
              </w:rPr>
              <w:t>331195.2</w:t>
            </w:r>
            <w:r>
              <w:rPr>
                <w:rFonts w:hint="eastAsia"/>
                <w:bCs/>
                <w:color w:val="auto"/>
                <w:highlight w:val="none"/>
              </w:rPr>
              <w:t>m</w:t>
            </w:r>
            <w:r>
              <w:rPr>
                <w:rFonts w:hint="eastAsia"/>
                <w:bCs/>
                <w:color w:val="auto"/>
                <w:highlight w:val="none"/>
                <w:vertAlign w:val="superscript"/>
              </w:rPr>
              <w:t>3</w:t>
            </w:r>
            <w:r>
              <w:rPr>
                <w:rFonts w:hint="eastAsia"/>
                <w:bCs/>
                <w:color w:val="auto"/>
                <w:highlight w:val="none"/>
              </w:rPr>
              <w:t>/a；</w:t>
            </w:r>
            <w:r>
              <w:rPr>
                <w:rFonts w:hint="eastAsia"/>
                <w:bCs/>
                <w:color w:val="auto"/>
              </w:rPr>
              <w:t>项目用电及采暖均由厂内自行解决。故能源消耗均未超出区域负荷上限，不会给该地区造成资源负担，满足资源利用上线要求。</w:t>
            </w:r>
          </w:p>
          <w:p w14:paraId="3F69B532">
            <w:pPr>
              <w:pStyle w:val="49"/>
              <w:spacing w:line="360" w:lineRule="auto"/>
              <w:rPr>
                <w:rFonts w:hint="eastAsia"/>
                <w:bCs/>
                <w:color w:val="auto"/>
              </w:rPr>
            </w:pPr>
            <w:r>
              <w:rPr>
                <w:rFonts w:hint="eastAsia"/>
                <w:bCs/>
                <w:color w:val="auto"/>
              </w:rPr>
              <w:t>④生态环境准入清单是基于生态保护红线、环境质量底线和资源利用上线，以清单方式列出的禁止、限制等差别化环境准入条件和要求。本项目位于玛纳斯县塔河工业园区北区，用地为工业用地。项目符合《产业结构调整指导目录》（2019年本）、</w:t>
            </w:r>
            <w:r>
              <w:rPr>
                <w:rFonts w:hint="eastAsia"/>
                <w:bCs/>
                <w:color w:val="auto"/>
                <w:lang w:eastAsia="zh-CN"/>
              </w:rPr>
              <w:t>园区规划</w:t>
            </w:r>
            <w:r>
              <w:rPr>
                <w:rFonts w:hint="eastAsia"/>
                <w:bCs/>
                <w:color w:val="auto"/>
              </w:rPr>
              <w:t>等</w:t>
            </w:r>
            <w:r>
              <w:rPr>
                <w:rFonts w:hint="eastAsia"/>
                <w:bCs/>
                <w:color w:val="auto"/>
                <w:lang w:eastAsia="zh-CN"/>
              </w:rPr>
              <w:t>产业准入</w:t>
            </w:r>
            <w:r>
              <w:rPr>
                <w:rFonts w:hint="eastAsia"/>
                <w:bCs/>
                <w:color w:val="auto"/>
              </w:rPr>
              <w:t>要求。故本项目选址、项目原辅料及生产产品等均符合生态环境准入清单范畴。</w:t>
            </w:r>
          </w:p>
          <w:p w14:paraId="1AD24635">
            <w:pPr>
              <w:pStyle w:val="49"/>
              <w:spacing w:line="360" w:lineRule="auto"/>
              <w:rPr>
                <w:rFonts w:hint="eastAsia"/>
                <w:bCs/>
                <w:color w:val="auto"/>
                <w:lang w:eastAsia="zh-CN"/>
              </w:rPr>
            </w:pPr>
            <w:r>
              <w:rPr>
                <w:rFonts w:hint="eastAsia"/>
                <w:bCs/>
                <w:color w:val="auto"/>
              </w:rPr>
              <w:t>综上所述，项目建设国家和地方产业政策，与园区规划相协调，选址符合要求，故项目建设是可行的</w:t>
            </w:r>
            <w:r>
              <w:rPr>
                <w:rFonts w:hint="eastAsia"/>
                <w:bCs/>
                <w:color w:val="auto"/>
                <w:lang w:eastAsia="zh-CN"/>
              </w:rPr>
              <w:t>。</w:t>
            </w:r>
          </w:p>
          <w:p w14:paraId="0F2F4362">
            <w:pPr>
              <w:pStyle w:val="49"/>
              <w:spacing w:line="360" w:lineRule="auto"/>
              <w:rPr>
                <w:rFonts w:hint="eastAsia"/>
                <w:bCs/>
                <w:color w:val="auto"/>
                <w:lang w:eastAsia="zh-CN"/>
              </w:rPr>
            </w:pPr>
          </w:p>
          <w:p w14:paraId="4A0F84DB">
            <w:pPr>
              <w:pStyle w:val="49"/>
              <w:spacing w:line="360" w:lineRule="auto"/>
              <w:rPr>
                <w:rFonts w:hint="eastAsia"/>
                <w:bCs/>
                <w:color w:val="auto"/>
                <w:lang w:eastAsia="zh-CN"/>
              </w:rPr>
            </w:pPr>
          </w:p>
          <w:p w14:paraId="45CC7BC6">
            <w:pPr>
              <w:pStyle w:val="49"/>
              <w:spacing w:line="360" w:lineRule="auto"/>
              <w:rPr>
                <w:rFonts w:hint="eastAsia"/>
                <w:bCs/>
                <w:color w:val="auto"/>
                <w:lang w:eastAsia="zh-CN"/>
              </w:rPr>
            </w:pPr>
          </w:p>
          <w:p w14:paraId="44D7FF77">
            <w:pPr>
              <w:pStyle w:val="49"/>
              <w:spacing w:line="360" w:lineRule="auto"/>
              <w:rPr>
                <w:rFonts w:hint="eastAsia"/>
                <w:bCs/>
                <w:color w:val="auto"/>
                <w:lang w:eastAsia="zh-CN"/>
              </w:rPr>
            </w:pPr>
          </w:p>
          <w:p w14:paraId="7438DC4D">
            <w:pPr>
              <w:pStyle w:val="49"/>
              <w:spacing w:line="360" w:lineRule="auto"/>
              <w:rPr>
                <w:rFonts w:hint="eastAsia"/>
                <w:bCs/>
                <w:color w:val="auto"/>
                <w:lang w:eastAsia="zh-CN"/>
              </w:rPr>
            </w:pPr>
          </w:p>
          <w:p w14:paraId="1D346E59">
            <w:pPr>
              <w:pStyle w:val="49"/>
              <w:spacing w:line="360" w:lineRule="auto"/>
              <w:rPr>
                <w:rFonts w:hint="eastAsia"/>
                <w:bCs/>
                <w:color w:val="auto"/>
                <w:lang w:eastAsia="zh-CN"/>
              </w:rPr>
            </w:pPr>
          </w:p>
          <w:p w14:paraId="45A4FFA6">
            <w:pPr>
              <w:pStyle w:val="49"/>
              <w:spacing w:line="360" w:lineRule="auto"/>
              <w:rPr>
                <w:rFonts w:hint="eastAsia"/>
                <w:bCs/>
                <w:color w:val="auto"/>
              </w:rPr>
            </w:pPr>
          </w:p>
          <w:p w14:paraId="0197A334">
            <w:pPr>
              <w:pStyle w:val="49"/>
              <w:spacing w:line="480" w:lineRule="exact"/>
              <w:rPr>
                <w:rFonts w:hint="eastAsia"/>
                <w:bCs/>
                <w:color w:val="auto"/>
              </w:rPr>
            </w:pPr>
          </w:p>
          <w:p w14:paraId="15371617">
            <w:pPr>
              <w:pStyle w:val="49"/>
              <w:spacing w:line="480" w:lineRule="exact"/>
              <w:rPr>
                <w:rFonts w:hint="eastAsia"/>
                <w:bCs/>
                <w:color w:val="auto"/>
              </w:rPr>
            </w:pPr>
          </w:p>
          <w:p w14:paraId="0D82D9C4">
            <w:pPr>
              <w:pStyle w:val="49"/>
              <w:spacing w:line="480" w:lineRule="exact"/>
              <w:rPr>
                <w:rFonts w:hint="eastAsia"/>
                <w:bCs/>
                <w:color w:val="auto"/>
              </w:rPr>
            </w:pPr>
          </w:p>
          <w:p w14:paraId="2EB4E475">
            <w:pPr>
              <w:pStyle w:val="49"/>
              <w:spacing w:line="480" w:lineRule="exact"/>
              <w:rPr>
                <w:rFonts w:hint="eastAsia"/>
                <w:bCs/>
                <w:color w:val="auto"/>
              </w:rPr>
            </w:pPr>
          </w:p>
          <w:p w14:paraId="0A0DAB62">
            <w:pPr>
              <w:pStyle w:val="49"/>
              <w:spacing w:line="480" w:lineRule="exact"/>
              <w:rPr>
                <w:rFonts w:hint="eastAsia"/>
                <w:bCs/>
                <w:color w:val="auto"/>
              </w:rPr>
            </w:pPr>
          </w:p>
          <w:p w14:paraId="634A79F4">
            <w:pPr>
              <w:pStyle w:val="49"/>
              <w:spacing w:line="480" w:lineRule="exact"/>
              <w:rPr>
                <w:rFonts w:hint="eastAsia"/>
                <w:bCs/>
                <w:color w:val="auto"/>
              </w:rPr>
            </w:pPr>
          </w:p>
          <w:p w14:paraId="19B42528">
            <w:pPr>
              <w:pStyle w:val="49"/>
              <w:spacing w:line="480" w:lineRule="exact"/>
              <w:rPr>
                <w:rFonts w:hint="eastAsia"/>
                <w:bCs/>
                <w:color w:val="auto"/>
              </w:rPr>
            </w:pPr>
          </w:p>
          <w:p w14:paraId="67595EDE">
            <w:pPr>
              <w:pStyle w:val="49"/>
              <w:spacing w:line="480" w:lineRule="exact"/>
              <w:rPr>
                <w:rFonts w:hint="eastAsia"/>
                <w:bCs/>
                <w:color w:val="auto"/>
              </w:rPr>
            </w:pPr>
          </w:p>
          <w:p w14:paraId="01B1E441">
            <w:pPr>
              <w:pStyle w:val="49"/>
              <w:spacing w:line="480" w:lineRule="exact"/>
              <w:rPr>
                <w:rFonts w:hint="eastAsia"/>
                <w:bCs/>
                <w:color w:val="auto"/>
              </w:rPr>
            </w:pPr>
          </w:p>
          <w:p w14:paraId="7E169C84">
            <w:pPr>
              <w:pStyle w:val="49"/>
              <w:spacing w:line="480" w:lineRule="exact"/>
              <w:rPr>
                <w:rFonts w:hint="eastAsia"/>
                <w:bCs/>
                <w:color w:val="auto"/>
              </w:rPr>
            </w:pPr>
          </w:p>
          <w:p w14:paraId="5E5C24E8">
            <w:pPr>
              <w:pStyle w:val="49"/>
              <w:spacing w:line="480" w:lineRule="exact"/>
              <w:rPr>
                <w:rFonts w:hint="eastAsia"/>
                <w:bCs/>
                <w:color w:val="auto"/>
              </w:rPr>
            </w:pPr>
          </w:p>
          <w:p w14:paraId="509CD706">
            <w:pPr>
              <w:pStyle w:val="49"/>
              <w:spacing w:line="480" w:lineRule="exact"/>
              <w:ind w:left="0" w:leftChars="0" w:firstLine="0" w:firstLineChars="0"/>
              <w:rPr>
                <w:rFonts w:hint="eastAsia"/>
                <w:bCs/>
                <w:color w:val="auto"/>
              </w:rPr>
            </w:pPr>
          </w:p>
          <w:p w14:paraId="53333213">
            <w:pPr>
              <w:pStyle w:val="49"/>
              <w:spacing w:line="480" w:lineRule="exact"/>
              <w:rPr>
                <w:rFonts w:hint="eastAsia"/>
                <w:bCs/>
                <w:color w:val="auto"/>
              </w:rPr>
            </w:pPr>
          </w:p>
          <w:p w14:paraId="2B5BB88A">
            <w:pPr>
              <w:pStyle w:val="49"/>
              <w:spacing w:line="480" w:lineRule="exact"/>
              <w:rPr>
                <w:color w:val="auto"/>
                <w:kern w:val="0"/>
              </w:rPr>
            </w:pPr>
          </w:p>
        </w:tc>
      </w:tr>
    </w:tbl>
    <w:p w14:paraId="6FA4E367">
      <w:pPr>
        <w:spacing w:line="360" w:lineRule="auto"/>
        <w:outlineLvl w:val="0"/>
        <w:rPr>
          <w:rFonts w:eastAsia="黑体"/>
          <w:color w:val="auto"/>
          <w:sz w:val="30"/>
        </w:rPr>
        <w:sectPr>
          <w:footerReference r:id="rId3" w:type="default"/>
          <w:pgSz w:w="11906" w:h="16838"/>
          <w:pgMar w:top="1701" w:right="1531" w:bottom="1701" w:left="1531" w:header="851" w:footer="1077" w:gutter="0"/>
          <w:cols w:space="720" w:num="1"/>
          <w:docGrid w:linePitch="312" w:charSpace="0"/>
        </w:sectPr>
      </w:pPr>
    </w:p>
    <w:p w14:paraId="40FF3290">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2"/>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88"/>
      </w:tblGrid>
      <w:tr w14:paraId="7ABD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496" w:type="dxa"/>
            <w:vAlign w:val="center"/>
          </w:tcPr>
          <w:p w14:paraId="0E22E23B">
            <w:pPr>
              <w:pStyle w:val="19"/>
              <w:adjustRightInd w:val="0"/>
              <w:snapToGrid w:val="0"/>
              <w:spacing w:before="0" w:beforeAutospacing="0" w:after="0" w:afterAutospacing="0"/>
              <w:jc w:val="center"/>
              <w:rPr>
                <w:rFonts w:cs="宋体"/>
                <w:color w:val="auto"/>
                <w:sz w:val="21"/>
                <w:szCs w:val="21"/>
              </w:rPr>
            </w:pPr>
            <w:r>
              <w:rPr>
                <w:rFonts w:hint="eastAsia" w:cs="宋体"/>
                <w:color w:val="auto"/>
                <w:szCs w:val="21"/>
              </w:rPr>
              <w:t>建设内容</w:t>
            </w:r>
          </w:p>
        </w:tc>
        <w:tc>
          <w:tcPr>
            <w:tcW w:w="8488" w:type="dxa"/>
          </w:tcPr>
          <w:p w14:paraId="053AEE29">
            <w:pPr>
              <w:adjustRightInd w:val="0"/>
              <w:snapToGrid w:val="0"/>
              <w:spacing w:line="360" w:lineRule="auto"/>
              <w:ind w:firstLine="482" w:firstLineChars="200"/>
              <w:rPr>
                <w:b/>
                <w:bCs/>
                <w:color w:val="auto"/>
                <w:sz w:val="24"/>
              </w:rPr>
            </w:pPr>
            <w:r>
              <w:rPr>
                <w:rFonts w:hint="eastAsia"/>
                <w:b/>
                <w:bCs/>
                <w:color w:val="auto"/>
                <w:sz w:val="24"/>
                <w:lang w:eastAsia="zh-CN"/>
              </w:rPr>
              <w:t>一</w:t>
            </w:r>
            <w:r>
              <w:rPr>
                <w:rFonts w:hint="eastAsia"/>
                <w:b/>
                <w:bCs/>
                <w:color w:val="auto"/>
                <w:sz w:val="24"/>
              </w:rPr>
              <w:t>、项目建设内容</w:t>
            </w:r>
          </w:p>
          <w:p w14:paraId="716CA55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lang w:val="en-US" w:eastAsia="zh-CN"/>
              </w:rPr>
              <w:t>项目总占地面积33115.61m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vertAlign w:val="baseline"/>
                <w:lang w:val="en-US" w:eastAsia="zh-CN"/>
              </w:rPr>
              <w:t>，建筑面积15978.55m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vertAlign w:val="baseline"/>
                <w:lang w:val="en-US" w:eastAsia="zh-CN"/>
              </w:rPr>
              <w:t>，建设20条棉杆炭化生产线，同时配套五台蒸发器及汽轮机</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rPr>
              <w:t>建设内容主要分为主体工程、辅助工程、</w:t>
            </w:r>
            <w:r>
              <w:rPr>
                <w:rFonts w:hint="eastAsia" w:cs="Times New Roman"/>
                <w:color w:val="auto"/>
                <w:sz w:val="24"/>
                <w:szCs w:val="24"/>
                <w:lang w:eastAsia="zh-CN"/>
              </w:rPr>
              <w:t>储运工程、</w:t>
            </w:r>
            <w:r>
              <w:rPr>
                <w:rFonts w:hint="default" w:ascii="Times New Roman" w:hAnsi="Times New Roman" w:cs="Times New Roman"/>
                <w:color w:val="auto"/>
                <w:sz w:val="24"/>
                <w:szCs w:val="24"/>
              </w:rPr>
              <w:t>公用工程、环保工程。</w:t>
            </w:r>
          </w:p>
          <w:p w14:paraId="097FB175">
            <w:pPr>
              <w:adjustRightInd w:val="0"/>
              <w:snapToGrid w:val="0"/>
              <w:spacing w:line="360" w:lineRule="auto"/>
              <w:ind w:firstLine="480" w:firstLineChars="200"/>
              <w:rPr>
                <w:color w:val="auto"/>
                <w:sz w:val="24"/>
              </w:rPr>
            </w:pPr>
            <w:r>
              <w:rPr>
                <w:rFonts w:hint="eastAsia"/>
                <w:color w:val="auto"/>
                <w:sz w:val="24"/>
              </w:rPr>
              <w:t>工程项目组成见表2-1。</w:t>
            </w:r>
          </w:p>
          <w:p w14:paraId="772C6B67">
            <w:pPr>
              <w:pStyle w:val="50"/>
              <w:spacing w:line="240" w:lineRule="auto"/>
              <w:ind w:firstLine="420"/>
              <w:rPr>
                <w:rFonts w:hAnsi="Times New Roman" w:eastAsia="黑体"/>
                <w:b w:val="0"/>
                <w:bCs w:val="0"/>
                <w:color w:val="auto"/>
                <w:sz w:val="21"/>
                <w:szCs w:val="21"/>
              </w:rPr>
            </w:pPr>
            <w:r>
              <w:rPr>
                <w:rFonts w:hint="eastAsia" w:hAnsi="Times New Roman" w:eastAsia="黑体"/>
                <w:b w:val="0"/>
                <w:bCs w:val="0"/>
                <w:color w:val="auto"/>
                <w:sz w:val="21"/>
                <w:szCs w:val="21"/>
              </w:rPr>
              <w:t>表2-1</w:t>
            </w:r>
            <w:r>
              <w:rPr>
                <w:rFonts w:hAnsi="Times New Roman" w:eastAsia="黑体"/>
                <w:b w:val="0"/>
                <w:bCs w:val="0"/>
                <w:color w:val="auto"/>
                <w:sz w:val="21"/>
                <w:szCs w:val="21"/>
              </w:rPr>
              <w:t xml:space="preserve">                      </w:t>
            </w:r>
            <w:r>
              <w:rPr>
                <w:rFonts w:hint="eastAsia" w:hAnsi="Times New Roman" w:eastAsia="黑体"/>
                <w:b w:val="0"/>
                <w:bCs w:val="0"/>
                <w:color w:val="auto"/>
                <w:sz w:val="21"/>
                <w:szCs w:val="21"/>
              </w:rPr>
              <w:t>项目建设内容组成一览表</w:t>
            </w:r>
          </w:p>
          <w:tbl>
            <w:tblPr>
              <w:tblStyle w:val="22"/>
              <w:tblW w:w="8286" w:type="dxa"/>
              <w:tblInd w:w="1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85"/>
              <w:gridCol w:w="5651"/>
              <w:gridCol w:w="664"/>
            </w:tblGrid>
            <w:tr w14:paraId="2F287C79">
              <w:tblPrEx>
                <w:tblCellMar>
                  <w:top w:w="0" w:type="dxa"/>
                  <w:left w:w="108" w:type="dxa"/>
                  <w:bottom w:w="0" w:type="dxa"/>
                  <w:right w:w="108" w:type="dxa"/>
                </w:tblCellMar>
              </w:tblPrEx>
              <w:trPr>
                <w:trHeight w:val="510" w:hRule="atLeast"/>
              </w:trPr>
              <w:tc>
                <w:tcPr>
                  <w:tcW w:w="1971" w:type="dxa"/>
                  <w:gridSpan w:val="2"/>
                  <w:vAlign w:val="center"/>
                </w:tcPr>
                <w:p w14:paraId="4DC59C6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项目组成</w:t>
                  </w:r>
                </w:p>
              </w:tc>
              <w:tc>
                <w:tcPr>
                  <w:tcW w:w="5651" w:type="dxa"/>
                  <w:vAlign w:val="center"/>
                </w:tcPr>
                <w:p w14:paraId="055E909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工程内容及规模</w:t>
                  </w:r>
                </w:p>
              </w:tc>
              <w:tc>
                <w:tcPr>
                  <w:tcW w:w="664" w:type="dxa"/>
                  <w:vAlign w:val="center"/>
                </w:tcPr>
                <w:p w14:paraId="6B75987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备注</w:t>
                  </w:r>
                </w:p>
              </w:tc>
            </w:tr>
            <w:tr w14:paraId="2549B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restart"/>
                  <w:vAlign w:val="center"/>
                </w:tcPr>
                <w:p w14:paraId="0980B91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主体工程</w:t>
                  </w:r>
                </w:p>
              </w:tc>
              <w:tc>
                <w:tcPr>
                  <w:tcW w:w="1485" w:type="dxa"/>
                  <w:vAlign w:val="center"/>
                </w:tcPr>
                <w:p w14:paraId="0148638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上料车间</w:t>
                  </w:r>
                  <w:r>
                    <w:rPr>
                      <w:rFonts w:hint="eastAsia" w:cs="Times New Roman"/>
                      <w:color w:val="auto"/>
                      <w:kern w:val="0"/>
                      <w:sz w:val="21"/>
                      <w:szCs w:val="21"/>
                      <w:highlight w:val="none"/>
                      <w:lang w:val="en-US" w:eastAsia="zh-CN"/>
                    </w:rPr>
                    <w:t>1#</w:t>
                  </w:r>
                </w:p>
              </w:tc>
              <w:tc>
                <w:tcPr>
                  <w:tcW w:w="5651" w:type="dxa"/>
                  <w:vAlign w:val="center"/>
                </w:tcPr>
                <w:p w14:paraId="51BE7F9D">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一栋框架结构丙类厂房，建筑面积1479.60m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，内设三台上料机，其余面积作为原料棉花秸秆仓库。</w:t>
                  </w:r>
                </w:p>
              </w:tc>
              <w:tc>
                <w:tcPr>
                  <w:tcW w:w="664" w:type="dxa"/>
                  <w:vAlign w:val="center"/>
                </w:tcPr>
                <w:p w14:paraId="4EBD4DDD">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E8580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37C63A7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18F3BE2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上料车间</w:t>
                  </w:r>
                  <w:r>
                    <w:rPr>
                      <w:rFonts w:hint="eastAsia" w:cs="Times New Roman"/>
                      <w:color w:val="auto"/>
                      <w:kern w:val="0"/>
                      <w:sz w:val="21"/>
                      <w:szCs w:val="21"/>
                      <w:highlight w:val="none"/>
                      <w:lang w:val="en-US" w:eastAsia="zh-CN"/>
                    </w:rPr>
                    <w:t>2#</w:t>
                  </w:r>
                </w:p>
              </w:tc>
              <w:tc>
                <w:tcPr>
                  <w:tcW w:w="5651" w:type="dxa"/>
                  <w:vAlign w:val="center"/>
                </w:tcPr>
                <w:p w14:paraId="73DD02A8">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一栋框架结构丙类厂房，建筑面积3380.40m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，内设七台上料机，其余面积作为原料棉花秸秆仓库。</w:t>
                  </w:r>
                </w:p>
              </w:tc>
              <w:tc>
                <w:tcPr>
                  <w:tcW w:w="664" w:type="dxa"/>
                  <w:vAlign w:val="center"/>
                </w:tcPr>
                <w:p w14:paraId="7CA68850">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31AE79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6C1310B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24FB3609">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炭化车间</w:t>
                  </w:r>
                </w:p>
              </w:tc>
              <w:tc>
                <w:tcPr>
                  <w:tcW w:w="5651" w:type="dxa"/>
                  <w:vAlign w:val="center"/>
                </w:tcPr>
                <w:p w14:paraId="10E14DD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一栋框架结构乙类厂房，建筑面积2340m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，单向布置20台卧式旋芯炭化炉，每两台炭化炉共用一台上料机。</w:t>
                  </w:r>
                </w:p>
              </w:tc>
              <w:tc>
                <w:tcPr>
                  <w:tcW w:w="664" w:type="dxa"/>
                  <w:vAlign w:val="center"/>
                </w:tcPr>
                <w:p w14:paraId="786798AD">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73E8CA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276AA42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32B3286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机制炭车间</w:t>
                  </w:r>
                </w:p>
              </w:tc>
              <w:tc>
                <w:tcPr>
                  <w:tcW w:w="5651" w:type="dxa"/>
                  <w:vAlign w:val="center"/>
                </w:tcPr>
                <w:p w14:paraId="1BB6EED6">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一栋框架丙类厂房，建筑面积1155m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，内设炭料成型设备，根据不同要求将炭料制成规则产品。</w:t>
                  </w:r>
                </w:p>
              </w:tc>
              <w:tc>
                <w:tcPr>
                  <w:tcW w:w="664" w:type="dxa"/>
                  <w:vAlign w:val="center"/>
                </w:tcPr>
                <w:p w14:paraId="5B3243F1">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3A27E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59CFF73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5FA44101">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蒸汽发电车间</w:t>
                  </w:r>
                </w:p>
              </w:tc>
              <w:tc>
                <w:tcPr>
                  <w:tcW w:w="5651" w:type="dxa"/>
                  <w:vAlign w:val="center"/>
                </w:tcPr>
                <w:p w14:paraId="75766C0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一栋框架丁类厂房，建筑面积1944m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，配备主要发电设备，内设2#~5#，4台蒸发器、2#~5#四台汽轮机，</w:t>
                  </w:r>
                </w:p>
              </w:tc>
              <w:tc>
                <w:tcPr>
                  <w:tcW w:w="664" w:type="dxa"/>
                  <w:vAlign w:val="center"/>
                </w:tcPr>
                <w:p w14:paraId="33D73F1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AF29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3C68AB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40DC295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汽机房</w:t>
                  </w:r>
                </w:p>
              </w:tc>
              <w:tc>
                <w:tcPr>
                  <w:tcW w:w="5651" w:type="dxa"/>
                  <w:vAlign w:val="center"/>
                </w:tcPr>
                <w:p w14:paraId="0A8BAB3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一栋丁类厂房，建筑面积416m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，配备一台1#蒸发器、一台1#汽轮机，同时内设配电室并安装有应急电源。</w:t>
                  </w:r>
                </w:p>
              </w:tc>
              <w:tc>
                <w:tcPr>
                  <w:tcW w:w="664" w:type="dxa"/>
                  <w:vAlign w:val="center"/>
                </w:tcPr>
                <w:p w14:paraId="5BFABA1D">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27A3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restart"/>
                  <w:vAlign w:val="center"/>
                </w:tcPr>
                <w:p w14:paraId="03CDFD5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辅助工程</w:t>
                  </w:r>
                </w:p>
              </w:tc>
              <w:tc>
                <w:tcPr>
                  <w:tcW w:w="1485" w:type="dxa"/>
                  <w:vAlign w:val="center"/>
                </w:tcPr>
                <w:p w14:paraId="21D7CCF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冷却循环系统</w:t>
                  </w:r>
                </w:p>
              </w:tc>
              <w:tc>
                <w:tcPr>
                  <w:tcW w:w="5651" w:type="dxa"/>
                  <w:vAlign w:val="center"/>
                </w:tcPr>
                <w:p w14:paraId="2E7F70D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项目建设一座规格为20m×16m×4.5m的冷却循环池，容积1440m</w:t>
                  </w:r>
                  <w:r>
                    <w:rPr>
                      <w:rFonts w:hint="eastAsia" w:cs="Times New Roman"/>
                      <w:color w:val="auto"/>
                      <w:kern w:val="0"/>
                      <w:sz w:val="21"/>
                      <w:szCs w:val="21"/>
                      <w:highlight w:val="none"/>
                      <w:vertAlign w:val="superscript"/>
                      <w:lang w:val="en-US" w:eastAsia="zh-CN"/>
                    </w:rPr>
                    <w:t>3</w:t>
                  </w:r>
                  <w:r>
                    <w:rPr>
                      <w:rFonts w:hint="eastAsia" w:cs="Times New Roman"/>
                      <w:color w:val="auto"/>
                      <w:kern w:val="0"/>
                      <w:sz w:val="21"/>
                      <w:szCs w:val="21"/>
                      <w:highlight w:val="none"/>
                      <w:vertAlign w:val="baseline"/>
                      <w:lang w:val="en-US" w:eastAsia="zh-CN"/>
                    </w:rPr>
                    <w:t>，配套一座机械通风冷却塔。同时布设管路连接各循环水产水单元。</w:t>
                  </w:r>
                </w:p>
              </w:tc>
              <w:tc>
                <w:tcPr>
                  <w:tcW w:w="664" w:type="dxa"/>
                  <w:vAlign w:val="center"/>
                </w:tcPr>
                <w:p w14:paraId="5536670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04B1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57F0FE0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69E0D55A">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泵房</w:t>
                  </w:r>
                </w:p>
              </w:tc>
              <w:tc>
                <w:tcPr>
                  <w:tcW w:w="5651" w:type="dxa"/>
                  <w:vAlign w:val="center"/>
                </w:tcPr>
                <w:p w14:paraId="24FAA64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紧邻冷却循环系统建设一栋泵房，占地面积160m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，内设三组循环水泵，两台消防水泵，一套稳压设备。</w:t>
                  </w:r>
                </w:p>
              </w:tc>
              <w:tc>
                <w:tcPr>
                  <w:tcW w:w="664" w:type="dxa"/>
                  <w:vAlign w:val="center"/>
                </w:tcPr>
                <w:p w14:paraId="2D597FE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427E7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63C586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0B999D32">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宿舍楼</w:t>
                  </w:r>
                </w:p>
              </w:tc>
              <w:tc>
                <w:tcPr>
                  <w:tcW w:w="5651" w:type="dxa"/>
                  <w:vAlign w:val="center"/>
                </w:tcPr>
                <w:p w14:paraId="70947E0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一栋二层宿舍楼，总建筑面积920m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w:t>
                  </w:r>
                </w:p>
              </w:tc>
              <w:tc>
                <w:tcPr>
                  <w:tcW w:w="664" w:type="dxa"/>
                  <w:vAlign w:val="center"/>
                </w:tcPr>
                <w:p w14:paraId="5FDC64A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3F798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0C2F252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23586F82">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办公楼</w:t>
                  </w:r>
                </w:p>
              </w:tc>
              <w:tc>
                <w:tcPr>
                  <w:tcW w:w="5651" w:type="dxa"/>
                  <w:vAlign w:val="center"/>
                </w:tcPr>
                <w:p w14:paraId="64EAA611">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一栋二层综合办公楼，总建筑面积1536m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w:t>
                  </w:r>
                </w:p>
              </w:tc>
              <w:tc>
                <w:tcPr>
                  <w:tcW w:w="664" w:type="dxa"/>
                  <w:vAlign w:val="center"/>
                </w:tcPr>
                <w:p w14:paraId="60FF365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8AFD2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180F03F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5944CBB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净水车间</w:t>
                  </w:r>
                </w:p>
              </w:tc>
              <w:tc>
                <w:tcPr>
                  <w:tcW w:w="5651" w:type="dxa"/>
                  <w:vAlign w:val="center"/>
                </w:tcPr>
                <w:p w14:paraId="6303C69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一栋戊类厂房，建筑面积128m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，内设一套全自动净水装置。</w:t>
                  </w:r>
                </w:p>
              </w:tc>
              <w:tc>
                <w:tcPr>
                  <w:tcW w:w="664" w:type="dxa"/>
                  <w:vAlign w:val="center"/>
                </w:tcPr>
                <w:p w14:paraId="37DA912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7F83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restart"/>
                  <w:vAlign w:val="center"/>
                </w:tcPr>
                <w:p w14:paraId="022F069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储运工程</w:t>
                  </w:r>
                </w:p>
              </w:tc>
              <w:tc>
                <w:tcPr>
                  <w:tcW w:w="1485" w:type="dxa"/>
                  <w:vAlign w:val="center"/>
                </w:tcPr>
                <w:p w14:paraId="5CB1E6C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原料库房</w:t>
                  </w:r>
                </w:p>
              </w:tc>
              <w:tc>
                <w:tcPr>
                  <w:tcW w:w="5651" w:type="dxa"/>
                  <w:vAlign w:val="center"/>
                </w:tcPr>
                <w:p w14:paraId="6363C01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项目原料棉杆进场后贮存于上料车间1#、2#空地内，不新建单独的原料库房。</w:t>
                  </w:r>
                </w:p>
              </w:tc>
              <w:tc>
                <w:tcPr>
                  <w:tcW w:w="664" w:type="dxa"/>
                  <w:vAlign w:val="center"/>
                </w:tcPr>
                <w:p w14:paraId="320AF3F8">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1892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1DB960C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2945BC9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成品仓库</w:t>
                  </w:r>
                </w:p>
              </w:tc>
              <w:tc>
                <w:tcPr>
                  <w:tcW w:w="5651" w:type="dxa"/>
                  <w:vAlign w:val="center"/>
                </w:tcPr>
                <w:p w14:paraId="51399727">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一栋丙类框架结构仓库，总建筑面积1564m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，用于贮存成品机制炭。</w:t>
                  </w:r>
                </w:p>
              </w:tc>
              <w:tc>
                <w:tcPr>
                  <w:tcW w:w="664" w:type="dxa"/>
                  <w:vAlign w:val="center"/>
                </w:tcPr>
                <w:p w14:paraId="094E648D">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A836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restart"/>
                  <w:vAlign w:val="center"/>
                </w:tcPr>
                <w:p w14:paraId="0F21DCF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公用工程</w:t>
                  </w:r>
                </w:p>
              </w:tc>
              <w:tc>
                <w:tcPr>
                  <w:tcW w:w="1485" w:type="dxa"/>
                  <w:vAlign w:val="center"/>
                </w:tcPr>
                <w:p w14:paraId="01C7156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供水</w:t>
                  </w:r>
                </w:p>
              </w:tc>
              <w:tc>
                <w:tcPr>
                  <w:tcW w:w="5651" w:type="dxa"/>
                  <w:vAlign w:val="center"/>
                </w:tcPr>
                <w:p w14:paraId="0589A85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项目用水由园区供水管网供给，通过DN200管路接入厂区。</w:t>
                  </w:r>
                </w:p>
              </w:tc>
              <w:tc>
                <w:tcPr>
                  <w:tcW w:w="664" w:type="dxa"/>
                  <w:vAlign w:val="center"/>
                </w:tcPr>
                <w:p w14:paraId="426B0AD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w:t>
                  </w:r>
                </w:p>
              </w:tc>
            </w:tr>
            <w:tr w14:paraId="68B2EC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0D37619D">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14:paraId="57D3BCCD">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排水</w:t>
                  </w:r>
                </w:p>
              </w:tc>
              <w:tc>
                <w:tcPr>
                  <w:tcW w:w="5651" w:type="dxa"/>
                  <w:vAlign w:val="center"/>
                </w:tcPr>
                <w:p w14:paraId="46AC9B91">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项目生活污水直接排入园区下水管网</w:t>
                  </w:r>
                  <w:r>
                    <w:rPr>
                      <w:rFonts w:hint="eastAsia" w:ascii="Times New Roman" w:hAnsi="Times New Roman" w:cs="Times New Roman"/>
                      <w:color w:val="auto"/>
                      <w:kern w:val="0"/>
                      <w:sz w:val="21"/>
                      <w:szCs w:val="21"/>
                      <w:highlight w:val="none"/>
                      <w:lang w:eastAsia="zh-CN"/>
                    </w:rPr>
                    <w:t>。</w:t>
                  </w:r>
                </w:p>
              </w:tc>
              <w:tc>
                <w:tcPr>
                  <w:tcW w:w="664" w:type="dxa"/>
                  <w:vAlign w:val="center"/>
                </w:tcPr>
                <w:p w14:paraId="553D1B8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w:t>
                  </w:r>
                </w:p>
              </w:tc>
            </w:tr>
            <w:tr w14:paraId="1D774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321D2743">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14:paraId="3D687D1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供电</w:t>
                  </w:r>
                </w:p>
              </w:tc>
              <w:tc>
                <w:tcPr>
                  <w:tcW w:w="5651" w:type="dxa"/>
                  <w:vAlign w:val="center"/>
                </w:tcPr>
                <w:p w14:paraId="3275C02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项目用电由厂内发电机组供给，汽机房内设单独配电室</w:t>
                  </w:r>
                  <w:r>
                    <w:rPr>
                      <w:rFonts w:hint="eastAsia" w:ascii="Times New Roman" w:hAnsi="Times New Roman" w:cs="Times New Roman"/>
                      <w:color w:val="auto"/>
                      <w:kern w:val="0"/>
                      <w:sz w:val="21"/>
                      <w:szCs w:val="21"/>
                      <w:highlight w:val="none"/>
                      <w:lang w:eastAsia="zh-CN"/>
                    </w:rPr>
                    <w:t>。</w:t>
                  </w:r>
                </w:p>
              </w:tc>
              <w:tc>
                <w:tcPr>
                  <w:tcW w:w="664" w:type="dxa"/>
                  <w:vAlign w:val="center"/>
                </w:tcPr>
                <w:p w14:paraId="312B5FE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14:paraId="79535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E134E98">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14:paraId="3116F854">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采暖</w:t>
                  </w:r>
                </w:p>
              </w:tc>
              <w:tc>
                <w:tcPr>
                  <w:tcW w:w="5651" w:type="dxa"/>
                  <w:vAlign w:val="center"/>
                </w:tcPr>
                <w:p w14:paraId="6976E74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项目在净水车间内建设一套换热装置，冬季将余热蒸汽引入换热机组间接换热有由热水供暖</w:t>
                  </w:r>
                  <w:r>
                    <w:rPr>
                      <w:rFonts w:hint="eastAsia" w:ascii="Times New Roman" w:hAnsi="Times New Roman" w:eastAsia="宋体" w:cs="Times New Roman"/>
                      <w:color w:val="auto"/>
                      <w:kern w:val="0"/>
                      <w:sz w:val="21"/>
                      <w:szCs w:val="21"/>
                      <w:highlight w:val="none"/>
                      <w:lang w:eastAsia="zh-CN"/>
                    </w:rPr>
                    <w:t>。</w:t>
                  </w:r>
                </w:p>
              </w:tc>
              <w:tc>
                <w:tcPr>
                  <w:tcW w:w="664" w:type="dxa"/>
                  <w:vAlign w:val="center"/>
                </w:tcPr>
                <w:p w14:paraId="7E72BA1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14:paraId="70C36A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027B3888">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14:paraId="2ADAFA0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消防</w:t>
                  </w:r>
                </w:p>
              </w:tc>
              <w:tc>
                <w:tcPr>
                  <w:tcW w:w="5651" w:type="dxa"/>
                  <w:vAlign w:val="center"/>
                </w:tcPr>
                <w:p w14:paraId="488A38F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厂区内不新建</w:t>
                  </w:r>
                  <w:r>
                    <w:rPr>
                      <w:rFonts w:hint="eastAsia" w:cs="Times New Roman"/>
                      <w:color w:val="auto"/>
                      <w:kern w:val="0"/>
                      <w:sz w:val="21"/>
                      <w:szCs w:val="21"/>
                      <w:highlight w:val="none"/>
                      <w:vertAlign w:val="baseline"/>
                      <w:lang w:val="en-US" w:eastAsia="zh-CN"/>
                    </w:rPr>
                    <w:t>消防水池，消防用水依托厂内冷却循环池中水，</w:t>
                  </w:r>
                  <w:r>
                    <w:rPr>
                      <w:rFonts w:hint="eastAsia" w:ascii="Times New Roman" w:hAnsi="Times New Roman" w:cs="Times New Roman"/>
                      <w:color w:val="auto"/>
                      <w:kern w:val="0"/>
                      <w:sz w:val="21"/>
                      <w:szCs w:val="21"/>
                      <w:highlight w:val="none"/>
                      <w:lang w:eastAsia="zh-CN"/>
                    </w:rPr>
                    <w:t>室内</w:t>
                  </w:r>
                  <w:r>
                    <w:rPr>
                      <w:rFonts w:hint="eastAsia" w:cs="Times New Roman"/>
                      <w:color w:val="auto"/>
                      <w:kern w:val="0"/>
                      <w:sz w:val="21"/>
                      <w:szCs w:val="21"/>
                      <w:highlight w:val="none"/>
                      <w:lang w:val="en-US" w:eastAsia="zh-CN"/>
                    </w:rPr>
                    <w:t>消防依托</w:t>
                  </w:r>
                  <w:r>
                    <w:rPr>
                      <w:rFonts w:hint="eastAsia" w:ascii="Times New Roman" w:hAnsi="Times New Roman" w:cs="Times New Roman"/>
                      <w:color w:val="auto"/>
                      <w:kern w:val="0"/>
                      <w:sz w:val="21"/>
                      <w:szCs w:val="21"/>
                      <w:highlight w:val="none"/>
                      <w:lang w:eastAsia="zh-CN"/>
                    </w:rPr>
                    <w:t>消火栓及灭火器。</w:t>
                  </w:r>
                </w:p>
              </w:tc>
              <w:tc>
                <w:tcPr>
                  <w:tcW w:w="664" w:type="dxa"/>
                  <w:vAlign w:val="center"/>
                </w:tcPr>
                <w:p w14:paraId="1871EBD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35087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restart"/>
                  <w:vAlign w:val="center"/>
                </w:tcPr>
                <w:p w14:paraId="3DA67FF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环保工程</w:t>
                  </w:r>
                </w:p>
              </w:tc>
              <w:tc>
                <w:tcPr>
                  <w:tcW w:w="1485" w:type="dxa"/>
                  <w:vMerge w:val="restart"/>
                  <w:vAlign w:val="center"/>
                </w:tcPr>
                <w:p w14:paraId="0A812BF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废气</w:t>
                  </w:r>
                </w:p>
              </w:tc>
              <w:tc>
                <w:tcPr>
                  <w:tcW w:w="5651" w:type="dxa"/>
                  <w:vAlign w:val="center"/>
                </w:tcPr>
                <w:p w14:paraId="61F8ADC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1~4号炭化炉烟气连接1#蒸发器和汽轮机，换热后经一套石灰石/石膏脱硫装置+袋式除尘器处置后由30m高排气筒排放，污染源编号DA001。</w:t>
                  </w:r>
                </w:p>
              </w:tc>
              <w:tc>
                <w:tcPr>
                  <w:tcW w:w="664" w:type="dxa"/>
                  <w:vAlign w:val="center"/>
                </w:tcPr>
                <w:p w14:paraId="073EAF4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1293B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279DE4D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14:paraId="1926728D">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08E346C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5~12号炭化炉烟气连接2#、3#蒸发器和汽轮机，换热后经一套石灰石/石膏脱硫装置+袋式除尘器处置后由蒸汽车间30m高排气筒排放，污染源编号DA002。</w:t>
                  </w:r>
                </w:p>
              </w:tc>
              <w:tc>
                <w:tcPr>
                  <w:tcW w:w="664" w:type="dxa"/>
                  <w:vAlign w:val="center"/>
                </w:tcPr>
                <w:p w14:paraId="1C94B04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5D0F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626F929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14:paraId="52FB42B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5CB85E2B">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13~20号炭化炉烟气连接4#、5#蒸发器和汽轮机，换热后经一套石灰石/石膏脱硫装置+袋式除尘器处置后由蒸汽车间30m高排气筒排放，污染源编号DA002。</w:t>
                  </w:r>
                </w:p>
              </w:tc>
              <w:tc>
                <w:tcPr>
                  <w:tcW w:w="664" w:type="dxa"/>
                  <w:vAlign w:val="center"/>
                </w:tcPr>
                <w:p w14:paraId="5975E51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136D0B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7245B48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14:paraId="774D44D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4B911A5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机制炭废气经袋式除尘器收集处理后通过15m高排气筒排放，污染源编号DA003。</w:t>
                  </w:r>
                </w:p>
              </w:tc>
              <w:tc>
                <w:tcPr>
                  <w:tcW w:w="664" w:type="dxa"/>
                  <w:vAlign w:val="center"/>
                </w:tcPr>
                <w:p w14:paraId="50E5DD3A">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A187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5FE79D0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2C12D63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废水</w:t>
                  </w:r>
                </w:p>
              </w:tc>
              <w:tc>
                <w:tcPr>
                  <w:tcW w:w="5651" w:type="dxa"/>
                  <w:vAlign w:val="center"/>
                </w:tcPr>
                <w:p w14:paraId="6F0CF94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项目生活污水直接排入园区下水管网，进入园区污水处理厂处置。</w:t>
                  </w:r>
                </w:p>
              </w:tc>
              <w:tc>
                <w:tcPr>
                  <w:tcW w:w="664" w:type="dxa"/>
                  <w:vAlign w:val="center"/>
                </w:tcPr>
                <w:p w14:paraId="3BE2592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6FD4B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B30DEB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14:paraId="248091D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噪声</w:t>
                  </w:r>
                </w:p>
              </w:tc>
              <w:tc>
                <w:tcPr>
                  <w:tcW w:w="5651" w:type="dxa"/>
                  <w:vAlign w:val="center"/>
                </w:tcPr>
                <w:p w14:paraId="7E55E80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噪声采用低噪声设备、减振和隔声等措施</w:t>
                  </w:r>
                  <w:r>
                    <w:rPr>
                      <w:rFonts w:hint="eastAsia" w:cs="Times New Roman"/>
                      <w:color w:val="auto"/>
                      <w:kern w:val="0"/>
                      <w:sz w:val="21"/>
                      <w:szCs w:val="21"/>
                      <w:highlight w:val="none"/>
                      <w:lang w:val="en-US" w:eastAsia="zh-CN"/>
                    </w:rPr>
                    <w:t>。</w:t>
                  </w:r>
                </w:p>
              </w:tc>
              <w:tc>
                <w:tcPr>
                  <w:tcW w:w="664" w:type="dxa"/>
                  <w:vAlign w:val="center"/>
                </w:tcPr>
                <w:p w14:paraId="40AE7C9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970F3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69ACB8E">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restart"/>
                  <w:vAlign w:val="center"/>
                </w:tcPr>
                <w:p w14:paraId="60D2E58D">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固体废物</w:t>
                  </w:r>
                </w:p>
              </w:tc>
              <w:tc>
                <w:tcPr>
                  <w:tcW w:w="5651" w:type="dxa"/>
                  <w:vAlign w:val="center"/>
                </w:tcPr>
                <w:p w14:paraId="15C2EB7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项目除尘器收集灰收集后回用于机制炭加工工段，最终进入产品</w:t>
                  </w:r>
                </w:p>
              </w:tc>
              <w:tc>
                <w:tcPr>
                  <w:tcW w:w="664" w:type="dxa"/>
                  <w:vAlign w:val="center"/>
                </w:tcPr>
                <w:p w14:paraId="3023EAC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0376C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584625E3">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14:paraId="42219C1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003A5DB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项目软水净化系统交换树脂由系统自动控制盐水反冲洗再生，直到其寿命到期后交由设备供应厂家回收处置。</w:t>
                  </w:r>
                </w:p>
              </w:tc>
              <w:tc>
                <w:tcPr>
                  <w:tcW w:w="664" w:type="dxa"/>
                  <w:vAlign w:val="center"/>
                </w:tcPr>
                <w:p w14:paraId="5347C240">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55134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4D5B76BE">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14:paraId="3D06BC9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48C5420F">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脱硫石膏收集后作为建筑材料外售</w:t>
                  </w:r>
                </w:p>
              </w:tc>
              <w:tc>
                <w:tcPr>
                  <w:tcW w:w="664" w:type="dxa"/>
                  <w:vAlign w:val="center"/>
                </w:tcPr>
                <w:p w14:paraId="72B40E9F">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445D93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11C96530">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14:paraId="3F39FFF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6B13359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项目生活垃圾收集后交由环卫部门清运处置。</w:t>
                  </w:r>
                </w:p>
              </w:tc>
              <w:tc>
                <w:tcPr>
                  <w:tcW w:w="664" w:type="dxa"/>
                  <w:vAlign w:val="center"/>
                </w:tcPr>
                <w:p w14:paraId="010B6C21">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2C7ECF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2334684C">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14:paraId="5DF4A18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14:paraId="46F1BFF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新建一座危险废物暂存间用于收集设备维修保养等产生的废机油。并及时委托有资质的单位清运处置</w:t>
                  </w:r>
                </w:p>
              </w:tc>
              <w:tc>
                <w:tcPr>
                  <w:tcW w:w="664" w:type="dxa"/>
                  <w:vAlign w:val="center"/>
                </w:tcPr>
                <w:p w14:paraId="37A0E43A">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14:paraId="7594E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6" w:type="dxa"/>
                  <w:vMerge w:val="continue"/>
                  <w:vAlign w:val="center"/>
                </w:tcPr>
                <w:p w14:paraId="12F78412">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14:paraId="46FFAB2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绿化</w:t>
                  </w:r>
                </w:p>
              </w:tc>
              <w:tc>
                <w:tcPr>
                  <w:tcW w:w="5651" w:type="dxa"/>
                  <w:vAlign w:val="center"/>
                </w:tcPr>
                <w:p w14:paraId="328F456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厂区内绿化面积5562.68m</w:t>
                  </w:r>
                  <w:r>
                    <w:rPr>
                      <w:rFonts w:hint="eastAsia" w:cs="Times New Roman"/>
                      <w:color w:val="auto"/>
                      <w:kern w:val="0"/>
                      <w:sz w:val="21"/>
                      <w:szCs w:val="21"/>
                      <w:highlight w:val="none"/>
                      <w:vertAlign w:val="superscript"/>
                      <w:lang w:val="en-US" w:eastAsia="zh-CN"/>
                    </w:rPr>
                    <w:t>2</w:t>
                  </w:r>
                </w:p>
              </w:tc>
              <w:tc>
                <w:tcPr>
                  <w:tcW w:w="664" w:type="dxa"/>
                  <w:vAlign w:val="center"/>
                </w:tcPr>
                <w:p w14:paraId="3F305D6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bl>
          <w:p w14:paraId="2B75F31F">
            <w:pPr>
              <w:adjustRightInd w:val="0"/>
              <w:snapToGrid w:val="0"/>
              <w:spacing w:line="360" w:lineRule="auto"/>
              <w:ind w:firstLine="482" w:firstLineChars="200"/>
              <w:rPr>
                <w:b/>
                <w:bCs/>
                <w:color w:val="auto"/>
                <w:sz w:val="24"/>
              </w:rPr>
            </w:pPr>
            <w:r>
              <w:rPr>
                <w:rFonts w:hint="eastAsia"/>
                <w:b/>
                <w:bCs/>
                <w:color w:val="auto"/>
                <w:sz w:val="24"/>
                <w:lang w:eastAsia="zh-CN"/>
              </w:rPr>
              <w:t>二</w:t>
            </w:r>
            <w:r>
              <w:rPr>
                <w:rFonts w:hint="eastAsia"/>
                <w:b/>
                <w:bCs/>
                <w:color w:val="auto"/>
                <w:sz w:val="24"/>
              </w:rPr>
              <w:t>、项目主要原辅材料及能源消耗</w:t>
            </w:r>
          </w:p>
          <w:p w14:paraId="6F69CE6F">
            <w:pPr>
              <w:adjustRightInd w:val="0"/>
              <w:snapToGrid w:val="0"/>
              <w:spacing w:line="360" w:lineRule="auto"/>
              <w:ind w:firstLine="480" w:firstLineChars="200"/>
              <w:rPr>
                <w:rFonts w:hint="eastAsia"/>
                <w:bCs/>
                <w:color w:val="auto"/>
                <w:sz w:val="24"/>
                <w:lang w:eastAsia="zh-CN"/>
              </w:rPr>
            </w:pPr>
            <w:r>
              <w:rPr>
                <w:rFonts w:hint="eastAsia"/>
                <w:bCs/>
                <w:color w:val="auto"/>
                <w:sz w:val="24"/>
                <w:lang w:eastAsia="zh-CN"/>
              </w:rPr>
              <w:t>（</w:t>
            </w:r>
            <w:r>
              <w:rPr>
                <w:rFonts w:hint="eastAsia"/>
                <w:bCs/>
                <w:color w:val="auto"/>
                <w:sz w:val="24"/>
                <w:lang w:val="en-US" w:eastAsia="zh-CN"/>
              </w:rPr>
              <w:t>1</w:t>
            </w:r>
            <w:r>
              <w:rPr>
                <w:rFonts w:hint="eastAsia"/>
                <w:bCs/>
                <w:color w:val="auto"/>
                <w:sz w:val="24"/>
                <w:lang w:eastAsia="zh-CN"/>
              </w:rPr>
              <w:t>）原辅材料消耗</w:t>
            </w:r>
          </w:p>
          <w:p w14:paraId="11BCD720">
            <w:pPr>
              <w:adjustRightInd w:val="0"/>
              <w:snapToGrid w:val="0"/>
              <w:spacing w:line="360" w:lineRule="auto"/>
              <w:ind w:firstLine="480" w:firstLineChars="200"/>
              <w:rPr>
                <w:bCs/>
                <w:color w:val="auto"/>
                <w:sz w:val="24"/>
              </w:rPr>
            </w:pPr>
            <w:r>
              <w:rPr>
                <w:rFonts w:hint="eastAsia"/>
                <w:bCs/>
                <w:color w:val="auto"/>
                <w:sz w:val="24"/>
              </w:rPr>
              <w:t>本项目原辅材料名称、年消耗量见表2-2。</w:t>
            </w:r>
          </w:p>
          <w:p w14:paraId="0812E140">
            <w:pPr>
              <w:pStyle w:val="50"/>
              <w:spacing w:line="240" w:lineRule="auto"/>
              <w:ind w:firstLine="420"/>
              <w:rPr>
                <w:rFonts w:hAnsi="Times New Roman" w:eastAsia="黑体"/>
                <w:b w:val="0"/>
                <w:bCs w:val="0"/>
                <w:color w:val="auto"/>
                <w:sz w:val="21"/>
                <w:szCs w:val="21"/>
              </w:rPr>
            </w:pPr>
            <w:r>
              <w:rPr>
                <w:rFonts w:hint="eastAsia" w:hAnsi="Times New Roman" w:eastAsia="黑体"/>
                <w:b w:val="0"/>
                <w:bCs w:val="0"/>
                <w:color w:val="auto"/>
                <w:sz w:val="21"/>
                <w:szCs w:val="21"/>
              </w:rPr>
              <w:t>表2-2</w:t>
            </w:r>
            <w:r>
              <w:rPr>
                <w:rFonts w:hAnsi="Times New Roman" w:eastAsia="黑体"/>
                <w:b w:val="0"/>
                <w:bCs w:val="0"/>
                <w:color w:val="auto"/>
                <w:sz w:val="21"/>
                <w:szCs w:val="21"/>
              </w:rPr>
              <w:t xml:space="preserve">                    </w:t>
            </w:r>
            <w:r>
              <w:rPr>
                <w:rFonts w:hint="eastAsia" w:hAnsi="Times New Roman" w:eastAsia="黑体"/>
                <w:b w:val="0"/>
                <w:bCs w:val="0"/>
                <w:color w:val="auto"/>
                <w:sz w:val="21"/>
                <w:szCs w:val="21"/>
              </w:rPr>
              <w:t>项目主要原辅材料消耗一览表</w:t>
            </w:r>
          </w:p>
          <w:tbl>
            <w:tblPr>
              <w:tblStyle w:val="22"/>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18"/>
              <w:gridCol w:w="1467"/>
              <w:gridCol w:w="2028"/>
              <w:gridCol w:w="2028"/>
            </w:tblGrid>
            <w:tr w14:paraId="24DF7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top"/>
                </w:tcPr>
                <w:p w14:paraId="6C5F6F9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序号</w:t>
                  </w:r>
                </w:p>
              </w:tc>
              <w:tc>
                <w:tcPr>
                  <w:tcW w:w="2018" w:type="dxa"/>
                  <w:vAlign w:val="center"/>
                </w:tcPr>
                <w:p w14:paraId="5F4348A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color w:val="auto"/>
                      <w:kern w:val="0"/>
                      <w:sz w:val="21"/>
                      <w:szCs w:val="21"/>
                      <w:highlight w:val="none"/>
                    </w:rPr>
                    <w:t>名称</w:t>
                  </w:r>
                </w:p>
              </w:tc>
              <w:tc>
                <w:tcPr>
                  <w:tcW w:w="1467" w:type="dxa"/>
                  <w:vAlign w:val="center"/>
                </w:tcPr>
                <w:p w14:paraId="400FF2E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单位</w:t>
                  </w:r>
                </w:p>
              </w:tc>
              <w:tc>
                <w:tcPr>
                  <w:tcW w:w="2028" w:type="dxa"/>
                  <w:vAlign w:val="center"/>
                </w:tcPr>
                <w:p w14:paraId="31B91E3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数量</w:t>
                  </w:r>
                </w:p>
              </w:tc>
              <w:tc>
                <w:tcPr>
                  <w:tcW w:w="2028" w:type="dxa"/>
                  <w:vAlign w:val="center"/>
                </w:tcPr>
                <w:p w14:paraId="1A86AB1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来源</w:t>
                  </w:r>
                </w:p>
              </w:tc>
            </w:tr>
            <w:tr w14:paraId="6ABAB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center"/>
                </w:tcPr>
                <w:p w14:paraId="4675024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1</w:t>
                  </w:r>
                </w:p>
              </w:tc>
              <w:tc>
                <w:tcPr>
                  <w:tcW w:w="2018" w:type="dxa"/>
                  <w:vAlign w:val="center"/>
                </w:tcPr>
                <w:p w14:paraId="79AB1DD1">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棉花秸秆</w:t>
                  </w:r>
                </w:p>
              </w:tc>
              <w:tc>
                <w:tcPr>
                  <w:tcW w:w="1467" w:type="dxa"/>
                  <w:vAlign w:val="center"/>
                </w:tcPr>
                <w:p w14:paraId="3237E44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t/a</w:t>
                  </w:r>
                </w:p>
              </w:tc>
              <w:tc>
                <w:tcPr>
                  <w:tcW w:w="2028" w:type="dxa"/>
                  <w:vAlign w:val="center"/>
                </w:tcPr>
                <w:p w14:paraId="082B62ED">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216000</w:t>
                  </w:r>
                </w:p>
              </w:tc>
              <w:tc>
                <w:tcPr>
                  <w:tcW w:w="2028" w:type="dxa"/>
                  <w:vAlign w:val="center"/>
                </w:tcPr>
                <w:p w14:paraId="3F3F07B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玛纳斯县周边</w:t>
                  </w:r>
                </w:p>
              </w:tc>
            </w:tr>
            <w:tr w14:paraId="672A0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center"/>
                </w:tcPr>
                <w:p w14:paraId="0A99E0E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2018" w:type="dxa"/>
                  <w:vAlign w:val="center"/>
                </w:tcPr>
                <w:p w14:paraId="07C9B20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eastAsia="zh-CN"/>
                    </w:rPr>
                  </w:pPr>
                  <w:r>
                    <w:rPr>
                      <w:rFonts w:hint="eastAsia" w:cs="Times New Roman"/>
                      <w:color w:val="auto"/>
                      <w:kern w:val="0"/>
                      <w:sz w:val="21"/>
                      <w:szCs w:val="21"/>
                      <w:highlight w:val="none"/>
                      <w:lang w:eastAsia="zh-CN"/>
                    </w:rPr>
                    <w:t>新鲜水</w:t>
                  </w:r>
                </w:p>
              </w:tc>
              <w:tc>
                <w:tcPr>
                  <w:tcW w:w="1467" w:type="dxa"/>
                  <w:vAlign w:val="center"/>
                </w:tcPr>
                <w:p w14:paraId="5163FF89">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vertAlign w:val="baseline"/>
                      <w:lang w:val="en-US" w:eastAsia="zh-CN"/>
                    </w:rPr>
                  </w:pPr>
                  <w:r>
                    <w:rPr>
                      <w:rFonts w:hint="eastAsia" w:cs="Times New Roman"/>
                      <w:color w:val="auto"/>
                      <w:kern w:val="0"/>
                      <w:sz w:val="21"/>
                      <w:szCs w:val="21"/>
                      <w:highlight w:val="none"/>
                      <w:lang w:val="en-US" w:eastAsia="zh-CN"/>
                    </w:rPr>
                    <w:t>m</w:t>
                  </w:r>
                  <w:r>
                    <w:rPr>
                      <w:rFonts w:hint="eastAsia" w:cs="Times New Roman"/>
                      <w:color w:val="auto"/>
                      <w:kern w:val="0"/>
                      <w:sz w:val="21"/>
                      <w:szCs w:val="21"/>
                      <w:highlight w:val="none"/>
                      <w:vertAlign w:val="superscript"/>
                      <w:lang w:val="en-US" w:eastAsia="zh-CN"/>
                    </w:rPr>
                    <w:t>3</w:t>
                  </w:r>
                  <w:r>
                    <w:rPr>
                      <w:rFonts w:hint="eastAsia" w:cs="Times New Roman"/>
                      <w:color w:val="auto"/>
                      <w:kern w:val="0"/>
                      <w:sz w:val="21"/>
                      <w:szCs w:val="21"/>
                      <w:highlight w:val="none"/>
                      <w:vertAlign w:val="baseline"/>
                      <w:lang w:val="en-US" w:eastAsia="zh-CN"/>
                    </w:rPr>
                    <w:t>/a</w:t>
                  </w:r>
                </w:p>
              </w:tc>
              <w:tc>
                <w:tcPr>
                  <w:tcW w:w="2028" w:type="dxa"/>
                  <w:vAlign w:val="center"/>
                </w:tcPr>
                <w:p w14:paraId="3C2CA54F">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331195.2</w:t>
                  </w:r>
                </w:p>
              </w:tc>
              <w:tc>
                <w:tcPr>
                  <w:tcW w:w="2028" w:type="dxa"/>
                  <w:vAlign w:val="center"/>
                </w:tcPr>
                <w:p w14:paraId="38DFC5BD">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园区供水管网</w:t>
                  </w:r>
                </w:p>
              </w:tc>
            </w:tr>
            <w:tr w14:paraId="41A0C4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center"/>
                </w:tcPr>
                <w:p w14:paraId="6462B700">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2018" w:type="dxa"/>
                  <w:vAlign w:val="center"/>
                </w:tcPr>
                <w:p w14:paraId="7C888947">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电</w:t>
                  </w:r>
                </w:p>
              </w:tc>
              <w:tc>
                <w:tcPr>
                  <w:tcW w:w="1467" w:type="dxa"/>
                  <w:vAlign w:val="center"/>
                </w:tcPr>
                <w:p w14:paraId="135D0BA0">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KWh/a</w:t>
                  </w:r>
                </w:p>
              </w:tc>
              <w:tc>
                <w:tcPr>
                  <w:tcW w:w="2028" w:type="dxa"/>
                  <w:vAlign w:val="center"/>
                </w:tcPr>
                <w:p w14:paraId="783FBD9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1800万</w:t>
                  </w:r>
                </w:p>
              </w:tc>
              <w:tc>
                <w:tcPr>
                  <w:tcW w:w="2028" w:type="dxa"/>
                  <w:vAlign w:val="center"/>
                </w:tcPr>
                <w:p w14:paraId="13A8EFC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14:paraId="545B9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center"/>
                </w:tcPr>
                <w:p w14:paraId="28F1292B">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2018" w:type="dxa"/>
                  <w:vAlign w:val="center"/>
                </w:tcPr>
                <w:p w14:paraId="44A6E39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石灰石</w:t>
                  </w:r>
                  <w:r>
                    <w:rPr>
                      <w:rFonts w:hint="eastAsia" w:cs="Times New Roman"/>
                      <w:color w:val="auto"/>
                      <w:kern w:val="0"/>
                      <w:sz w:val="21"/>
                      <w:szCs w:val="21"/>
                      <w:highlight w:val="none"/>
                      <w:lang w:val="en-US" w:eastAsia="zh-CN"/>
                    </w:rPr>
                    <w:t>（</w:t>
                  </w:r>
                  <w:r>
                    <w:rPr>
                      <w:rFonts w:hint="eastAsia" w:cs="Times New Roman"/>
                      <w:color w:val="auto"/>
                      <w:kern w:val="0"/>
                      <w:sz w:val="21"/>
                      <w:szCs w:val="21"/>
                      <w:highlight w:val="none"/>
                      <w:lang w:eastAsia="zh-CN"/>
                    </w:rPr>
                    <w:t>纯度</w:t>
                  </w:r>
                  <w:r>
                    <w:rPr>
                      <w:rFonts w:hint="eastAsia" w:cs="Times New Roman"/>
                      <w:color w:val="auto"/>
                      <w:kern w:val="0"/>
                      <w:sz w:val="21"/>
                      <w:szCs w:val="21"/>
                      <w:highlight w:val="none"/>
                      <w:lang w:val="en-US" w:eastAsia="zh-CN"/>
                    </w:rPr>
                    <w:t>90%）</w:t>
                  </w:r>
                </w:p>
              </w:tc>
              <w:tc>
                <w:tcPr>
                  <w:tcW w:w="1467" w:type="dxa"/>
                  <w:vAlign w:val="center"/>
                </w:tcPr>
                <w:p w14:paraId="089BE9F5">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t/a</w:t>
                  </w:r>
                </w:p>
              </w:tc>
              <w:tc>
                <w:tcPr>
                  <w:tcW w:w="2028" w:type="dxa"/>
                  <w:vAlign w:val="center"/>
                </w:tcPr>
                <w:p w14:paraId="1547C0D6">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756</w:t>
                  </w:r>
                </w:p>
              </w:tc>
              <w:tc>
                <w:tcPr>
                  <w:tcW w:w="2028" w:type="dxa"/>
                  <w:vAlign w:val="center"/>
                </w:tcPr>
                <w:p w14:paraId="10941553">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外购</w:t>
                  </w:r>
                </w:p>
              </w:tc>
            </w:tr>
            <w:tr w14:paraId="6B9DC9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41" w:type="dxa"/>
                  <w:vAlign w:val="center"/>
                </w:tcPr>
                <w:p w14:paraId="3151D02C">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2018" w:type="dxa"/>
                  <w:vAlign w:val="center"/>
                </w:tcPr>
                <w:p w14:paraId="59C0D2FE">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柴油</w:t>
                  </w:r>
                </w:p>
              </w:tc>
              <w:tc>
                <w:tcPr>
                  <w:tcW w:w="1467" w:type="dxa"/>
                  <w:vAlign w:val="center"/>
                </w:tcPr>
                <w:p w14:paraId="26BF5101">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t/a</w:t>
                  </w:r>
                </w:p>
              </w:tc>
              <w:tc>
                <w:tcPr>
                  <w:tcW w:w="2028" w:type="dxa"/>
                  <w:vAlign w:val="center"/>
                </w:tcPr>
                <w:p w14:paraId="3697B9A4">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yellow"/>
                      <w:lang w:val="en-US" w:eastAsia="zh-CN"/>
                    </w:rPr>
                  </w:pPr>
                  <w:r>
                    <w:rPr>
                      <w:rFonts w:hint="eastAsia" w:cs="Times New Roman"/>
                      <w:color w:val="auto"/>
                      <w:kern w:val="0"/>
                      <w:sz w:val="21"/>
                      <w:szCs w:val="21"/>
                      <w:highlight w:val="none"/>
                      <w:lang w:val="en-US" w:eastAsia="zh-CN"/>
                    </w:rPr>
                    <w:t>25</w:t>
                  </w:r>
                </w:p>
              </w:tc>
              <w:tc>
                <w:tcPr>
                  <w:tcW w:w="2028" w:type="dxa"/>
                  <w:vAlign w:val="center"/>
                </w:tcPr>
                <w:p w14:paraId="70FD53AF">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外购</w:t>
                  </w:r>
                </w:p>
              </w:tc>
            </w:tr>
          </w:tbl>
          <w:p w14:paraId="58A7D40D">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）原辅材料性质</w:t>
            </w:r>
          </w:p>
          <w:p w14:paraId="45A659DC">
            <w:pPr>
              <w:adjustRightInd w:val="0"/>
              <w:snapToGrid w:val="0"/>
              <w:spacing w:line="360" w:lineRule="auto"/>
              <w:ind w:firstLine="480" w:firstLineChars="200"/>
              <w:rPr>
                <w:rFonts w:hint="eastAsia"/>
                <w:color w:val="auto"/>
                <w:sz w:val="24"/>
                <w:lang w:val="en-US" w:eastAsia="zh-CN"/>
              </w:rPr>
            </w:pPr>
            <w:r>
              <w:rPr>
                <w:rFonts w:hint="eastAsia"/>
                <w:color w:val="auto"/>
                <w:sz w:val="24"/>
                <w:lang w:eastAsia="zh-CN"/>
              </w:rPr>
              <w:t>根据辽宁科技大学对玛纳斯县棉花秸秆的检测分析，项目原料棉花秸秆成分见表</w:t>
            </w:r>
            <w:r>
              <w:rPr>
                <w:rFonts w:hint="eastAsia"/>
                <w:color w:val="auto"/>
                <w:sz w:val="24"/>
                <w:lang w:val="en-US" w:eastAsia="zh-CN"/>
              </w:rPr>
              <w:t>2-3。</w:t>
            </w:r>
          </w:p>
          <w:p w14:paraId="28ED1C93">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棉花秸秆成分表</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highlight w:val="none"/>
                <w:lang w:val="en-US" w:eastAsia="zh-CN"/>
              </w:rPr>
              <w:t xml:space="preserve">               </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71"/>
              <w:gridCol w:w="2770"/>
              <w:gridCol w:w="2771"/>
            </w:tblGrid>
            <w:tr w14:paraId="0C25EA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577E21BB">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参数</w:t>
                  </w:r>
                </w:p>
              </w:tc>
              <w:tc>
                <w:tcPr>
                  <w:tcW w:w="2770" w:type="dxa"/>
                  <w:vAlign w:val="center"/>
                </w:tcPr>
                <w:p w14:paraId="3ADDB6C8">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单位</w:t>
                  </w:r>
                </w:p>
              </w:tc>
              <w:tc>
                <w:tcPr>
                  <w:tcW w:w="2771" w:type="dxa"/>
                  <w:vAlign w:val="center"/>
                </w:tcPr>
                <w:p w14:paraId="4293DB5A">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指标</w:t>
                  </w:r>
                </w:p>
              </w:tc>
            </w:tr>
            <w:tr w14:paraId="36574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17CC4334">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5471CF02">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1DC6DAEE">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38.602</w:t>
                  </w:r>
                </w:p>
              </w:tc>
            </w:tr>
            <w:tr w14:paraId="759D5C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540845FF">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0101BCD0">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00072EEE">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5.502</w:t>
                  </w:r>
                </w:p>
              </w:tc>
            </w:tr>
            <w:tr w14:paraId="4865CF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0891DAD7">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4ABCE098">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7EA4B803">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39.677</w:t>
                  </w:r>
                </w:p>
              </w:tc>
            </w:tr>
            <w:tr w14:paraId="49343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6C4FB080">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5EDD69A9">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7F4087C3">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0.931</w:t>
                  </w:r>
                </w:p>
              </w:tc>
            </w:tr>
            <w:tr w14:paraId="1F3DB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0D56C804">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1B4C1C51">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6B75D0AF">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0.208</w:t>
                  </w:r>
                </w:p>
              </w:tc>
            </w:tr>
            <w:tr w14:paraId="6778E3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70FFD33F">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00514C0E">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3D655FBF">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5.42</w:t>
                  </w:r>
                </w:p>
              </w:tc>
            </w:tr>
            <w:tr w14:paraId="3C9F18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040AC47E">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14:paraId="1EA81A4D">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05D7AD33">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9.66</w:t>
                  </w:r>
                </w:p>
              </w:tc>
            </w:tr>
            <w:tr w14:paraId="69A2EC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3B884259">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V</w:t>
                  </w:r>
                  <w:r>
                    <w:rPr>
                      <w:rFonts w:hint="default" w:ascii="Times New Roman" w:hAnsi="Times New Roman" w:cs="Times New Roman"/>
                      <w:color w:val="auto"/>
                      <w:sz w:val="21"/>
                      <w:szCs w:val="21"/>
                      <w:highlight w:val="none"/>
                      <w:vertAlign w:val="subscript"/>
                      <w:lang w:val="en-US" w:eastAsia="zh-CN"/>
                    </w:rPr>
                    <w:t>def</w:t>
                  </w:r>
                </w:p>
              </w:tc>
              <w:tc>
                <w:tcPr>
                  <w:tcW w:w="2770" w:type="dxa"/>
                  <w:vAlign w:val="center"/>
                </w:tcPr>
                <w:p w14:paraId="417A453A">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14:paraId="0DD81DDD">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80.03</w:t>
                  </w:r>
                </w:p>
              </w:tc>
            </w:tr>
            <w:tr w14:paraId="4FAC55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771" w:type="dxa"/>
                  <w:vAlign w:val="center"/>
                </w:tcPr>
                <w:p w14:paraId="4F76D2E7">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Q</w:t>
                  </w:r>
                  <w:r>
                    <w:rPr>
                      <w:rFonts w:hint="default" w:ascii="Times New Roman" w:hAnsi="Times New Roman" w:cs="Times New Roman"/>
                      <w:color w:val="auto"/>
                      <w:sz w:val="21"/>
                      <w:szCs w:val="21"/>
                      <w:highlight w:val="none"/>
                      <w:vertAlign w:val="subscript"/>
                      <w:lang w:val="en-US" w:eastAsia="zh-CN"/>
                    </w:rPr>
                    <w:t>net,v,ar</w:t>
                  </w:r>
                </w:p>
              </w:tc>
              <w:tc>
                <w:tcPr>
                  <w:tcW w:w="2770" w:type="dxa"/>
                  <w:vAlign w:val="center"/>
                </w:tcPr>
                <w:p w14:paraId="2736D17F">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kJ/kg</w:t>
                  </w:r>
                </w:p>
              </w:tc>
              <w:tc>
                <w:tcPr>
                  <w:tcW w:w="2771" w:type="dxa"/>
                  <w:vAlign w:val="center"/>
                </w:tcPr>
                <w:p w14:paraId="7A18A638">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14210.0</w:t>
                  </w:r>
                </w:p>
              </w:tc>
            </w:tr>
          </w:tbl>
          <w:p w14:paraId="5E41181E">
            <w:pPr>
              <w:adjustRightInd w:val="0"/>
              <w:snapToGrid w:val="0"/>
              <w:spacing w:line="480" w:lineRule="exact"/>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）原料的来源及保障型分析</w:t>
            </w:r>
          </w:p>
          <w:p w14:paraId="3C241462">
            <w:pPr>
              <w:adjustRightInd w:val="0"/>
              <w:snapToGrid w:val="0"/>
              <w:spacing w:line="480" w:lineRule="exact"/>
              <w:ind w:firstLine="480" w:firstLineChars="200"/>
              <w:rPr>
                <w:rFonts w:hint="eastAsia"/>
                <w:color w:val="auto"/>
                <w:sz w:val="24"/>
                <w:lang w:eastAsia="zh-CN"/>
              </w:rPr>
            </w:pPr>
            <w:r>
              <w:rPr>
                <w:rFonts w:hint="eastAsia"/>
                <w:color w:val="auto"/>
                <w:sz w:val="24"/>
                <w:lang w:eastAsia="zh-CN"/>
              </w:rPr>
              <w:t>项目原料棉杆主要收购自玛纳斯县周边乡镇，根据2019年统计数据，各乡镇棉花秸秆产量见表</w:t>
            </w:r>
            <w:r>
              <w:rPr>
                <w:rFonts w:hint="eastAsia"/>
                <w:color w:val="auto"/>
                <w:sz w:val="24"/>
                <w:lang w:val="en-US" w:eastAsia="zh-CN"/>
              </w:rPr>
              <w:t>2-4</w:t>
            </w:r>
            <w:r>
              <w:rPr>
                <w:rFonts w:hint="eastAsia"/>
                <w:color w:val="auto"/>
                <w:sz w:val="24"/>
                <w:lang w:eastAsia="zh-CN"/>
              </w:rPr>
              <w:t>。</w:t>
            </w:r>
          </w:p>
          <w:p w14:paraId="3BCFF5D2">
            <w:pPr>
              <w:pStyle w:val="78"/>
              <w:keepNext w:val="0"/>
              <w:keepLines w:val="0"/>
              <w:suppressLineNumbers w:val="0"/>
              <w:shd w:val="clear"/>
              <w:spacing w:before="156" w:beforeAutospacing="0" w:after="0" w:afterAutospacing="0" w:line="240" w:lineRule="auto"/>
              <w:ind w:left="0" w:right="0" w:firstLine="525" w:firstLineChars="250"/>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2-4</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w:t>
            </w:r>
            <w:r>
              <w:rPr>
                <w:rFonts w:hint="eastAsia"/>
                <w:color w:val="auto"/>
                <w:highlight w:val="none"/>
                <w:lang w:eastAsia="zh-CN"/>
              </w:rPr>
              <w:t>项目原料来源一览表</w:t>
            </w:r>
          </w:p>
          <w:tbl>
            <w:tblPr>
              <w:tblStyle w:val="22"/>
              <w:tblW w:w="831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8"/>
              <w:gridCol w:w="1348"/>
              <w:gridCol w:w="1482"/>
              <w:gridCol w:w="1591"/>
              <w:gridCol w:w="1335"/>
              <w:gridCol w:w="1078"/>
            </w:tblGrid>
            <w:tr w14:paraId="05D924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bottom w:val="single" w:color="000000" w:sz="4" w:space="0"/>
                    <w:right w:val="single" w:color="000000" w:sz="4" w:space="0"/>
                    <w:tl2br w:val="nil"/>
                    <w:tr2bl w:val="nil"/>
                  </w:tcBorders>
                  <w:vAlign w:val="center"/>
                </w:tcPr>
                <w:p w14:paraId="6828A58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乡镇</w:t>
                  </w:r>
                </w:p>
              </w:tc>
              <w:tc>
                <w:tcPr>
                  <w:tcW w:w="1348" w:type="dxa"/>
                  <w:tcBorders>
                    <w:left w:val="single" w:color="000000" w:sz="4" w:space="0"/>
                    <w:bottom w:val="single" w:color="000000" w:sz="4" w:space="0"/>
                    <w:right w:val="single" w:color="000000" w:sz="4" w:space="0"/>
                    <w:tl2br w:val="nil"/>
                    <w:tr2bl w:val="nil"/>
                  </w:tcBorders>
                  <w:vAlign w:val="center"/>
                </w:tcPr>
                <w:p w14:paraId="60748F9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行政面积</w:t>
                  </w:r>
                </w:p>
                <w:p w14:paraId="23A0DBF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（万亩）</w:t>
                  </w:r>
                </w:p>
              </w:tc>
              <w:tc>
                <w:tcPr>
                  <w:tcW w:w="1482" w:type="dxa"/>
                  <w:tcBorders>
                    <w:left w:val="single" w:color="000000" w:sz="4" w:space="0"/>
                    <w:bottom w:val="single" w:color="000000" w:sz="4" w:space="0"/>
                    <w:right w:val="single" w:color="000000" w:sz="4" w:space="0"/>
                    <w:tl2br w:val="nil"/>
                    <w:tr2bl w:val="nil"/>
                  </w:tcBorders>
                  <w:vAlign w:val="center"/>
                </w:tcPr>
                <w:p w14:paraId="0C3F289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棉花播种面</w:t>
                  </w:r>
                </w:p>
                <w:p w14:paraId="5E2857A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积（万亩）</w:t>
                  </w:r>
                </w:p>
              </w:tc>
              <w:tc>
                <w:tcPr>
                  <w:tcW w:w="1591" w:type="dxa"/>
                  <w:tcBorders>
                    <w:left w:val="single" w:color="000000" w:sz="4" w:space="0"/>
                    <w:bottom w:val="single" w:color="000000" w:sz="4" w:space="0"/>
                    <w:right w:val="single" w:color="000000" w:sz="4" w:space="0"/>
                    <w:tl2br w:val="nil"/>
                    <w:tr2bl w:val="nil"/>
                  </w:tcBorders>
                  <w:vAlign w:val="center"/>
                </w:tcPr>
                <w:p w14:paraId="37C34E8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秸秆产量</w:t>
                  </w:r>
                </w:p>
                <w:p w14:paraId="768F384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（万吨）</w:t>
                  </w:r>
                </w:p>
              </w:tc>
              <w:tc>
                <w:tcPr>
                  <w:tcW w:w="1335" w:type="dxa"/>
                  <w:tcBorders>
                    <w:left w:val="single" w:color="000000" w:sz="4" w:space="0"/>
                    <w:bottom w:val="single" w:color="000000" w:sz="4" w:space="0"/>
                    <w:right w:val="single" w:color="000000" w:sz="4" w:space="0"/>
                    <w:tl2br w:val="nil"/>
                    <w:tr2bl w:val="nil"/>
                  </w:tcBorders>
                  <w:vAlign w:val="center"/>
                </w:tcPr>
                <w:p w14:paraId="2B5E2233">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运输距离</w:t>
                  </w:r>
                </w:p>
              </w:tc>
              <w:tc>
                <w:tcPr>
                  <w:tcW w:w="1078" w:type="dxa"/>
                  <w:tcBorders>
                    <w:left w:val="single" w:color="000000" w:sz="4" w:space="0"/>
                    <w:bottom w:val="single" w:color="000000" w:sz="4" w:space="0"/>
                    <w:tl2br w:val="nil"/>
                    <w:tr2bl w:val="nil"/>
                  </w:tcBorders>
                  <w:vAlign w:val="center"/>
                </w:tcPr>
                <w:p w14:paraId="632B169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运输方向</w:t>
                  </w:r>
                </w:p>
              </w:tc>
            </w:tr>
            <w:tr w14:paraId="6E30E9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5958A3A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合计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732058B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764.04</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30E3760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84.91</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3C61DCD3">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42.46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028DB582">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78" w:type="dxa"/>
                  <w:tcBorders>
                    <w:top w:val="single" w:color="000000" w:sz="4" w:space="0"/>
                    <w:left w:val="single" w:color="000000" w:sz="4" w:space="0"/>
                    <w:bottom w:val="single" w:color="000000" w:sz="4" w:space="0"/>
                    <w:tl2br w:val="nil"/>
                    <w:tr2bl w:val="nil"/>
                  </w:tcBorders>
                  <w:vAlign w:val="center"/>
                </w:tcPr>
                <w:p w14:paraId="0500924C">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5D40D1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03193B5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玛纳斯镇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23C2ACA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7.51</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1366678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1.12</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2B7D7B1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0.56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5699257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18.1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41667B4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14:paraId="1A804C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7FD6F90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乐土驿镇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7D9534E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20.70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1C43B02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9.86</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7498B10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4.93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12A85DE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10.4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01DB827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14:paraId="182FA4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17DB071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包家店镇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6E0AC598">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35.40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0054704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15.10</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6917367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7.55</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256EBD5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10.3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0445F5E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14:paraId="7FAF0D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6F0F5CC3">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凉州户镇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3F9C035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251CCB4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1.63</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1AA52EC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0.82</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59374F6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19.6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781378B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14:paraId="6231B7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53994B6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北五岔镇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77902838">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33.90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60D223D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19.92</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14B78FC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9.96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4D73FAA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28.2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4DF9369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北</w:t>
                  </w:r>
                </w:p>
              </w:tc>
            </w:tr>
            <w:tr w14:paraId="72F763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56B45F1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六户地镇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35DCC08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37.62</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315CD6D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16.39</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45E556B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8.20</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2CD8297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46.9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159FDF8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西北</w:t>
                  </w:r>
                </w:p>
              </w:tc>
            </w:tr>
            <w:tr w14:paraId="2D8502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54E4510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兰州湾镇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6438CFD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23.36</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7F7E142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11.88</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064A63D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5.94</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7D5FBAF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19.9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5B31709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14:paraId="1190A1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6AE4AFB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广东地乡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74771FB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12.00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2A7EAEC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6.77</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644CC754">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3.39</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7616A6C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15.3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1CD7E7E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西北</w:t>
                  </w:r>
                </w:p>
              </w:tc>
            </w:tr>
            <w:tr w14:paraId="2C8C4B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73E22CD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平原林场</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0881D28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8.25</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1D1EE61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1.38</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021D7AC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0.69</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0206CA2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7.3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08963C4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14:paraId="03F264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47D599B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塔西河哈乡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7C5E242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126.00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3E5CAA9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0.86</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34EDA13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0.43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6399617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47.8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46A53F1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14:paraId="268B49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14:paraId="7899185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清水河乡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14:paraId="628D814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445.50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14:paraId="6038C2DE">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14:paraId="545AB6FF">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14:paraId="62FD815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50.1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14:paraId="575CFBA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14:paraId="647412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right w:val="single" w:color="000000" w:sz="4" w:space="0"/>
                    <w:tl2br w:val="nil"/>
                    <w:tr2bl w:val="nil"/>
                  </w:tcBorders>
                  <w:vAlign w:val="center"/>
                </w:tcPr>
                <w:p w14:paraId="6F6CC24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旱卡子滩乡</w:t>
                  </w:r>
                </w:p>
              </w:tc>
              <w:tc>
                <w:tcPr>
                  <w:tcW w:w="1348" w:type="dxa"/>
                  <w:tcBorders>
                    <w:top w:val="single" w:color="000000" w:sz="4" w:space="0"/>
                    <w:left w:val="single" w:color="000000" w:sz="4" w:space="0"/>
                    <w:right w:val="single" w:color="000000" w:sz="4" w:space="0"/>
                    <w:tl2br w:val="nil"/>
                    <w:tr2bl w:val="nil"/>
                  </w:tcBorders>
                  <w:vAlign w:val="center"/>
                </w:tcPr>
                <w:p w14:paraId="45ACC14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5.6</w:t>
                  </w:r>
                </w:p>
              </w:tc>
              <w:tc>
                <w:tcPr>
                  <w:tcW w:w="1482" w:type="dxa"/>
                  <w:tcBorders>
                    <w:top w:val="single" w:color="000000" w:sz="4" w:space="0"/>
                    <w:left w:val="single" w:color="000000" w:sz="4" w:space="0"/>
                    <w:right w:val="single" w:color="000000" w:sz="4" w:space="0"/>
                    <w:tl2br w:val="nil"/>
                    <w:tr2bl w:val="nil"/>
                  </w:tcBorders>
                  <w:vAlign w:val="center"/>
                </w:tcPr>
                <w:p w14:paraId="01136B0F">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91" w:type="dxa"/>
                  <w:tcBorders>
                    <w:top w:val="single" w:color="000000" w:sz="4" w:space="0"/>
                    <w:left w:val="single" w:color="000000" w:sz="4" w:space="0"/>
                    <w:right w:val="single" w:color="000000" w:sz="4" w:space="0"/>
                    <w:tl2br w:val="nil"/>
                    <w:tr2bl w:val="nil"/>
                  </w:tcBorders>
                  <w:vAlign w:val="center"/>
                </w:tcPr>
                <w:p w14:paraId="3EC6BC84">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35" w:type="dxa"/>
                  <w:tcBorders>
                    <w:top w:val="single" w:color="000000" w:sz="4" w:space="0"/>
                    <w:left w:val="single" w:color="000000" w:sz="4" w:space="0"/>
                    <w:right w:val="single" w:color="000000" w:sz="4" w:space="0"/>
                    <w:tl2br w:val="nil"/>
                    <w:tr2bl w:val="nil"/>
                  </w:tcBorders>
                  <w:vAlign w:val="center"/>
                </w:tcPr>
                <w:p w14:paraId="2708588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32.2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tl2br w:val="nil"/>
                    <w:tr2bl w:val="nil"/>
                  </w:tcBorders>
                  <w:vAlign w:val="center"/>
                </w:tcPr>
                <w:p w14:paraId="4AA52B7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西南</w:t>
                  </w:r>
                </w:p>
              </w:tc>
            </w:tr>
          </w:tbl>
          <w:p w14:paraId="328381A6">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根据上表结果，玛纳斯县周边棉杆产量42.46万t/a大于项目消耗的21.6万t/a，可以满足项目所需，项目原料来源可以得到有效保证。</w:t>
            </w:r>
          </w:p>
          <w:p w14:paraId="1B57D92C">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项目与当地农业合作组织联合农机作业队签订长期秸秆供应合同，秋收时由农业合作组织联合农机作业队采用机械采收方式截取距离地面</w:t>
            </w:r>
            <w:r>
              <w:rPr>
                <w:rFonts w:hint="eastAsia"/>
                <w:color w:val="auto"/>
                <w:sz w:val="24"/>
                <w:lang w:val="en-US" w:eastAsia="zh-CN"/>
              </w:rPr>
              <w:t>10cm以上植株的茎干、枝叶，</w:t>
            </w:r>
            <w:r>
              <w:rPr>
                <w:rFonts w:hint="eastAsia"/>
                <w:color w:val="auto"/>
                <w:sz w:val="24"/>
                <w:lang w:eastAsia="zh-CN"/>
              </w:rPr>
              <w:t>直接切断粉碎、归集棉花秸秆，收集后的棉花秸秆暂存于各片区集中收集点，棉花种植户与农业合作组织采用自由组合方式合作、合股、期货、现货等模式，将收集储存的后的秸秆交付与农业合作组织，由农业合作组织按项目供货需要，由社会车辆按时按量运输至项目厂区，平均运距22.3km，运输过程不设原料中转堆场。</w:t>
            </w:r>
          </w:p>
          <w:p w14:paraId="3F7FCF86">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秸秆入场前进行质检，需满足以下标准：</w:t>
            </w:r>
          </w:p>
          <w:p w14:paraId="1A0243CD">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 xml:space="preserve">①长度：1cm </w:t>
            </w:r>
            <w:r>
              <w:rPr>
                <w:rFonts w:hint="eastAsia"/>
                <w:color w:val="auto"/>
                <w:sz w:val="24"/>
                <w:lang w:val="en-US" w:eastAsia="zh-CN"/>
              </w:rPr>
              <w:t>~</w:t>
            </w:r>
            <w:r>
              <w:rPr>
                <w:rFonts w:hint="eastAsia"/>
                <w:color w:val="auto"/>
                <w:sz w:val="24"/>
                <w:lang w:eastAsia="zh-CN"/>
              </w:rPr>
              <w:t>8cm ，其中应满足90%&lt;7cm。</w:t>
            </w:r>
          </w:p>
          <w:p w14:paraId="71D683F9">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②含水率：标准原料含水率为15%以下，超过30%含水率的不予进厂使用。</w:t>
            </w:r>
          </w:p>
          <w:p w14:paraId="4555ECFB">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③含杂率：除棉花秸秆外所有物质皆为杂质，含杂率小于2%（重量比例）。</w:t>
            </w:r>
          </w:p>
          <w:p w14:paraId="37A10A4B">
            <w:pPr>
              <w:adjustRightInd w:val="0"/>
              <w:snapToGrid w:val="0"/>
              <w:spacing w:line="360" w:lineRule="auto"/>
              <w:ind w:firstLine="482" w:firstLineChars="200"/>
              <w:rPr>
                <w:b/>
                <w:bCs/>
                <w:color w:val="auto"/>
                <w:sz w:val="24"/>
              </w:rPr>
            </w:pPr>
            <w:r>
              <w:rPr>
                <w:rFonts w:hint="eastAsia"/>
                <w:b/>
                <w:bCs/>
                <w:color w:val="auto"/>
                <w:sz w:val="24"/>
                <w:lang w:eastAsia="zh-CN"/>
              </w:rPr>
              <w:t>三</w:t>
            </w:r>
            <w:r>
              <w:rPr>
                <w:rFonts w:hint="eastAsia"/>
                <w:b/>
                <w:bCs/>
                <w:color w:val="auto"/>
                <w:sz w:val="24"/>
              </w:rPr>
              <w:t>、产品方案</w:t>
            </w:r>
          </w:p>
          <w:p w14:paraId="20F122BC">
            <w:pPr>
              <w:adjustRightInd w:val="0"/>
              <w:snapToGrid w:val="0"/>
              <w:spacing w:line="360" w:lineRule="auto"/>
              <w:ind w:firstLine="480" w:firstLineChars="200"/>
              <w:rPr>
                <w:rFonts w:hint="eastAsia"/>
                <w:bCs/>
                <w:color w:val="auto"/>
                <w:sz w:val="24"/>
                <w:lang w:val="en-US" w:eastAsia="zh-CN"/>
              </w:rPr>
            </w:pPr>
            <w:r>
              <w:rPr>
                <w:rFonts w:hint="eastAsia"/>
                <w:bCs/>
                <w:color w:val="auto"/>
                <w:sz w:val="24"/>
              </w:rPr>
              <w:t>项目以玛纳斯县周边棉杆为主要原料，采用全新的“连续旋芯炭化工艺”，年生产生物质炭64800t/a，同时利用炭化烟气余热进行发电，设计年发电量7200</w:t>
            </w:r>
            <w:r>
              <w:rPr>
                <w:rFonts w:hint="eastAsia"/>
                <w:bCs/>
                <w:color w:val="auto"/>
                <w:sz w:val="24"/>
                <w:lang w:eastAsia="zh-CN"/>
              </w:rPr>
              <w:t>万</w:t>
            </w:r>
            <w:r>
              <w:rPr>
                <w:rFonts w:hint="eastAsia"/>
                <w:bCs/>
                <w:color w:val="auto"/>
                <w:sz w:val="24"/>
                <w:lang w:val="en-US" w:eastAsia="zh-CN"/>
              </w:rPr>
              <w:t>k</w:t>
            </w:r>
            <w:r>
              <w:rPr>
                <w:rFonts w:hint="eastAsia"/>
                <w:bCs/>
                <w:color w:val="auto"/>
                <w:sz w:val="24"/>
              </w:rPr>
              <w:t>Wh/a。项目主要产品方案见表2</w:t>
            </w:r>
            <w:r>
              <w:rPr>
                <w:rFonts w:hint="eastAsia"/>
                <w:bCs/>
                <w:color w:val="auto"/>
                <w:sz w:val="24"/>
                <w:lang w:val="en-US" w:eastAsia="zh-CN"/>
              </w:rPr>
              <w:t>-5。</w:t>
            </w:r>
          </w:p>
          <w:p w14:paraId="26D0C0E5">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项目主要产品方案表</w:t>
            </w:r>
          </w:p>
          <w:tbl>
            <w:tblPr>
              <w:tblStyle w:val="22"/>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80"/>
              <w:gridCol w:w="1254"/>
              <w:gridCol w:w="1555"/>
              <w:gridCol w:w="3152"/>
            </w:tblGrid>
            <w:tr w14:paraId="3EC0BA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1" w:type="dxa"/>
                  <w:vAlign w:val="top"/>
                </w:tcPr>
                <w:p w14:paraId="4FD74EC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序号</w:t>
                  </w:r>
                </w:p>
              </w:tc>
              <w:tc>
                <w:tcPr>
                  <w:tcW w:w="1580" w:type="dxa"/>
                  <w:vAlign w:val="center"/>
                </w:tcPr>
                <w:p w14:paraId="71958E9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color w:val="auto"/>
                      <w:kern w:val="0"/>
                      <w:sz w:val="21"/>
                      <w:szCs w:val="21"/>
                      <w:highlight w:val="none"/>
                    </w:rPr>
                    <w:t>名称</w:t>
                  </w:r>
                </w:p>
              </w:tc>
              <w:tc>
                <w:tcPr>
                  <w:tcW w:w="1254" w:type="dxa"/>
                  <w:vAlign w:val="center"/>
                </w:tcPr>
                <w:p w14:paraId="1CA53F2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单位</w:t>
                  </w:r>
                </w:p>
              </w:tc>
              <w:tc>
                <w:tcPr>
                  <w:tcW w:w="1555" w:type="dxa"/>
                  <w:vAlign w:val="center"/>
                </w:tcPr>
                <w:p w14:paraId="30D188A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数量</w:t>
                  </w:r>
                </w:p>
              </w:tc>
              <w:tc>
                <w:tcPr>
                  <w:tcW w:w="3152" w:type="dxa"/>
                  <w:vAlign w:val="center"/>
                </w:tcPr>
                <w:p w14:paraId="75A6030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备注</w:t>
                  </w:r>
                </w:p>
              </w:tc>
            </w:tr>
            <w:tr w14:paraId="10E360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1" w:type="dxa"/>
                  <w:vAlign w:val="center"/>
                </w:tcPr>
                <w:p w14:paraId="49B8B3E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1</w:t>
                  </w:r>
                </w:p>
              </w:tc>
              <w:tc>
                <w:tcPr>
                  <w:tcW w:w="1580" w:type="dxa"/>
                  <w:vAlign w:val="center"/>
                </w:tcPr>
                <w:p w14:paraId="2CE404DA">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生物质炭</w:t>
                  </w:r>
                </w:p>
              </w:tc>
              <w:tc>
                <w:tcPr>
                  <w:tcW w:w="1254" w:type="dxa"/>
                  <w:vAlign w:val="center"/>
                </w:tcPr>
                <w:p w14:paraId="3E33D8C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t/a</w:t>
                  </w:r>
                </w:p>
              </w:tc>
              <w:tc>
                <w:tcPr>
                  <w:tcW w:w="1555" w:type="dxa"/>
                  <w:vAlign w:val="center"/>
                </w:tcPr>
                <w:p w14:paraId="66D6925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64800</w:t>
                  </w:r>
                </w:p>
              </w:tc>
              <w:tc>
                <w:tcPr>
                  <w:tcW w:w="3152" w:type="dxa"/>
                  <w:vAlign w:val="center"/>
                </w:tcPr>
                <w:p w14:paraId="1B66A30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满足</w:t>
                  </w:r>
                  <w:r>
                    <w:rPr>
                      <w:rFonts w:hint="eastAsia" w:cs="Times New Roman"/>
                      <w:color w:val="auto"/>
                      <w:kern w:val="0"/>
                      <w:sz w:val="21"/>
                      <w:szCs w:val="21"/>
                      <w:highlight w:val="none"/>
                      <w:lang w:val="en-US" w:eastAsia="zh-CN"/>
                    </w:rPr>
                    <w:t>LY/T1973-2011</w:t>
                  </w:r>
                </w:p>
              </w:tc>
            </w:tr>
            <w:tr w14:paraId="53B0D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1" w:type="dxa"/>
                  <w:vAlign w:val="center"/>
                </w:tcPr>
                <w:p w14:paraId="545E0B9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2</w:t>
                  </w:r>
                </w:p>
              </w:tc>
              <w:tc>
                <w:tcPr>
                  <w:tcW w:w="1580" w:type="dxa"/>
                  <w:vAlign w:val="center"/>
                </w:tcPr>
                <w:p w14:paraId="0BBD3F6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电能</w:t>
                  </w:r>
                </w:p>
              </w:tc>
              <w:tc>
                <w:tcPr>
                  <w:tcW w:w="1254" w:type="dxa"/>
                  <w:vAlign w:val="center"/>
                </w:tcPr>
                <w:p w14:paraId="477762A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eastAsia="等线" w:cs="Times New Roman"/>
                      <w:color w:val="auto"/>
                      <w:kern w:val="0"/>
                      <w:sz w:val="21"/>
                      <w:szCs w:val="21"/>
                      <w:highlight w:val="none"/>
                      <w:vertAlign w:val="baseline"/>
                      <w:lang w:val="en-US" w:eastAsia="zh-CN"/>
                    </w:rPr>
                    <w:t>KWh/a</w:t>
                  </w:r>
                </w:p>
              </w:tc>
              <w:tc>
                <w:tcPr>
                  <w:tcW w:w="1555" w:type="dxa"/>
                  <w:vAlign w:val="center"/>
                </w:tcPr>
                <w:p w14:paraId="781F8BB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7200万</w:t>
                  </w:r>
                </w:p>
              </w:tc>
              <w:tc>
                <w:tcPr>
                  <w:tcW w:w="3152" w:type="dxa"/>
                  <w:vAlign w:val="center"/>
                </w:tcPr>
                <w:p w14:paraId="28689DD9">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eastAsia="zh-CN"/>
                    </w:rPr>
                    <w:t>其中</w:t>
                  </w:r>
                  <w:r>
                    <w:rPr>
                      <w:rFonts w:hint="eastAsia" w:cs="Times New Roman"/>
                      <w:color w:val="auto"/>
                      <w:kern w:val="0"/>
                      <w:sz w:val="21"/>
                      <w:szCs w:val="21"/>
                      <w:highlight w:val="none"/>
                      <w:lang w:val="en-US" w:eastAsia="zh-CN"/>
                    </w:rPr>
                    <w:t>5400万KWh/a供给电网</w:t>
                  </w:r>
                </w:p>
                <w:p w14:paraId="6BB88EF4">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1800万KWh/a自用</w:t>
                  </w:r>
                </w:p>
              </w:tc>
            </w:tr>
          </w:tbl>
          <w:p w14:paraId="4D78B155">
            <w:pPr>
              <w:adjustRightInd w:val="0"/>
              <w:snapToGrid w:val="0"/>
              <w:spacing w:line="360" w:lineRule="auto"/>
              <w:ind w:firstLine="480" w:firstLineChars="200"/>
              <w:rPr>
                <w:rFonts w:hint="eastAsia"/>
                <w:bCs/>
                <w:color w:val="auto"/>
                <w:sz w:val="24"/>
              </w:rPr>
            </w:pPr>
            <w:r>
              <w:rPr>
                <w:rFonts w:hint="eastAsia"/>
                <w:bCs/>
                <w:color w:val="auto"/>
                <w:sz w:val="24"/>
              </w:rPr>
              <w:t>项目生物质炭质量执行《生物质棒状成型炭》（LY/T1973-2011）中二级标准，具体要求见表</w:t>
            </w:r>
            <w:r>
              <w:rPr>
                <w:rFonts w:hint="eastAsia"/>
                <w:bCs/>
                <w:color w:val="auto"/>
                <w:sz w:val="24"/>
                <w:lang w:val="en-US" w:eastAsia="zh-CN"/>
              </w:rPr>
              <w:t>2-6</w:t>
            </w:r>
            <w:r>
              <w:rPr>
                <w:rFonts w:hint="eastAsia"/>
                <w:bCs/>
                <w:color w:val="auto"/>
                <w:sz w:val="24"/>
              </w:rPr>
              <w:t>。</w:t>
            </w:r>
          </w:p>
          <w:p w14:paraId="27A9DC32">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2-6</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生物质炭质量指标</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4"/>
            </w:tblGrid>
            <w:tr w14:paraId="44066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495737B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指标</w:t>
                  </w:r>
                </w:p>
              </w:tc>
              <w:tc>
                <w:tcPr>
                  <w:tcW w:w="4174" w:type="dxa"/>
                  <w:vAlign w:val="center"/>
                </w:tcPr>
                <w:p w14:paraId="2C0D6641">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参数</w:t>
                  </w:r>
                </w:p>
              </w:tc>
            </w:tr>
            <w:tr w14:paraId="154DB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5D1F4E3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水分/%</w:t>
                  </w:r>
                </w:p>
              </w:tc>
              <w:tc>
                <w:tcPr>
                  <w:tcW w:w="4174" w:type="dxa"/>
                  <w:vAlign w:val="center"/>
                </w:tcPr>
                <w:p w14:paraId="0C4E1BA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≤12</w:t>
                  </w:r>
                </w:p>
              </w:tc>
            </w:tr>
            <w:tr w14:paraId="21E9C4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2D906F8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灰分/%</w:t>
                  </w:r>
                </w:p>
              </w:tc>
              <w:tc>
                <w:tcPr>
                  <w:tcW w:w="4174" w:type="dxa"/>
                  <w:vAlign w:val="center"/>
                </w:tcPr>
                <w:p w14:paraId="4E90F35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≤15</w:t>
                  </w:r>
                </w:p>
              </w:tc>
            </w:tr>
            <w:tr w14:paraId="1AA350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1656F57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挥发分/%</w:t>
                  </w:r>
                </w:p>
              </w:tc>
              <w:tc>
                <w:tcPr>
                  <w:tcW w:w="4174" w:type="dxa"/>
                  <w:vAlign w:val="center"/>
                </w:tcPr>
                <w:p w14:paraId="02FCEA2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20</w:t>
                  </w:r>
                </w:p>
              </w:tc>
            </w:tr>
            <w:tr w14:paraId="17D198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5857BF2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固定碳/%</w:t>
                  </w:r>
                </w:p>
              </w:tc>
              <w:tc>
                <w:tcPr>
                  <w:tcW w:w="4174" w:type="dxa"/>
                  <w:vAlign w:val="center"/>
                </w:tcPr>
                <w:p w14:paraId="0CC7A73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65</w:t>
                  </w:r>
                </w:p>
              </w:tc>
            </w:tr>
            <w:tr w14:paraId="1A892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3A3B7D8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容积重/（g/cm</w:t>
                  </w:r>
                  <w:r>
                    <w:rPr>
                      <w:rFonts w:hint="eastAsia" w:ascii="Times New Roman" w:hAnsi="Times New Roman" w:cs="Times New Roman"/>
                      <w:color w:val="auto"/>
                      <w:kern w:val="0"/>
                      <w:sz w:val="21"/>
                      <w:szCs w:val="21"/>
                      <w:highlight w:val="none"/>
                      <w:vertAlign w:val="superscript"/>
                      <w:lang w:val="en-US" w:eastAsia="zh-CN"/>
                    </w:rPr>
                    <w:t>3</w:t>
                  </w:r>
                  <w:r>
                    <w:rPr>
                      <w:rFonts w:hint="eastAsia" w:ascii="Times New Roman" w:hAnsi="Times New Roman" w:cs="Times New Roman"/>
                      <w:color w:val="auto"/>
                      <w:kern w:val="0"/>
                      <w:sz w:val="21"/>
                      <w:szCs w:val="21"/>
                      <w:highlight w:val="none"/>
                      <w:lang w:val="en-US" w:eastAsia="zh-CN"/>
                    </w:rPr>
                    <w:t>）</w:t>
                  </w:r>
                </w:p>
              </w:tc>
              <w:tc>
                <w:tcPr>
                  <w:tcW w:w="4174" w:type="dxa"/>
                  <w:vAlign w:val="center"/>
                </w:tcPr>
                <w:p w14:paraId="3FBDA19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0.8</w:t>
                  </w:r>
                </w:p>
              </w:tc>
            </w:tr>
            <w:tr w14:paraId="22A20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098288A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含硫率/%</w:t>
                  </w:r>
                </w:p>
              </w:tc>
              <w:tc>
                <w:tcPr>
                  <w:tcW w:w="4174" w:type="dxa"/>
                  <w:vAlign w:val="center"/>
                </w:tcPr>
                <w:p w14:paraId="4C36736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0.32（厂内标准）</w:t>
                  </w:r>
                </w:p>
              </w:tc>
            </w:tr>
            <w:tr w14:paraId="1B77B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3127D49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表面状况</w:t>
                  </w:r>
                </w:p>
              </w:tc>
              <w:tc>
                <w:tcPr>
                  <w:tcW w:w="4174" w:type="dxa"/>
                  <w:vAlign w:val="center"/>
                </w:tcPr>
                <w:p w14:paraId="7C90E37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裂纹少</w:t>
                  </w:r>
                </w:p>
              </w:tc>
            </w:tr>
            <w:tr w14:paraId="2B505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8" w:type="dxa"/>
                  <w:vAlign w:val="center"/>
                </w:tcPr>
                <w:p w14:paraId="75E9C76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其他</w:t>
                  </w:r>
                </w:p>
              </w:tc>
              <w:tc>
                <w:tcPr>
                  <w:tcW w:w="4174" w:type="dxa"/>
                  <w:vAlign w:val="center"/>
                </w:tcPr>
                <w:p w14:paraId="177CBE2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燃烧时没有臭味</w:t>
                  </w:r>
                </w:p>
              </w:tc>
            </w:tr>
          </w:tbl>
          <w:p w14:paraId="2063FD83">
            <w:pPr>
              <w:adjustRightInd w:val="0"/>
              <w:snapToGrid w:val="0"/>
              <w:spacing w:line="360" w:lineRule="auto"/>
              <w:ind w:firstLine="482" w:firstLineChars="200"/>
              <w:rPr>
                <w:rFonts w:hint="eastAsia"/>
                <w:b/>
                <w:bCs/>
                <w:color w:val="auto"/>
                <w:sz w:val="24"/>
                <w:lang w:eastAsia="zh-CN"/>
              </w:rPr>
            </w:pPr>
          </w:p>
          <w:p w14:paraId="765BDEE0">
            <w:pPr>
              <w:adjustRightInd w:val="0"/>
              <w:snapToGrid w:val="0"/>
              <w:spacing w:line="360" w:lineRule="auto"/>
              <w:ind w:firstLine="482" w:firstLineChars="200"/>
              <w:rPr>
                <w:b/>
                <w:bCs/>
                <w:color w:val="auto"/>
                <w:sz w:val="24"/>
              </w:rPr>
            </w:pPr>
            <w:r>
              <w:rPr>
                <w:rFonts w:hint="eastAsia"/>
                <w:b/>
                <w:bCs/>
                <w:color w:val="auto"/>
                <w:sz w:val="24"/>
                <w:lang w:eastAsia="zh-CN"/>
              </w:rPr>
              <w:t>四</w:t>
            </w:r>
            <w:r>
              <w:rPr>
                <w:rFonts w:hint="eastAsia"/>
                <w:b/>
                <w:bCs/>
                <w:color w:val="auto"/>
                <w:sz w:val="24"/>
              </w:rPr>
              <w:t>、主要生产设备</w:t>
            </w:r>
          </w:p>
          <w:p w14:paraId="241F3D95">
            <w:pPr>
              <w:adjustRightInd w:val="0"/>
              <w:snapToGrid w:val="0"/>
              <w:spacing w:line="360" w:lineRule="auto"/>
              <w:ind w:firstLine="480" w:firstLineChars="200"/>
              <w:rPr>
                <w:rFonts w:hint="eastAsia"/>
                <w:bCs/>
                <w:color w:val="auto"/>
                <w:sz w:val="24"/>
                <w:lang w:val="en-US" w:eastAsia="zh-CN"/>
              </w:rPr>
            </w:pPr>
            <w:r>
              <w:rPr>
                <w:rFonts w:hint="eastAsia"/>
                <w:bCs/>
                <w:color w:val="auto"/>
                <w:sz w:val="24"/>
              </w:rPr>
              <w:t>项目主要生产设备详见表2-</w:t>
            </w:r>
            <w:r>
              <w:rPr>
                <w:rFonts w:hint="eastAsia"/>
                <w:bCs/>
                <w:color w:val="auto"/>
                <w:sz w:val="24"/>
                <w:lang w:val="en-US" w:eastAsia="zh-CN"/>
              </w:rPr>
              <w:t>7。</w:t>
            </w:r>
          </w:p>
          <w:p w14:paraId="55513C98">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120" w:beforeAutospacing="0" w:afterAutospacing="0" w:line="240" w:lineRule="auto"/>
              <w:ind w:left="0" w:leftChars="0" w:right="0" w:rightChars="0" w:firstLine="525" w:firstLineChars="250"/>
              <w:jc w:val="both"/>
              <w:textAlignment w:val="auto"/>
              <w:outlineLvl w:val="9"/>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2-7</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主要生产和辅助设备</w:t>
            </w:r>
            <w:r>
              <w:rPr>
                <w:rFonts w:hint="eastAsia" w:ascii="Times New Roman" w:hAnsi="Times New Roman"/>
                <w:color w:val="auto"/>
                <w:highlight w:val="none"/>
                <w:lang w:eastAsia="zh-CN"/>
              </w:rPr>
              <w:t>一览表</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25"/>
              <w:gridCol w:w="1873"/>
              <w:gridCol w:w="2713"/>
              <w:gridCol w:w="1"/>
              <w:gridCol w:w="862"/>
              <w:gridCol w:w="1"/>
              <w:gridCol w:w="1"/>
              <w:gridCol w:w="880"/>
            </w:tblGrid>
            <w:tr w14:paraId="677F2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62B54E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序号</w:t>
                  </w:r>
                </w:p>
              </w:tc>
              <w:tc>
                <w:tcPr>
                  <w:tcW w:w="1225" w:type="dxa"/>
                  <w:shd w:val="clear" w:color="auto" w:fill="auto"/>
                  <w:vAlign w:val="center"/>
                </w:tcPr>
                <w:p w14:paraId="6FB6A0A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项目内容</w:t>
                  </w:r>
                </w:p>
              </w:tc>
              <w:tc>
                <w:tcPr>
                  <w:tcW w:w="1873" w:type="dxa"/>
                  <w:shd w:val="clear" w:color="auto" w:fill="auto"/>
                  <w:vAlign w:val="center"/>
                </w:tcPr>
                <w:p w14:paraId="5D230AE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分项内容</w:t>
                  </w:r>
                </w:p>
              </w:tc>
              <w:tc>
                <w:tcPr>
                  <w:tcW w:w="2714" w:type="dxa"/>
                  <w:gridSpan w:val="2"/>
                  <w:shd w:val="clear" w:color="auto" w:fill="auto"/>
                  <w:vAlign w:val="center"/>
                </w:tcPr>
                <w:p w14:paraId="1DADDF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规格/型号</w:t>
                  </w:r>
                </w:p>
              </w:tc>
              <w:tc>
                <w:tcPr>
                  <w:tcW w:w="864" w:type="dxa"/>
                  <w:gridSpan w:val="3"/>
                  <w:shd w:val="clear" w:color="auto" w:fill="auto"/>
                  <w:vAlign w:val="center"/>
                </w:tcPr>
                <w:p w14:paraId="5FCB502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数量</w:t>
                  </w:r>
                </w:p>
              </w:tc>
              <w:tc>
                <w:tcPr>
                  <w:tcW w:w="880" w:type="dxa"/>
                  <w:shd w:val="clear" w:color="auto" w:fill="auto"/>
                  <w:vAlign w:val="center"/>
                </w:tcPr>
                <w:p w14:paraId="6D19AB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备注</w:t>
                  </w:r>
                </w:p>
              </w:tc>
            </w:tr>
            <w:tr w14:paraId="4A0C1D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auto" w:fill="auto"/>
                  <w:vAlign w:val="center"/>
                </w:tcPr>
                <w:p w14:paraId="7988A3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rPr>
                  </w:pPr>
                  <w:r>
                    <w:rPr>
                      <w:rFonts w:hint="eastAsia"/>
                      <w:color w:val="auto"/>
                      <w:sz w:val="21"/>
                      <w:szCs w:val="21"/>
                      <w:highlight w:val="none"/>
                    </w:rPr>
                    <w:t>一、</w:t>
                  </w:r>
                  <w:r>
                    <w:rPr>
                      <w:rFonts w:hint="eastAsia"/>
                      <w:color w:val="auto"/>
                      <w:sz w:val="21"/>
                      <w:szCs w:val="21"/>
                      <w:highlight w:val="none"/>
                      <w:lang w:eastAsia="zh-CN"/>
                    </w:rPr>
                    <w:t>上料系统</w:t>
                  </w:r>
                </w:p>
              </w:tc>
            </w:tr>
            <w:tr w14:paraId="6C7873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3ECC9A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101</w:t>
                  </w:r>
                </w:p>
              </w:tc>
              <w:tc>
                <w:tcPr>
                  <w:tcW w:w="1225" w:type="dxa"/>
                  <w:vMerge w:val="restart"/>
                  <w:shd w:val="clear" w:color="auto" w:fill="auto"/>
                  <w:vAlign w:val="center"/>
                </w:tcPr>
                <w:p w14:paraId="093568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eastAsia="zh-CN"/>
                    </w:rPr>
                    <w:t>上料车间</w:t>
                  </w:r>
                  <w:r>
                    <w:rPr>
                      <w:rFonts w:hint="eastAsia"/>
                      <w:color w:val="auto"/>
                      <w:sz w:val="21"/>
                      <w:szCs w:val="21"/>
                      <w:highlight w:val="none"/>
                      <w:lang w:val="en-US" w:eastAsia="zh-CN"/>
                    </w:rPr>
                    <w:t>1#、2#</w:t>
                  </w:r>
                </w:p>
              </w:tc>
              <w:tc>
                <w:tcPr>
                  <w:tcW w:w="1873" w:type="dxa"/>
                  <w:shd w:val="clear" w:color="auto" w:fill="auto"/>
                  <w:vAlign w:val="center"/>
                </w:tcPr>
                <w:p w14:paraId="267EB0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活化给料斗</w:t>
                  </w:r>
                </w:p>
              </w:tc>
              <w:tc>
                <w:tcPr>
                  <w:tcW w:w="2714" w:type="dxa"/>
                  <w:gridSpan w:val="2"/>
                  <w:shd w:val="clear" w:color="auto" w:fill="auto"/>
                  <w:vAlign w:val="center"/>
                </w:tcPr>
                <w:p w14:paraId="54A65F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30t/h</w:t>
                  </w:r>
                </w:p>
              </w:tc>
              <w:tc>
                <w:tcPr>
                  <w:tcW w:w="864" w:type="dxa"/>
                  <w:gridSpan w:val="3"/>
                  <w:shd w:val="clear" w:color="auto" w:fill="auto"/>
                  <w:vAlign w:val="center"/>
                </w:tcPr>
                <w:p w14:paraId="0781A8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14:paraId="512344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03A25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2BA38AA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102</w:t>
                  </w:r>
                </w:p>
              </w:tc>
              <w:tc>
                <w:tcPr>
                  <w:tcW w:w="1225" w:type="dxa"/>
                  <w:vMerge w:val="continue"/>
                  <w:vAlign w:val="center"/>
                </w:tcPr>
                <w:p w14:paraId="4FA3EF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14:paraId="0255DE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皮带输送机</w:t>
                  </w:r>
                </w:p>
              </w:tc>
              <w:tc>
                <w:tcPr>
                  <w:tcW w:w="2714" w:type="dxa"/>
                  <w:gridSpan w:val="2"/>
                  <w:shd w:val="clear" w:color="auto" w:fill="auto"/>
                  <w:vAlign w:val="center"/>
                </w:tcPr>
                <w:p w14:paraId="749230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DSJ</w:t>
                  </w:r>
                </w:p>
              </w:tc>
              <w:tc>
                <w:tcPr>
                  <w:tcW w:w="864" w:type="dxa"/>
                  <w:gridSpan w:val="3"/>
                  <w:shd w:val="clear" w:color="auto" w:fill="auto"/>
                  <w:vAlign w:val="center"/>
                </w:tcPr>
                <w:p w14:paraId="66440C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20</w:t>
                  </w:r>
                </w:p>
              </w:tc>
              <w:tc>
                <w:tcPr>
                  <w:tcW w:w="880" w:type="dxa"/>
                  <w:shd w:val="clear" w:color="auto" w:fill="auto"/>
                  <w:vAlign w:val="center"/>
                </w:tcPr>
                <w:p w14:paraId="6F5F21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702AF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0612CD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103</w:t>
                  </w:r>
                </w:p>
              </w:tc>
              <w:tc>
                <w:tcPr>
                  <w:tcW w:w="1225" w:type="dxa"/>
                  <w:vMerge w:val="continue"/>
                  <w:vAlign w:val="center"/>
                </w:tcPr>
                <w:p w14:paraId="6BDC789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14:paraId="464F83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除铁器</w:t>
                  </w:r>
                </w:p>
              </w:tc>
              <w:tc>
                <w:tcPr>
                  <w:tcW w:w="2714" w:type="dxa"/>
                  <w:gridSpan w:val="2"/>
                  <w:shd w:val="clear" w:color="auto" w:fill="auto"/>
                  <w:vAlign w:val="center"/>
                </w:tcPr>
                <w:p w14:paraId="4137A5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RCDB</w:t>
                  </w:r>
                </w:p>
              </w:tc>
              <w:tc>
                <w:tcPr>
                  <w:tcW w:w="864" w:type="dxa"/>
                  <w:gridSpan w:val="3"/>
                  <w:shd w:val="clear" w:color="auto" w:fill="auto"/>
                  <w:vAlign w:val="center"/>
                </w:tcPr>
                <w:p w14:paraId="648546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14:paraId="5081717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电磁</w:t>
                  </w:r>
                </w:p>
              </w:tc>
            </w:tr>
            <w:tr w14:paraId="5ED1D7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7A28E01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104</w:t>
                  </w:r>
                </w:p>
              </w:tc>
              <w:tc>
                <w:tcPr>
                  <w:tcW w:w="1225" w:type="dxa"/>
                  <w:vMerge w:val="continue"/>
                  <w:vAlign w:val="center"/>
                </w:tcPr>
                <w:p w14:paraId="2F9FC5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14:paraId="68F498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单侧犁料器</w:t>
                  </w:r>
                </w:p>
              </w:tc>
              <w:tc>
                <w:tcPr>
                  <w:tcW w:w="2714" w:type="dxa"/>
                  <w:gridSpan w:val="2"/>
                  <w:shd w:val="clear" w:color="auto" w:fill="auto"/>
                  <w:vAlign w:val="center"/>
                </w:tcPr>
                <w:p w14:paraId="40577EE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XLS（D）</w:t>
                  </w:r>
                </w:p>
              </w:tc>
              <w:tc>
                <w:tcPr>
                  <w:tcW w:w="864" w:type="dxa"/>
                  <w:gridSpan w:val="3"/>
                  <w:shd w:val="clear" w:color="auto" w:fill="auto"/>
                  <w:vAlign w:val="center"/>
                </w:tcPr>
                <w:p w14:paraId="236DFE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14:paraId="42B4CD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540F5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4932F4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105</w:t>
                  </w:r>
                </w:p>
              </w:tc>
              <w:tc>
                <w:tcPr>
                  <w:tcW w:w="1225" w:type="dxa"/>
                  <w:vMerge w:val="continue"/>
                  <w:vAlign w:val="center"/>
                </w:tcPr>
                <w:p w14:paraId="288579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14:paraId="685FBC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螺旋输送机</w:t>
                  </w:r>
                </w:p>
              </w:tc>
              <w:tc>
                <w:tcPr>
                  <w:tcW w:w="2714" w:type="dxa"/>
                  <w:gridSpan w:val="2"/>
                  <w:shd w:val="clear" w:color="auto" w:fill="auto"/>
                  <w:vAlign w:val="center"/>
                </w:tcPr>
                <w:p w14:paraId="68FD5E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WLS500</w:t>
                  </w:r>
                </w:p>
              </w:tc>
              <w:tc>
                <w:tcPr>
                  <w:tcW w:w="864" w:type="dxa"/>
                  <w:gridSpan w:val="3"/>
                  <w:shd w:val="clear" w:color="auto" w:fill="auto"/>
                  <w:vAlign w:val="center"/>
                </w:tcPr>
                <w:p w14:paraId="658C7A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14:paraId="02BA029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45F8C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54D775A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106</w:t>
                  </w:r>
                </w:p>
              </w:tc>
              <w:tc>
                <w:tcPr>
                  <w:tcW w:w="1225" w:type="dxa"/>
                  <w:vMerge w:val="continue"/>
                  <w:vAlign w:val="center"/>
                </w:tcPr>
                <w:p w14:paraId="4A4662C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14:paraId="00A242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滤筒式除尘器</w:t>
                  </w:r>
                </w:p>
              </w:tc>
              <w:tc>
                <w:tcPr>
                  <w:tcW w:w="2714" w:type="dxa"/>
                  <w:gridSpan w:val="2"/>
                  <w:shd w:val="clear" w:color="auto" w:fill="auto"/>
                  <w:vAlign w:val="center"/>
                </w:tcPr>
                <w:p w14:paraId="69F69A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auto" w:fill="auto"/>
                  <w:vAlign w:val="center"/>
                </w:tcPr>
                <w:p w14:paraId="5AE73E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14:paraId="065819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自带</w:t>
                  </w:r>
                </w:p>
              </w:tc>
            </w:tr>
            <w:tr w14:paraId="5A14E7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auto" w:fill="auto"/>
                  <w:vAlign w:val="center"/>
                </w:tcPr>
                <w:p w14:paraId="56D1D3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二</w:t>
                  </w:r>
                  <w:r>
                    <w:rPr>
                      <w:rFonts w:hint="eastAsia"/>
                      <w:color w:val="auto"/>
                      <w:sz w:val="21"/>
                      <w:szCs w:val="21"/>
                      <w:highlight w:val="none"/>
                    </w:rPr>
                    <w:t>、</w:t>
                  </w:r>
                  <w:r>
                    <w:rPr>
                      <w:rFonts w:hint="eastAsia"/>
                      <w:color w:val="auto"/>
                      <w:sz w:val="21"/>
                      <w:szCs w:val="21"/>
                      <w:highlight w:val="none"/>
                      <w:lang w:eastAsia="zh-CN"/>
                    </w:rPr>
                    <w:t>炭化系统</w:t>
                  </w:r>
                </w:p>
              </w:tc>
            </w:tr>
            <w:tr w14:paraId="43A8D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3D5B4D2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201</w:t>
                  </w:r>
                </w:p>
              </w:tc>
              <w:tc>
                <w:tcPr>
                  <w:tcW w:w="1225" w:type="dxa"/>
                  <w:vMerge w:val="restart"/>
                  <w:shd w:val="clear" w:color="000000" w:fill="FFFFFF"/>
                  <w:vAlign w:val="center"/>
                </w:tcPr>
                <w:p w14:paraId="48EDE2F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炭化车间</w:t>
                  </w:r>
                </w:p>
              </w:tc>
              <w:tc>
                <w:tcPr>
                  <w:tcW w:w="1873" w:type="dxa"/>
                  <w:shd w:val="clear" w:color="000000" w:fill="FFFFFF"/>
                  <w:vAlign w:val="center"/>
                </w:tcPr>
                <w:p w14:paraId="7D4CD2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卧式旋芯炭化炉</w:t>
                  </w:r>
                </w:p>
              </w:tc>
              <w:tc>
                <w:tcPr>
                  <w:tcW w:w="2713" w:type="dxa"/>
                  <w:shd w:val="clear" w:color="000000" w:fill="FFFFFF"/>
                  <w:vAlign w:val="center"/>
                </w:tcPr>
                <w:p w14:paraId="452C69E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15t/h</w:t>
                  </w:r>
                </w:p>
              </w:tc>
              <w:tc>
                <w:tcPr>
                  <w:tcW w:w="864" w:type="dxa"/>
                  <w:gridSpan w:val="3"/>
                  <w:shd w:val="clear" w:color="000000" w:fill="FFFFFF"/>
                  <w:vAlign w:val="center"/>
                </w:tcPr>
                <w:p w14:paraId="66DD147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20</w:t>
                  </w:r>
                </w:p>
              </w:tc>
              <w:tc>
                <w:tcPr>
                  <w:tcW w:w="881" w:type="dxa"/>
                  <w:gridSpan w:val="2"/>
                  <w:shd w:val="clear" w:color="000000" w:fill="FFFFFF"/>
                  <w:vAlign w:val="center"/>
                </w:tcPr>
                <w:p w14:paraId="78B2B8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4D8DA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202469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202</w:t>
                  </w:r>
                </w:p>
              </w:tc>
              <w:tc>
                <w:tcPr>
                  <w:tcW w:w="1225" w:type="dxa"/>
                  <w:vMerge w:val="continue"/>
                  <w:vAlign w:val="center"/>
                </w:tcPr>
                <w:p w14:paraId="0B83482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AE2B5A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增压风机</w:t>
                  </w:r>
                </w:p>
              </w:tc>
              <w:tc>
                <w:tcPr>
                  <w:tcW w:w="2713" w:type="dxa"/>
                  <w:shd w:val="clear" w:color="000000" w:fill="FFFFFF"/>
                  <w:vAlign w:val="center"/>
                </w:tcPr>
                <w:p w14:paraId="797E45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35KW</w:t>
                  </w:r>
                </w:p>
              </w:tc>
              <w:tc>
                <w:tcPr>
                  <w:tcW w:w="864" w:type="dxa"/>
                  <w:gridSpan w:val="3"/>
                  <w:shd w:val="clear" w:color="000000" w:fill="FFFFFF"/>
                  <w:vAlign w:val="center"/>
                </w:tcPr>
                <w:p w14:paraId="78C997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20</w:t>
                  </w:r>
                </w:p>
              </w:tc>
              <w:tc>
                <w:tcPr>
                  <w:tcW w:w="881" w:type="dxa"/>
                  <w:gridSpan w:val="2"/>
                  <w:shd w:val="clear" w:color="000000" w:fill="FFFFFF"/>
                  <w:vAlign w:val="center"/>
                </w:tcPr>
                <w:p w14:paraId="507321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09B96B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000000" w:fill="FFFFFF"/>
                  <w:vAlign w:val="center"/>
                </w:tcPr>
                <w:p w14:paraId="5614359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eastAsia="zh-CN"/>
                    </w:rPr>
                    <w:t>三</w:t>
                  </w:r>
                  <w:r>
                    <w:rPr>
                      <w:rFonts w:hint="eastAsia"/>
                      <w:color w:val="auto"/>
                      <w:sz w:val="21"/>
                      <w:szCs w:val="21"/>
                      <w:highlight w:val="none"/>
                    </w:rPr>
                    <w:t>、</w:t>
                  </w:r>
                  <w:r>
                    <w:rPr>
                      <w:rFonts w:hint="eastAsia"/>
                      <w:color w:val="auto"/>
                      <w:sz w:val="21"/>
                      <w:szCs w:val="21"/>
                      <w:highlight w:val="none"/>
                      <w:lang w:eastAsia="zh-CN"/>
                    </w:rPr>
                    <w:t>出炭系统</w:t>
                  </w:r>
                </w:p>
              </w:tc>
            </w:tr>
            <w:tr w14:paraId="44B427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42D6AC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301</w:t>
                  </w:r>
                </w:p>
              </w:tc>
              <w:tc>
                <w:tcPr>
                  <w:tcW w:w="1225" w:type="dxa"/>
                  <w:vMerge w:val="restart"/>
                  <w:shd w:val="clear" w:color="000000" w:fill="FFFFFF"/>
                  <w:vAlign w:val="center"/>
                </w:tcPr>
                <w:p w14:paraId="09DF12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炭化车间</w:t>
                  </w:r>
                </w:p>
              </w:tc>
              <w:tc>
                <w:tcPr>
                  <w:tcW w:w="1873" w:type="dxa"/>
                  <w:shd w:val="clear" w:color="000000" w:fill="FFFFFF"/>
                  <w:vAlign w:val="center"/>
                </w:tcPr>
                <w:p w14:paraId="71ED76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储炭箱</w:t>
                  </w:r>
                </w:p>
              </w:tc>
              <w:tc>
                <w:tcPr>
                  <w:tcW w:w="2713" w:type="dxa"/>
                  <w:shd w:val="clear" w:color="000000" w:fill="FFFFFF"/>
                  <w:vAlign w:val="center"/>
                </w:tcPr>
                <w:p w14:paraId="61F335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3000*2000*1000mm</w:t>
                  </w:r>
                </w:p>
              </w:tc>
              <w:tc>
                <w:tcPr>
                  <w:tcW w:w="864" w:type="dxa"/>
                  <w:gridSpan w:val="3"/>
                  <w:shd w:val="clear" w:color="000000" w:fill="FFFFFF"/>
                  <w:vAlign w:val="center"/>
                </w:tcPr>
                <w:p w14:paraId="5CDBE3A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w:t>
                  </w:r>
                </w:p>
              </w:tc>
              <w:tc>
                <w:tcPr>
                  <w:tcW w:w="881" w:type="dxa"/>
                  <w:gridSpan w:val="2"/>
                  <w:shd w:val="clear" w:color="000000" w:fill="FFFFFF"/>
                  <w:vAlign w:val="center"/>
                </w:tcPr>
                <w:p w14:paraId="02E234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57E7CB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7D1934C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302</w:t>
                  </w:r>
                </w:p>
              </w:tc>
              <w:tc>
                <w:tcPr>
                  <w:tcW w:w="1225" w:type="dxa"/>
                  <w:vMerge w:val="continue"/>
                  <w:shd w:val="clear" w:color="000000" w:fill="FFFFFF"/>
                  <w:vAlign w:val="center"/>
                </w:tcPr>
                <w:p w14:paraId="439FEFB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5826C6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螺旋输送机</w:t>
                  </w:r>
                </w:p>
              </w:tc>
              <w:tc>
                <w:tcPr>
                  <w:tcW w:w="2713" w:type="dxa"/>
                  <w:shd w:val="clear" w:color="000000" w:fill="FFFFFF"/>
                  <w:vAlign w:val="center"/>
                </w:tcPr>
                <w:p w14:paraId="5F0F9B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WLS500</w:t>
                  </w:r>
                </w:p>
              </w:tc>
              <w:tc>
                <w:tcPr>
                  <w:tcW w:w="864" w:type="dxa"/>
                  <w:gridSpan w:val="3"/>
                  <w:shd w:val="clear" w:color="000000" w:fill="FFFFFF"/>
                  <w:vAlign w:val="center"/>
                </w:tcPr>
                <w:p w14:paraId="0DF00CA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14:paraId="1ED978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BD80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D67604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303</w:t>
                  </w:r>
                </w:p>
              </w:tc>
              <w:tc>
                <w:tcPr>
                  <w:tcW w:w="1225" w:type="dxa"/>
                  <w:vMerge w:val="continue"/>
                  <w:shd w:val="clear" w:color="000000" w:fill="FFFFFF"/>
                  <w:vAlign w:val="center"/>
                </w:tcPr>
                <w:p w14:paraId="1AE90C7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CB4D1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皮带输送机</w:t>
                  </w:r>
                </w:p>
              </w:tc>
              <w:tc>
                <w:tcPr>
                  <w:tcW w:w="2713" w:type="dxa"/>
                  <w:shd w:val="clear" w:color="000000" w:fill="FFFFFF"/>
                  <w:vAlign w:val="center"/>
                </w:tcPr>
                <w:p w14:paraId="265AAB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DSJ</w:t>
                  </w:r>
                </w:p>
              </w:tc>
              <w:tc>
                <w:tcPr>
                  <w:tcW w:w="864" w:type="dxa"/>
                  <w:gridSpan w:val="3"/>
                  <w:shd w:val="clear" w:color="000000" w:fill="FFFFFF"/>
                  <w:vAlign w:val="center"/>
                </w:tcPr>
                <w:p w14:paraId="4346DA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14:paraId="0008DE9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0004B9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E48BE5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30</w:t>
                  </w:r>
                  <w:r>
                    <w:rPr>
                      <w:rFonts w:hint="eastAsia"/>
                      <w:color w:val="auto"/>
                      <w:sz w:val="21"/>
                      <w:szCs w:val="21"/>
                      <w:highlight w:val="none"/>
                      <w:lang w:val="en-US" w:eastAsia="zh-CN"/>
                    </w:rPr>
                    <w:t>4</w:t>
                  </w:r>
                </w:p>
              </w:tc>
              <w:tc>
                <w:tcPr>
                  <w:tcW w:w="1225" w:type="dxa"/>
                  <w:vMerge w:val="restart"/>
                  <w:shd w:val="clear" w:color="000000" w:fill="FFFFFF"/>
                  <w:vAlign w:val="center"/>
                </w:tcPr>
                <w:p w14:paraId="51BA16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机制炭车间</w:t>
                  </w:r>
                </w:p>
              </w:tc>
              <w:tc>
                <w:tcPr>
                  <w:tcW w:w="1873" w:type="dxa"/>
                  <w:shd w:val="clear" w:color="000000" w:fill="FFFFFF"/>
                  <w:vAlign w:val="center"/>
                </w:tcPr>
                <w:p w14:paraId="2490B35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对辊式破碎机</w:t>
                  </w:r>
                </w:p>
              </w:tc>
              <w:tc>
                <w:tcPr>
                  <w:tcW w:w="2713" w:type="dxa"/>
                  <w:shd w:val="clear" w:color="000000" w:fill="FFFFFF"/>
                  <w:vAlign w:val="center"/>
                </w:tcPr>
                <w:p w14:paraId="245EED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6t/h</w:t>
                  </w:r>
                </w:p>
              </w:tc>
              <w:tc>
                <w:tcPr>
                  <w:tcW w:w="864" w:type="dxa"/>
                  <w:gridSpan w:val="3"/>
                  <w:shd w:val="clear" w:color="000000" w:fill="FFFFFF"/>
                  <w:vAlign w:val="center"/>
                </w:tcPr>
                <w:p w14:paraId="152A204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000000" w:fill="FFFFFF"/>
                  <w:vAlign w:val="center"/>
                </w:tcPr>
                <w:p w14:paraId="3450820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B1014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1C2B3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30</w:t>
                  </w:r>
                  <w:r>
                    <w:rPr>
                      <w:rFonts w:hint="eastAsia"/>
                      <w:color w:val="auto"/>
                      <w:sz w:val="21"/>
                      <w:szCs w:val="21"/>
                      <w:highlight w:val="none"/>
                      <w:lang w:val="en-US" w:eastAsia="zh-CN"/>
                    </w:rPr>
                    <w:t>5</w:t>
                  </w:r>
                </w:p>
              </w:tc>
              <w:tc>
                <w:tcPr>
                  <w:tcW w:w="1225" w:type="dxa"/>
                  <w:vMerge w:val="continue"/>
                  <w:vAlign w:val="center"/>
                </w:tcPr>
                <w:p w14:paraId="645668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4E4A6CE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炭棒成型机</w:t>
                  </w:r>
                </w:p>
              </w:tc>
              <w:tc>
                <w:tcPr>
                  <w:tcW w:w="2713" w:type="dxa"/>
                  <w:shd w:val="clear" w:color="000000" w:fill="FFFFFF"/>
                  <w:vAlign w:val="center"/>
                </w:tcPr>
                <w:p w14:paraId="5B57C06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12t/d</w:t>
                  </w:r>
                </w:p>
              </w:tc>
              <w:tc>
                <w:tcPr>
                  <w:tcW w:w="864" w:type="dxa"/>
                  <w:gridSpan w:val="3"/>
                  <w:shd w:val="clear" w:color="000000" w:fill="FFFFFF"/>
                  <w:vAlign w:val="center"/>
                </w:tcPr>
                <w:p w14:paraId="2256BF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12</w:t>
                  </w:r>
                </w:p>
              </w:tc>
              <w:tc>
                <w:tcPr>
                  <w:tcW w:w="881" w:type="dxa"/>
                  <w:gridSpan w:val="2"/>
                  <w:shd w:val="clear" w:color="000000" w:fill="FFFFFF"/>
                  <w:vAlign w:val="center"/>
                </w:tcPr>
                <w:p w14:paraId="2BEF959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54E4E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182438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306</w:t>
                  </w:r>
                </w:p>
              </w:tc>
              <w:tc>
                <w:tcPr>
                  <w:tcW w:w="1225" w:type="dxa"/>
                  <w:vMerge w:val="continue"/>
                  <w:vAlign w:val="center"/>
                </w:tcPr>
                <w:p w14:paraId="2C3C0D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1163E7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包装机</w:t>
                  </w:r>
                </w:p>
              </w:tc>
              <w:tc>
                <w:tcPr>
                  <w:tcW w:w="2713" w:type="dxa"/>
                  <w:shd w:val="clear" w:color="000000" w:fill="FFFFFF"/>
                  <w:vAlign w:val="center"/>
                </w:tcPr>
                <w:p w14:paraId="50D536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14:paraId="5E3FE2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14:paraId="5A2F43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7D4E6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2AA5180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307</w:t>
                  </w:r>
                </w:p>
              </w:tc>
              <w:tc>
                <w:tcPr>
                  <w:tcW w:w="1225" w:type="dxa"/>
                  <w:vMerge w:val="continue"/>
                  <w:vAlign w:val="center"/>
                </w:tcPr>
                <w:p w14:paraId="3DFF2D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5455F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14:paraId="534448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14:paraId="217E13F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000000" w:fill="FFFFFF"/>
                  <w:vAlign w:val="center"/>
                </w:tcPr>
                <w:p w14:paraId="012B677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30EBF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000000" w:fill="FFFFFF"/>
                  <w:vAlign w:val="center"/>
                </w:tcPr>
                <w:p w14:paraId="19616CF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四、电汽系统</w:t>
                  </w:r>
                </w:p>
              </w:tc>
            </w:tr>
            <w:tr w14:paraId="2B736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6D7E5A7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401</w:t>
                  </w:r>
                </w:p>
              </w:tc>
              <w:tc>
                <w:tcPr>
                  <w:tcW w:w="1225" w:type="dxa"/>
                  <w:vMerge w:val="restart"/>
                  <w:shd w:val="clear" w:color="auto" w:fill="auto"/>
                  <w:vAlign w:val="center"/>
                </w:tcPr>
                <w:p w14:paraId="26684E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汽机房</w:t>
                  </w:r>
                </w:p>
              </w:tc>
              <w:tc>
                <w:tcPr>
                  <w:tcW w:w="1873" w:type="dxa"/>
                  <w:shd w:val="clear" w:color="000000" w:fill="FFFFFF"/>
                  <w:vAlign w:val="center"/>
                </w:tcPr>
                <w:p w14:paraId="448204C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1#蒸汽发生器</w:t>
                  </w:r>
                </w:p>
              </w:tc>
              <w:tc>
                <w:tcPr>
                  <w:tcW w:w="2713" w:type="dxa"/>
                  <w:shd w:val="clear" w:color="000000" w:fill="FFFFFF"/>
                  <w:vAlign w:val="center"/>
                </w:tcPr>
                <w:p w14:paraId="18D35BB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10t/h，2.5MPa，400℃</w:t>
                  </w:r>
                </w:p>
              </w:tc>
              <w:tc>
                <w:tcPr>
                  <w:tcW w:w="864" w:type="dxa"/>
                  <w:gridSpan w:val="3"/>
                  <w:shd w:val="clear" w:color="000000" w:fill="FFFFFF"/>
                  <w:vAlign w:val="center"/>
                </w:tcPr>
                <w:p w14:paraId="33A75A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7D3EF0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C4D2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2CA6D2F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402</w:t>
                  </w:r>
                </w:p>
              </w:tc>
              <w:tc>
                <w:tcPr>
                  <w:tcW w:w="1225" w:type="dxa"/>
                  <w:vMerge w:val="continue"/>
                  <w:vAlign w:val="center"/>
                </w:tcPr>
                <w:p w14:paraId="574051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64D9F5F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1#汽轮发电机组</w:t>
                  </w:r>
                </w:p>
              </w:tc>
              <w:tc>
                <w:tcPr>
                  <w:tcW w:w="2713" w:type="dxa"/>
                  <w:shd w:val="clear" w:color="000000" w:fill="FFFFFF"/>
                  <w:vAlign w:val="center"/>
                </w:tcPr>
                <w:p w14:paraId="185A16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2MW，2.35MPa，390℃</w:t>
                  </w:r>
                </w:p>
              </w:tc>
              <w:tc>
                <w:tcPr>
                  <w:tcW w:w="864" w:type="dxa"/>
                  <w:gridSpan w:val="3"/>
                  <w:shd w:val="clear" w:color="000000" w:fill="FFFFFF"/>
                  <w:vAlign w:val="center"/>
                </w:tcPr>
                <w:p w14:paraId="5235A9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24BA8C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048B5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54DAA5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403</w:t>
                  </w:r>
                </w:p>
              </w:tc>
              <w:tc>
                <w:tcPr>
                  <w:tcW w:w="1225" w:type="dxa"/>
                  <w:vMerge w:val="continue"/>
                  <w:vAlign w:val="center"/>
                </w:tcPr>
                <w:p w14:paraId="633351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04F8589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14:paraId="0C4C33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14:paraId="0C82F3F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0E067C7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1553F9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60D076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404</w:t>
                  </w:r>
                </w:p>
              </w:tc>
              <w:tc>
                <w:tcPr>
                  <w:tcW w:w="1225" w:type="dxa"/>
                  <w:vMerge w:val="continue"/>
                  <w:vAlign w:val="center"/>
                </w:tcPr>
                <w:p w14:paraId="1AB9EF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4EC216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脱硫塔</w:t>
                  </w:r>
                </w:p>
              </w:tc>
              <w:tc>
                <w:tcPr>
                  <w:tcW w:w="2713" w:type="dxa"/>
                  <w:shd w:val="clear" w:color="000000" w:fill="FFFFFF"/>
                  <w:vAlign w:val="center"/>
                </w:tcPr>
                <w:p w14:paraId="31EF64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D=5m</w:t>
                  </w:r>
                </w:p>
              </w:tc>
              <w:tc>
                <w:tcPr>
                  <w:tcW w:w="864" w:type="dxa"/>
                  <w:gridSpan w:val="3"/>
                  <w:shd w:val="clear" w:color="000000" w:fill="FFFFFF"/>
                  <w:vAlign w:val="center"/>
                </w:tcPr>
                <w:p w14:paraId="525165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5E7E82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D8EA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47B753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405</w:t>
                  </w:r>
                </w:p>
              </w:tc>
              <w:tc>
                <w:tcPr>
                  <w:tcW w:w="1225" w:type="dxa"/>
                  <w:vMerge w:val="continue"/>
                  <w:vAlign w:val="center"/>
                </w:tcPr>
                <w:p w14:paraId="1D16B0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17A8B94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钢制烟囱</w:t>
                  </w:r>
                </w:p>
              </w:tc>
              <w:tc>
                <w:tcPr>
                  <w:tcW w:w="2713" w:type="dxa"/>
                  <w:shd w:val="clear" w:color="000000" w:fill="FFFFFF"/>
                  <w:vAlign w:val="center"/>
                </w:tcPr>
                <w:p w14:paraId="6CDE3E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30m，d=1m</w:t>
                  </w:r>
                </w:p>
              </w:tc>
              <w:tc>
                <w:tcPr>
                  <w:tcW w:w="864" w:type="dxa"/>
                  <w:gridSpan w:val="3"/>
                  <w:shd w:val="clear" w:color="000000" w:fill="FFFFFF"/>
                  <w:vAlign w:val="center"/>
                </w:tcPr>
                <w:p w14:paraId="1D153C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66AE84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4912F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55E3A90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6</w:t>
                  </w:r>
                </w:p>
              </w:tc>
              <w:tc>
                <w:tcPr>
                  <w:tcW w:w="1225" w:type="dxa"/>
                  <w:vMerge w:val="restart"/>
                  <w:vAlign w:val="center"/>
                </w:tcPr>
                <w:p w14:paraId="0FA352F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蒸汽发电车间</w:t>
                  </w:r>
                </w:p>
              </w:tc>
              <w:tc>
                <w:tcPr>
                  <w:tcW w:w="1873" w:type="dxa"/>
                  <w:shd w:val="clear" w:color="000000" w:fill="FFFFFF"/>
                  <w:vAlign w:val="center"/>
                </w:tcPr>
                <w:p w14:paraId="2A1D6A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2~5#蒸汽发生器</w:t>
                  </w:r>
                </w:p>
              </w:tc>
              <w:tc>
                <w:tcPr>
                  <w:tcW w:w="2713" w:type="dxa"/>
                  <w:shd w:val="clear" w:color="000000" w:fill="FFFFFF"/>
                  <w:vAlign w:val="center"/>
                </w:tcPr>
                <w:p w14:paraId="721844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10t/h，2.5MPa，400℃</w:t>
                  </w:r>
                </w:p>
              </w:tc>
              <w:tc>
                <w:tcPr>
                  <w:tcW w:w="864" w:type="dxa"/>
                  <w:gridSpan w:val="3"/>
                  <w:shd w:val="clear" w:color="000000" w:fill="FFFFFF"/>
                  <w:vAlign w:val="center"/>
                </w:tcPr>
                <w:p w14:paraId="03B07C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881" w:type="dxa"/>
                  <w:gridSpan w:val="2"/>
                  <w:shd w:val="clear" w:color="auto" w:fill="auto"/>
                  <w:vAlign w:val="center"/>
                </w:tcPr>
                <w:p w14:paraId="3B516A6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0CB0C4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5C3002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7</w:t>
                  </w:r>
                </w:p>
              </w:tc>
              <w:tc>
                <w:tcPr>
                  <w:tcW w:w="1225" w:type="dxa"/>
                  <w:vMerge w:val="continue"/>
                  <w:vAlign w:val="center"/>
                </w:tcPr>
                <w:p w14:paraId="0D425F0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0EDFC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2~5#汽轮发电组</w:t>
                  </w:r>
                </w:p>
              </w:tc>
              <w:tc>
                <w:tcPr>
                  <w:tcW w:w="2713" w:type="dxa"/>
                  <w:shd w:val="clear" w:color="000000" w:fill="FFFFFF"/>
                  <w:vAlign w:val="center"/>
                </w:tcPr>
                <w:p w14:paraId="66D7DD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2MW，2.35MPa，390℃</w:t>
                  </w:r>
                </w:p>
              </w:tc>
              <w:tc>
                <w:tcPr>
                  <w:tcW w:w="864" w:type="dxa"/>
                  <w:gridSpan w:val="3"/>
                  <w:shd w:val="clear" w:color="000000" w:fill="FFFFFF"/>
                  <w:vAlign w:val="center"/>
                </w:tcPr>
                <w:p w14:paraId="46C16A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881" w:type="dxa"/>
                  <w:gridSpan w:val="2"/>
                  <w:shd w:val="clear" w:color="auto" w:fill="auto"/>
                  <w:vAlign w:val="center"/>
                </w:tcPr>
                <w:p w14:paraId="41CA01A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71F7EF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46302D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408</w:t>
                  </w:r>
                </w:p>
              </w:tc>
              <w:tc>
                <w:tcPr>
                  <w:tcW w:w="1225" w:type="dxa"/>
                  <w:vMerge w:val="continue"/>
                  <w:vAlign w:val="center"/>
                </w:tcPr>
                <w:p w14:paraId="222C85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0D4C58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脱硫塔</w:t>
                  </w:r>
                </w:p>
              </w:tc>
              <w:tc>
                <w:tcPr>
                  <w:tcW w:w="2713" w:type="dxa"/>
                  <w:shd w:val="clear" w:color="000000" w:fill="FFFFFF"/>
                  <w:vAlign w:val="center"/>
                </w:tcPr>
                <w:p w14:paraId="01B84B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d=5m</w:t>
                  </w:r>
                </w:p>
              </w:tc>
              <w:tc>
                <w:tcPr>
                  <w:tcW w:w="864" w:type="dxa"/>
                  <w:gridSpan w:val="3"/>
                  <w:shd w:val="clear" w:color="000000" w:fill="FFFFFF"/>
                  <w:vAlign w:val="center"/>
                </w:tcPr>
                <w:p w14:paraId="0F6BEAC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0C359C5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5C56C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28D04B3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9</w:t>
                  </w:r>
                </w:p>
              </w:tc>
              <w:tc>
                <w:tcPr>
                  <w:tcW w:w="1225" w:type="dxa"/>
                  <w:vMerge w:val="continue"/>
                  <w:vAlign w:val="center"/>
                </w:tcPr>
                <w:p w14:paraId="52ACEA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5703BD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14:paraId="4F4C5A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14:paraId="3C4B3C2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auto" w:fill="auto"/>
                  <w:vAlign w:val="center"/>
                </w:tcPr>
                <w:p w14:paraId="06EE76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11292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18F27A2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10</w:t>
                  </w:r>
                </w:p>
              </w:tc>
              <w:tc>
                <w:tcPr>
                  <w:tcW w:w="1225" w:type="dxa"/>
                  <w:vMerge w:val="continue"/>
                  <w:vAlign w:val="center"/>
                </w:tcPr>
                <w:p w14:paraId="11FCAB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5A4A54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钢制烟囱</w:t>
                  </w:r>
                </w:p>
              </w:tc>
              <w:tc>
                <w:tcPr>
                  <w:tcW w:w="2713" w:type="dxa"/>
                  <w:shd w:val="clear" w:color="000000" w:fill="FFFFFF"/>
                  <w:vAlign w:val="center"/>
                </w:tcPr>
                <w:p w14:paraId="42339F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30m，d=2.0m</w:t>
                  </w:r>
                </w:p>
              </w:tc>
              <w:tc>
                <w:tcPr>
                  <w:tcW w:w="864" w:type="dxa"/>
                  <w:gridSpan w:val="3"/>
                  <w:shd w:val="clear" w:color="000000" w:fill="FFFFFF"/>
                  <w:vAlign w:val="center"/>
                </w:tcPr>
                <w:p w14:paraId="359BDB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14:paraId="5A396D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2063F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000000" w:fill="FFFFFF"/>
                  <w:vAlign w:val="center"/>
                </w:tcPr>
                <w:p w14:paraId="1255B9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五、</w:t>
                  </w:r>
                  <w:r>
                    <w:rPr>
                      <w:rFonts w:hint="eastAsia"/>
                      <w:color w:val="auto"/>
                      <w:sz w:val="21"/>
                      <w:szCs w:val="21"/>
                      <w:highlight w:val="none"/>
                      <w:lang w:eastAsia="zh-CN"/>
                    </w:rPr>
                    <w:t>净化水制备系统</w:t>
                  </w:r>
                </w:p>
              </w:tc>
            </w:tr>
            <w:tr w14:paraId="2371F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6525A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501</w:t>
                  </w:r>
                </w:p>
              </w:tc>
              <w:tc>
                <w:tcPr>
                  <w:tcW w:w="1225" w:type="dxa"/>
                  <w:vMerge w:val="restart"/>
                  <w:shd w:val="clear" w:color="000000" w:fill="FFFFFF"/>
                  <w:vAlign w:val="center"/>
                </w:tcPr>
                <w:p w14:paraId="364ABD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净水车间</w:t>
                  </w:r>
                </w:p>
              </w:tc>
              <w:tc>
                <w:tcPr>
                  <w:tcW w:w="1873" w:type="dxa"/>
                  <w:shd w:val="clear" w:color="000000" w:fill="FFFFFF"/>
                  <w:vAlign w:val="center"/>
                </w:tcPr>
                <w:p w14:paraId="0E715DB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原水泵</w:t>
                  </w:r>
                </w:p>
              </w:tc>
              <w:tc>
                <w:tcPr>
                  <w:tcW w:w="2713" w:type="dxa"/>
                  <w:shd w:val="clear" w:color="000000" w:fill="FFFFFF"/>
                  <w:vAlign w:val="center"/>
                </w:tcPr>
                <w:p w14:paraId="4F8703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4" w:type="dxa"/>
                  <w:gridSpan w:val="3"/>
                  <w:shd w:val="clear" w:color="000000" w:fill="FFFFFF"/>
                  <w:vAlign w:val="center"/>
                </w:tcPr>
                <w:p w14:paraId="41065E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14:paraId="3CB8075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388F1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793C15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502</w:t>
                  </w:r>
                </w:p>
              </w:tc>
              <w:tc>
                <w:tcPr>
                  <w:tcW w:w="1225" w:type="dxa"/>
                  <w:vMerge w:val="continue"/>
                  <w:vAlign w:val="center"/>
                </w:tcPr>
                <w:p w14:paraId="3F60C05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95402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软化水泵</w:t>
                  </w:r>
                </w:p>
              </w:tc>
              <w:tc>
                <w:tcPr>
                  <w:tcW w:w="2713" w:type="dxa"/>
                  <w:shd w:val="clear" w:color="000000" w:fill="FFFFFF"/>
                  <w:vAlign w:val="center"/>
                </w:tcPr>
                <w:p w14:paraId="64A7AB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100m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4" w:type="dxa"/>
                  <w:gridSpan w:val="3"/>
                  <w:shd w:val="clear" w:color="000000" w:fill="FFFFFF"/>
                  <w:vAlign w:val="center"/>
                </w:tcPr>
                <w:p w14:paraId="60E76B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vAlign w:val="center"/>
                </w:tcPr>
                <w:p w14:paraId="7FE2E5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793F6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79B532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503</w:t>
                  </w:r>
                </w:p>
              </w:tc>
              <w:tc>
                <w:tcPr>
                  <w:tcW w:w="1225" w:type="dxa"/>
                  <w:vMerge w:val="continue"/>
                  <w:vAlign w:val="center"/>
                </w:tcPr>
                <w:p w14:paraId="5B3910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6E910F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原水箱</w:t>
                  </w:r>
                </w:p>
              </w:tc>
              <w:tc>
                <w:tcPr>
                  <w:tcW w:w="2713" w:type="dxa"/>
                  <w:shd w:val="clear" w:color="000000" w:fill="FFFFFF"/>
                  <w:vAlign w:val="center"/>
                </w:tcPr>
                <w:p w14:paraId="2D1C2F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V=25m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14:paraId="42F848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14:paraId="41CACD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3D519D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77D58E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504</w:t>
                  </w:r>
                </w:p>
              </w:tc>
              <w:tc>
                <w:tcPr>
                  <w:tcW w:w="1225" w:type="dxa"/>
                  <w:vMerge w:val="continue"/>
                  <w:vAlign w:val="center"/>
                </w:tcPr>
                <w:p w14:paraId="17E342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3F1F8F3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软化水箱</w:t>
                  </w:r>
                </w:p>
              </w:tc>
              <w:tc>
                <w:tcPr>
                  <w:tcW w:w="2713" w:type="dxa"/>
                  <w:shd w:val="clear" w:color="000000" w:fill="FFFFFF"/>
                  <w:vAlign w:val="center"/>
                </w:tcPr>
                <w:p w14:paraId="4BD3D5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V=50m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14:paraId="0C693C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14:paraId="75FCF3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519F8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1E3244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505</w:t>
                  </w:r>
                </w:p>
              </w:tc>
              <w:tc>
                <w:tcPr>
                  <w:tcW w:w="1225" w:type="dxa"/>
                  <w:vMerge w:val="continue"/>
                  <w:vAlign w:val="center"/>
                </w:tcPr>
                <w:p w14:paraId="764F3A5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334F21C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软化器</w:t>
                  </w:r>
                </w:p>
              </w:tc>
              <w:tc>
                <w:tcPr>
                  <w:tcW w:w="2713" w:type="dxa"/>
                  <w:shd w:val="clear" w:color="000000" w:fill="FFFFFF"/>
                  <w:vAlign w:val="center"/>
                </w:tcPr>
                <w:p w14:paraId="0418DC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FLK-50-1-RS</w:t>
                  </w:r>
                </w:p>
              </w:tc>
              <w:tc>
                <w:tcPr>
                  <w:tcW w:w="864" w:type="dxa"/>
                  <w:gridSpan w:val="3"/>
                  <w:shd w:val="clear" w:color="000000" w:fill="FFFFFF"/>
                  <w:vAlign w:val="center"/>
                </w:tcPr>
                <w:p w14:paraId="257A75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vAlign w:val="center"/>
                </w:tcPr>
                <w:p w14:paraId="7AA44E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24357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C8A1A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506</w:t>
                  </w:r>
                </w:p>
              </w:tc>
              <w:tc>
                <w:tcPr>
                  <w:tcW w:w="1225" w:type="dxa"/>
                  <w:vMerge w:val="continue"/>
                  <w:vAlign w:val="center"/>
                </w:tcPr>
                <w:p w14:paraId="3C4E3C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1188501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盐溶液箱</w:t>
                  </w:r>
                </w:p>
              </w:tc>
              <w:tc>
                <w:tcPr>
                  <w:tcW w:w="2713" w:type="dxa"/>
                  <w:shd w:val="clear" w:color="000000" w:fill="FFFFFF"/>
                  <w:vAlign w:val="center"/>
                </w:tcPr>
                <w:p w14:paraId="6B5F6C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14:paraId="49F946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14:paraId="1996CC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308971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53F6F0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506</w:t>
                  </w:r>
                </w:p>
              </w:tc>
              <w:tc>
                <w:tcPr>
                  <w:tcW w:w="1225" w:type="dxa"/>
                  <w:vMerge w:val="continue"/>
                  <w:vAlign w:val="center"/>
                </w:tcPr>
                <w:p w14:paraId="0D81F67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78896C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换热器</w:t>
                  </w:r>
                </w:p>
              </w:tc>
              <w:tc>
                <w:tcPr>
                  <w:tcW w:w="2713" w:type="dxa"/>
                  <w:shd w:val="clear" w:color="000000" w:fill="FFFFFF"/>
                  <w:vAlign w:val="center"/>
                </w:tcPr>
                <w:p w14:paraId="463F76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0.2MPa，125℃</w:t>
                  </w:r>
                </w:p>
              </w:tc>
              <w:tc>
                <w:tcPr>
                  <w:tcW w:w="864" w:type="dxa"/>
                  <w:gridSpan w:val="3"/>
                  <w:shd w:val="clear" w:color="000000" w:fill="FFFFFF"/>
                  <w:vAlign w:val="center"/>
                </w:tcPr>
                <w:p w14:paraId="7B9211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14:paraId="3C5A55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采暖用</w:t>
                  </w:r>
                </w:p>
              </w:tc>
            </w:tr>
            <w:tr w14:paraId="377585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2" w:type="dxa"/>
                  <w:gridSpan w:val="9"/>
                  <w:shd w:val="clear" w:color="000000" w:fill="FFFFFF"/>
                  <w:vAlign w:val="center"/>
                </w:tcPr>
                <w:p w14:paraId="4E6F73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六、</w:t>
                  </w:r>
                  <w:r>
                    <w:rPr>
                      <w:rFonts w:hint="eastAsia"/>
                      <w:color w:val="auto"/>
                      <w:sz w:val="21"/>
                      <w:szCs w:val="21"/>
                      <w:highlight w:val="none"/>
                      <w:lang w:eastAsia="zh-CN"/>
                    </w:rPr>
                    <w:t>冷却水系统</w:t>
                  </w:r>
                </w:p>
              </w:tc>
            </w:tr>
            <w:tr w14:paraId="5CCE6E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4B00E0C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601</w:t>
                  </w:r>
                </w:p>
              </w:tc>
              <w:tc>
                <w:tcPr>
                  <w:tcW w:w="1225" w:type="dxa"/>
                  <w:vMerge w:val="restart"/>
                  <w:shd w:val="clear" w:color="000000" w:fill="FFFFFF"/>
                  <w:vAlign w:val="center"/>
                </w:tcPr>
                <w:p w14:paraId="1A2D90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冷却水系统</w:t>
                  </w:r>
                </w:p>
              </w:tc>
              <w:tc>
                <w:tcPr>
                  <w:tcW w:w="1873" w:type="dxa"/>
                  <w:shd w:val="clear" w:color="000000" w:fill="FFFFFF"/>
                  <w:vAlign w:val="center"/>
                </w:tcPr>
                <w:p w14:paraId="7F64B2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机械冷却通风塔</w:t>
                  </w:r>
                </w:p>
              </w:tc>
              <w:tc>
                <w:tcPr>
                  <w:tcW w:w="2714" w:type="dxa"/>
                  <w:gridSpan w:val="2"/>
                  <w:shd w:val="clear" w:color="000000" w:fill="FFFFFF"/>
                  <w:vAlign w:val="center"/>
                </w:tcPr>
                <w:p w14:paraId="0F69C28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Q=3500m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2" w:type="dxa"/>
                  <w:shd w:val="clear" w:color="000000" w:fill="FFFFFF"/>
                  <w:vAlign w:val="center"/>
                </w:tcPr>
                <w:p w14:paraId="5437E0F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882" w:type="dxa"/>
                  <w:gridSpan w:val="3"/>
                  <w:shd w:val="clear" w:color="000000" w:fill="FFFFFF"/>
                  <w:vAlign w:val="center"/>
                </w:tcPr>
                <w:p w14:paraId="039D27D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21E975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2F9E90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602</w:t>
                  </w:r>
                </w:p>
              </w:tc>
              <w:tc>
                <w:tcPr>
                  <w:tcW w:w="1225" w:type="dxa"/>
                  <w:vMerge w:val="continue"/>
                  <w:vAlign w:val="center"/>
                </w:tcPr>
                <w:p w14:paraId="3DB09B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0EABE5C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循环水泵</w:t>
                  </w:r>
                </w:p>
              </w:tc>
              <w:tc>
                <w:tcPr>
                  <w:tcW w:w="2714" w:type="dxa"/>
                  <w:gridSpan w:val="2"/>
                  <w:shd w:val="clear" w:color="000000" w:fill="FFFFFF"/>
                  <w:vAlign w:val="center"/>
                </w:tcPr>
                <w:p w14:paraId="6F44680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Q=1800m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/h，H=22m</w:t>
                  </w:r>
                </w:p>
              </w:tc>
              <w:tc>
                <w:tcPr>
                  <w:tcW w:w="862" w:type="dxa"/>
                  <w:shd w:val="clear" w:color="000000" w:fill="FFFFFF"/>
                  <w:vAlign w:val="center"/>
                </w:tcPr>
                <w:p w14:paraId="2977C8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882" w:type="dxa"/>
                  <w:gridSpan w:val="3"/>
                  <w:vAlign w:val="center"/>
                </w:tcPr>
                <w:p w14:paraId="12DFB34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p>
              </w:tc>
            </w:tr>
            <w:tr w14:paraId="1BA44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0A15FF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603</w:t>
                  </w:r>
                </w:p>
              </w:tc>
              <w:tc>
                <w:tcPr>
                  <w:tcW w:w="1225" w:type="dxa"/>
                  <w:vMerge w:val="continue"/>
                  <w:vAlign w:val="center"/>
                </w:tcPr>
                <w:p w14:paraId="16DFA0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04C563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消防水泵</w:t>
                  </w:r>
                </w:p>
              </w:tc>
              <w:tc>
                <w:tcPr>
                  <w:tcW w:w="2714" w:type="dxa"/>
                  <w:gridSpan w:val="2"/>
                  <w:shd w:val="clear" w:color="000000" w:fill="FFFFFF"/>
                  <w:vAlign w:val="center"/>
                </w:tcPr>
                <w:p w14:paraId="7E98620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Q=60L/s</w:t>
                  </w:r>
                  <w:r>
                    <w:rPr>
                      <w:rFonts w:hint="eastAsia"/>
                      <w:color w:val="auto"/>
                      <w:sz w:val="21"/>
                      <w:szCs w:val="21"/>
                      <w:highlight w:val="none"/>
                      <w:vertAlign w:val="baseline"/>
                      <w:lang w:val="en-US" w:eastAsia="zh-CN"/>
                    </w:rPr>
                    <w:t>，H=120m</w:t>
                  </w:r>
                </w:p>
              </w:tc>
              <w:tc>
                <w:tcPr>
                  <w:tcW w:w="862" w:type="dxa"/>
                  <w:shd w:val="clear" w:color="000000" w:fill="FFFFFF"/>
                  <w:vAlign w:val="center"/>
                </w:tcPr>
                <w:p w14:paraId="6D01C96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2" w:type="dxa"/>
                  <w:gridSpan w:val="3"/>
                  <w:vAlign w:val="center"/>
                </w:tcPr>
                <w:p w14:paraId="4C2FC0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14:paraId="662DA0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000000" w:fill="FFFFFF"/>
                  <w:vAlign w:val="center"/>
                </w:tcPr>
                <w:p w14:paraId="3C437E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604</w:t>
                  </w:r>
                </w:p>
              </w:tc>
              <w:tc>
                <w:tcPr>
                  <w:tcW w:w="1225" w:type="dxa"/>
                  <w:vMerge w:val="continue"/>
                  <w:vAlign w:val="center"/>
                </w:tcPr>
                <w:p w14:paraId="3DF279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14:paraId="06A865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稳压泵</w:t>
                  </w:r>
                </w:p>
              </w:tc>
              <w:tc>
                <w:tcPr>
                  <w:tcW w:w="2714" w:type="dxa"/>
                  <w:gridSpan w:val="2"/>
                  <w:shd w:val="clear" w:color="000000" w:fill="FFFFFF"/>
                  <w:vAlign w:val="center"/>
                </w:tcPr>
                <w:p w14:paraId="57884BB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Q=2L/s</w:t>
                  </w:r>
                  <w:r>
                    <w:rPr>
                      <w:rFonts w:hint="eastAsia"/>
                      <w:color w:val="auto"/>
                      <w:sz w:val="21"/>
                      <w:szCs w:val="21"/>
                      <w:highlight w:val="none"/>
                      <w:vertAlign w:val="baseline"/>
                      <w:lang w:val="en-US" w:eastAsia="zh-CN"/>
                    </w:rPr>
                    <w:t>，H=120m</w:t>
                  </w:r>
                </w:p>
              </w:tc>
              <w:tc>
                <w:tcPr>
                  <w:tcW w:w="862" w:type="dxa"/>
                  <w:shd w:val="clear" w:color="000000" w:fill="FFFFFF"/>
                  <w:vAlign w:val="center"/>
                </w:tcPr>
                <w:p w14:paraId="0548E9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1</w:t>
                  </w:r>
                </w:p>
              </w:tc>
              <w:tc>
                <w:tcPr>
                  <w:tcW w:w="882" w:type="dxa"/>
                  <w:gridSpan w:val="3"/>
                  <w:vAlign w:val="center"/>
                </w:tcPr>
                <w:p w14:paraId="2E43704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bl>
          <w:p w14:paraId="54292471">
            <w:pPr>
              <w:adjustRightInd w:val="0"/>
              <w:snapToGrid w:val="0"/>
              <w:spacing w:line="360" w:lineRule="auto"/>
              <w:ind w:firstLine="482" w:firstLineChars="200"/>
              <w:rPr>
                <w:b/>
                <w:bCs/>
                <w:color w:val="auto"/>
                <w:sz w:val="24"/>
              </w:rPr>
            </w:pPr>
            <w:r>
              <w:rPr>
                <w:rFonts w:hint="eastAsia"/>
                <w:b/>
                <w:bCs/>
                <w:color w:val="auto"/>
                <w:sz w:val="24"/>
                <w:lang w:eastAsia="zh-CN"/>
              </w:rPr>
              <w:t>五</w:t>
            </w:r>
            <w:r>
              <w:rPr>
                <w:rFonts w:hint="eastAsia"/>
                <w:b/>
                <w:bCs/>
                <w:color w:val="auto"/>
                <w:sz w:val="24"/>
              </w:rPr>
              <w:t>、</w:t>
            </w:r>
            <w:r>
              <w:rPr>
                <w:rFonts w:hint="eastAsia"/>
                <w:b/>
                <w:bCs/>
                <w:color w:val="auto"/>
                <w:sz w:val="24"/>
                <w:lang w:eastAsia="zh-CN"/>
              </w:rPr>
              <w:t>项目生产主要技术指标</w:t>
            </w:r>
          </w:p>
          <w:p w14:paraId="3477F1F5">
            <w:pPr>
              <w:adjustRightInd w:val="0"/>
              <w:snapToGrid w:val="0"/>
              <w:spacing w:line="360" w:lineRule="auto"/>
              <w:ind w:firstLine="480" w:firstLineChars="200"/>
              <w:rPr>
                <w:rFonts w:hint="eastAsia" w:eastAsia="宋体"/>
                <w:bCs/>
                <w:color w:val="auto"/>
                <w:sz w:val="24"/>
                <w:lang w:eastAsia="zh-CN" w:bidi="en-US"/>
              </w:rPr>
            </w:pPr>
            <w:r>
              <w:rPr>
                <w:rFonts w:hint="eastAsia"/>
                <w:bCs/>
                <w:color w:val="auto"/>
                <w:sz w:val="24"/>
                <w:lang w:eastAsia="zh-CN" w:bidi="en-US"/>
              </w:rPr>
              <w:t>项目主要技术指标见表</w:t>
            </w:r>
            <w:r>
              <w:rPr>
                <w:rFonts w:hint="eastAsia"/>
                <w:bCs/>
                <w:color w:val="auto"/>
                <w:sz w:val="24"/>
                <w:lang w:val="en-US" w:eastAsia="zh-CN" w:bidi="en-US"/>
              </w:rPr>
              <w:t>2-8。</w:t>
            </w:r>
          </w:p>
          <w:p w14:paraId="79B6B10A">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2-8</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w:t>
            </w:r>
            <w:r>
              <w:rPr>
                <w:rFonts w:hint="eastAsia"/>
                <w:color w:val="auto"/>
                <w:highlight w:val="none"/>
                <w:lang w:val="en-US" w:eastAsia="zh-CN"/>
              </w:rPr>
              <w:t xml:space="preserve"> </w:t>
            </w:r>
            <w:r>
              <w:rPr>
                <w:rFonts w:hint="eastAsia" w:ascii="Times New Roman" w:hAnsi="Times New Roman"/>
                <w:color w:val="auto"/>
                <w:highlight w:val="none"/>
              </w:rPr>
              <w:t xml:space="preserve"> </w:t>
            </w:r>
            <w:r>
              <w:rPr>
                <w:rFonts w:hint="eastAsia"/>
                <w:color w:val="auto"/>
                <w:highlight w:val="none"/>
                <w:lang w:eastAsia="zh-CN"/>
              </w:rPr>
              <w:t>项目主要技术指标</w:t>
            </w:r>
          </w:p>
          <w:tbl>
            <w:tblPr>
              <w:tblStyle w:val="22"/>
              <w:tblW w:w="83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8"/>
              <w:gridCol w:w="2078"/>
              <w:gridCol w:w="2078"/>
              <w:gridCol w:w="2078"/>
            </w:tblGrid>
            <w:tr w14:paraId="1A80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auto" w:sz="12" w:space="0"/>
                    <w:left w:val="nil"/>
                    <w:bottom w:val="single" w:color="000000" w:sz="4" w:space="0"/>
                    <w:right w:val="single" w:color="000000" w:sz="4" w:space="0"/>
                    <w:tl2br w:val="nil"/>
                    <w:tr2bl w:val="nil"/>
                  </w:tcBorders>
                  <w:vAlign w:val="center"/>
                </w:tcPr>
                <w:p w14:paraId="786129B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序号</w:t>
                  </w:r>
                </w:p>
              </w:tc>
              <w:tc>
                <w:tcPr>
                  <w:tcW w:w="2078" w:type="dxa"/>
                  <w:tcBorders>
                    <w:top w:val="single" w:color="auto" w:sz="12" w:space="0"/>
                    <w:left w:val="single" w:color="000000" w:sz="4" w:space="0"/>
                    <w:bottom w:val="single" w:color="000000" w:sz="4" w:space="0"/>
                    <w:right w:val="single" w:color="000000" w:sz="4" w:space="0"/>
                    <w:tl2br w:val="nil"/>
                    <w:tr2bl w:val="nil"/>
                  </w:tcBorders>
                  <w:vAlign w:val="center"/>
                </w:tcPr>
                <w:p w14:paraId="6FDC41B1">
                  <w:pPr>
                    <w:pStyle w:val="95"/>
                    <w:keepNext w:val="0"/>
                    <w:keepLines w:val="0"/>
                    <w:pageBreakBefore w:val="0"/>
                    <w:widowControl w:val="0"/>
                    <w:suppressLineNumbers w:val="0"/>
                    <w:tabs>
                      <w:tab w:val="left" w:pos="941"/>
                    </w:tabs>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项</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目</w:t>
                  </w:r>
                </w:p>
              </w:tc>
              <w:tc>
                <w:tcPr>
                  <w:tcW w:w="2078" w:type="dxa"/>
                  <w:tcBorders>
                    <w:top w:val="single" w:color="auto" w:sz="12" w:space="0"/>
                    <w:left w:val="single" w:color="000000" w:sz="4" w:space="0"/>
                    <w:bottom w:val="single" w:color="000000" w:sz="4" w:space="0"/>
                    <w:right w:val="single" w:color="000000" w:sz="4" w:space="0"/>
                    <w:tl2br w:val="nil"/>
                    <w:tr2bl w:val="nil"/>
                  </w:tcBorders>
                  <w:vAlign w:val="center"/>
                </w:tcPr>
                <w:p w14:paraId="29142387">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单位</w:t>
                  </w:r>
                </w:p>
              </w:tc>
              <w:tc>
                <w:tcPr>
                  <w:tcW w:w="2078" w:type="dxa"/>
                  <w:tcBorders>
                    <w:top w:val="single" w:color="auto" w:sz="12" w:space="0"/>
                    <w:left w:val="single" w:color="000000" w:sz="4" w:space="0"/>
                    <w:bottom w:val="single" w:color="000000" w:sz="4" w:space="0"/>
                    <w:right w:val="nil"/>
                    <w:tl2br w:val="nil"/>
                    <w:tr2bl w:val="nil"/>
                  </w:tcBorders>
                  <w:vAlign w:val="center"/>
                </w:tcPr>
                <w:p w14:paraId="6F730D4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额定</w:t>
                  </w:r>
                </w:p>
              </w:tc>
            </w:tr>
            <w:tr w14:paraId="5AF9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39B34F5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095E5D9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炭化炉进料量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6149543A">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14:paraId="094F20F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1.5x20</w:t>
                  </w:r>
                </w:p>
              </w:tc>
            </w:tr>
            <w:tr w14:paraId="31A3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6A4C136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6234565D">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炭化炉出炭量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7C44276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14:paraId="71BAC19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0.45x20</w:t>
                  </w:r>
                </w:p>
              </w:tc>
            </w:tr>
            <w:tr w14:paraId="06CC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793DF03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43F866A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蒸汽发生器蒸发量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519F3D3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14:paraId="7427ED6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10</w:t>
                  </w:r>
                </w:p>
              </w:tc>
            </w:tr>
            <w:tr w14:paraId="37C9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2DF0397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7315A2E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汽机进汽量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633D052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14:paraId="73F67F11">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10</w:t>
                  </w:r>
                </w:p>
              </w:tc>
            </w:tr>
            <w:tr w14:paraId="3564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6ED664E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05C5E4D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发电功率</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22E6F21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KW</w:t>
                  </w:r>
                </w:p>
              </w:tc>
              <w:tc>
                <w:tcPr>
                  <w:tcW w:w="2078" w:type="dxa"/>
                  <w:tcBorders>
                    <w:top w:val="single" w:color="000000" w:sz="4" w:space="0"/>
                    <w:left w:val="single" w:color="000000" w:sz="4" w:space="0"/>
                    <w:bottom w:val="single" w:color="000000" w:sz="4" w:space="0"/>
                    <w:right w:val="nil"/>
                    <w:tl2br w:val="nil"/>
                    <w:tr2bl w:val="nil"/>
                  </w:tcBorders>
                  <w:vAlign w:val="center"/>
                </w:tcPr>
                <w:p w14:paraId="5CCB483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2000</w:t>
                  </w:r>
                </w:p>
              </w:tc>
            </w:tr>
            <w:tr w14:paraId="2648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16D5D83F">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6</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4B34EF9B">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出炭率</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6E7788D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w:t>
                  </w:r>
                </w:p>
              </w:tc>
              <w:tc>
                <w:tcPr>
                  <w:tcW w:w="2078" w:type="dxa"/>
                  <w:tcBorders>
                    <w:top w:val="single" w:color="000000" w:sz="4" w:space="0"/>
                    <w:left w:val="single" w:color="000000" w:sz="4" w:space="0"/>
                    <w:bottom w:val="single" w:color="000000" w:sz="4" w:space="0"/>
                    <w:right w:val="nil"/>
                    <w:tl2br w:val="nil"/>
                    <w:tr2bl w:val="nil"/>
                  </w:tcBorders>
                  <w:vAlign w:val="center"/>
                </w:tcPr>
                <w:p w14:paraId="129D2600">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30%</w:t>
                  </w:r>
                </w:p>
              </w:tc>
            </w:tr>
            <w:tr w14:paraId="799C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4BFACCC2">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7</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1B743CF8">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运行时间</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50D87D3E">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h</w:t>
                  </w:r>
                </w:p>
              </w:tc>
              <w:tc>
                <w:tcPr>
                  <w:tcW w:w="2078" w:type="dxa"/>
                  <w:tcBorders>
                    <w:top w:val="single" w:color="000000" w:sz="4" w:space="0"/>
                    <w:left w:val="single" w:color="000000" w:sz="4" w:space="0"/>
                    <w:bottom w:val="single" w:color="000000" w:sz="4" w:space="0"/>
                    <w:right w:val="nil"/>
                    <w:tl2br w:val="nil"/>
                    <w:tr2bl w:val="nil"/>
                  </w:tcBorders>
                  <w:vAlign w:val="center"/>
                </w:tcPr>
                <w:p w14:paraId="5D627525">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7200</w:t>
                  </w:r>
                </w:p>
              </w:tc>
            </w:tr>
            <w:tr w14:paraId="4118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14:paraId="39CDBA8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8</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23F31F09">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年供电量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14:paraId="56CA262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KWh/a</w:t>
                  </w:r>
                </w:p>
              </w:tc>
              <w:tc>
                <w:tcPr>
                  <w:tcW w:w="2078" w:type="dxa"/>
                  <w:tcBorders>
                    <w:top w:val="single" w:color="000000" w:sz="4" w:space="0"/>
                    <w:left w:val="single" w:color="000000" w:sz="4" w:space="0"/>
                    <w:bottom w:val="single" w:color="000000" w:sz="4" w:space="0"/>
                    <w:right w:val="nil"/>
                    <w:tl2br w:val="nil"/>
                    <w:tr2bl w:val="nil"/>
                  </w:tcBorders>
                  <w:vAlign w:val="center"/>
                </w:tcPr>
                <w:p w14:paraId="28B3C21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Calibri" w:cs="Times New Roman"/>
                      <w:color w:val="auto"/>
                      <w:sz w:val="21"/>
                      <w:szCs w:val="21"/>
                    </w:rPr>
                    <w:t>5400</w:t>
                  </w:r>
                  <w:r>
                    <w:rPr>
                      <w:rFonts w:hint="default" w:ascii="Times New Roman" w:hAnsi="Times New Roman" w:eastAsia="宋体" w:cs="Times New Roman"/>
                      <w:color w:val="auto"/>
                      <w:sz w:val="21"/>
                      <w:szCs w:val="21"/>
                    </w:rPr>
                    <w:t>万</w:t>
                  </w:r>
                </w:p>
              </w:tc>
            </w:tr>
            <w:tr w14:paraId="5D0D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auto" w:sz="12" w:space="0"/>
                    <w:right w:val="single" w:color="000000" w:sz="4" w:space="0"/>
                    <w:tl2br w:val="nil"/>
                    <w:tr2bl w:val="nil"/>
                  </w:tcBorders>
                  <w:vAlign w:val="center"/>
                </w:tcPr>
                <w:p w14:paraId="0246EACC">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9</w:t>
                  </w:r>
                </w:p>
              </w:tc>
              <w:tc>
                <w:tcPr>
                  <w:tcW w:w="2078" w:type="dxa"/>
                  <w:tcBorders>
                    <w:top w:val="single" w:color="000000" w:sz="4" w:space="0"/>
                    <w:left w:val="single" w:color="000000" w:sz="4" w:space="0"/>
                    <w:bottom w:val="single" w:color="auto" w:sz="12" w:space="0"/>
                    <w:right w:val="single" w:color="000000" w:sz="4" w:space="0"/>
                    <w:tl2br w:val="nil"/>
                    <w:tr2bl w:val="nil"/>
                  </w:tcBorders>
                  <w:vAlign w:val="center"/>
                </w:tcPr>
                <w:p w14:paraId="469DF318">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全厂热效率</w:t>
                  </w:r>
                </w:p>
              </w:tc>
              <w:tc>
                <w:tcPr>
                  <w:tcW w:w="2078" w:type="dxa"/>
                  <w:tcBorders>
                    <w:top w:val="single" w:color="000000" w:sz="4" w:space="0"/>
                    <w:left w:val="single" w:color="000000" w:sz="4" w:space="0"/>
                    <w:bottom w:val="single" w:color="auto" w:sz="12" w:space="0"/>
                    <w:right w:val="single" w:color="000000" w:sz="4" w:space="0"/>
                    <w:tl2br w:val="nil"/>
                    <w:tr2bl w:val="nil"/>
                  </w:tcBorders>
                  <w:vAlign w:val="center"/>
                </w:tcPr>
                <w:p w14:paraId="28C6A776">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w:t>
                  </w:r>
                </w:p>
              </w:tc>
              <w:tc>
                <w:tcPr>
                  <w:tcW w:w="2078" w:type="dxa"/>
                  <w:tcBorders>
                    <w:top w:val="single" w:color="000000" w:sz="4" w:space="0"/>
                    <w:left w:val="single" w:color="000000" w:sz="4" w:space="0"/>
                    <w:bottom w:val="single" w:color="auto" w:sz="12" w:space="0"/>
                    <w:right w:val="nil"/>
                    <w:tl2br w:val="nil"/>
                    <w:tr2bl w:val="nil"/>
                  </w:tcBorders>
                  <w:vAlign w:val="center"/>
                </w:tcPr>
                <w:p w14:paraId="0E1BD818">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72.2</w:t>
                  </w:r>
                </w:p>
              </w:tc>
            </w:tr>
          </w:tbl>
          <w:p w14:paraId="21A11E88">
            <w:pPr>
              <w:adjustRightInd w:val="0"/>
              <w:snapToGrid w:val="0"/>
              <w:spacing w:line="360" w:lineRule="auto"/>
              <w:ind w:firstLine="482" w:firstLineChars="200"/>
              <w:rPr>
                <w:b/>
                <w:bCs/>
                <w:color w:val="auto"/>
                <w:sz w:val="24"/>
              </w:rPr>
            </w:pPr>
            <w:r>
              <w:rPr>
                <w:rFonts w:hint="eastAsia"/>
                <w:b/>
                <w:bCs/>
                <w:color w:val="auto"/>
                <w:sz w:val="24"/>
                <w:lang w:eastAsia="zh-CN"/>
              </w:rPr>
              <w:t>六</w:t>
            </w:r>
            <w:r>
              <w:rPr>
                <w:rFonts w:hint="eastAsia"/>
                <w:b/>
                <w:bCs/>
                <w:color w:val="auto"/>
                <w:sz w:val="24"/>
              </w:rPr>
              <w:t>、项目平面布置</w:t>
            </w:r>
          </w:p>
          <w:p w14:paraId="0A90C416">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）总平面布置</w:t>
            </w:r>
          </w:p>
          <w:p w14:paraId="1A21604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项目建设地点位于玛纳斯县塔西河工业园区，厂区东侧为现状公路，交通便利。占地约</w:t>
            </w:r>
            <w:r>
              <w:rPr>
                <w:rFonts w:hint="default" w:ascii="Times New Roman" w:hAnsi="Times New Roman" w:cs="Times New Roman"/>
                <w:color w:val="auto"/>
                <w:sz w:val="24"/>
                <w:szCs w:val="24"/>
                <w:highlight w:val="none"/>
                <w:lang w:val="en-US" w:eastAsia="zh-CN"/>
              </w:rPr>
              <w:t>3.3</w:t>
            </w:r>
            <w:r>
              <w:rPr>
                <w:rFonts w:hint="default" w:ascii="Times New Roman" w:hAnsi="Times New Roman" w:cs="Times New Roman"/>
                <w:color w:val="auto"/>
                <w:sz w:val="24"/>
                <w:szCs w:val="24"/>
                <w:highlight w:val="none"/>
                <w:lang w:eastAsia="zh-CN"/>
              </w:rPr>
              <w:t>公顷。根据现场勘察，拟建厂区现有地形为空地，地势东北高西南低，无旧有建构筑物。</w:t>
            </w:r>
          </w:p>
          <w:p w14:paraId="2E7A1F8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在总平面设计上，以有利生产、方便生活、经济合理为原则。厂区</w:t>
            </w:r>
            <w:r>
              <w:rPr>
                <w:rFonts w:hint="eastAsia" w:cs="Times New Roman"/>
                <w:color w:val="auto"/>
                <w:sz w:val="24"/>
                <w:szCs w:val="24"/>
                <w:highlight w:val="none"/>
                <w:lang w:eastAsia="zh-CN"/>
              </w:rPr>
              <w:t>整体呈规则矩形，</w:t>
            </w:r>
            <w:r>
              <w:rPr>
                <w:rFonts w:hint="default" w:ascii="Times New Roman" w:hAnsi="Times New Roman" w:cs="Times New Roman"/>
                <w:color w:val="auto"/>
                <w:sz w:val="24"/>
                <w:szCs w:val="24"/>
                <w:highlight w:val="none"/>
                <w:lang w:eastAsia="zh-CN"/>
              </w:rPr>
              <w:t>东侧设主出入口，经外接道路与现有公路连通，方便生产运输；厂区南侧设次入口，经外接道路与园区纬十二路连接，方便进出办公生活区，厂区外部交通便利。</w:t>
            </w:r>
          </w:p>
          <w:p w14:paraId="5BCB4AA1">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厂区内各建、构筑物出入口就近与主次干道相连接，形成便捷的道路网络，主干道宽7m，次干道宽4m，道路回转半径为 9m、6m，满足项目运输要求。</w:t>
            </w:r>
          </w:p>
          <w:p w14:paraId="160994C8">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厂区通过主干道及绿化将生产区和办公生活区分割成为两个相对独立而又相互依托的建筑群体，以利生产和管理。</w:t>
            </w:r>
          </w:p>
          <w:p w14:paraId="1AEBAEB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项目平面布置合理性分析</w:t>
            </w:r>
          </w:p>
          <w:p w14:paraId="1714E345">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eastAsia" w:cs="Times New Roman"/>
                <w:color w:val="auto"/>
                <w:sz w:val="24"/>
                <w:szCs w:val="24"/>
                <w:highlight w:val="none"/>
                <w:lang w:eastAsia="zh-CN"/>
              </w:rPr>
              <w:t>项目</w:t>
            </w:r>
            <w:r>
              <w:rPr>
                <w:rFonts w:hint="default" w:ascii="Times New Roman" w:hAnsi="Times New Roman" w:cs="Times New Roman"/>
                <w:color w:val="auto"/>
                <w:sz w:val="24"/>
                <w:szCs w:val="24"/>
                <w:highlight w:val="none"/>
                <w:lang w:eastAsia="zh-CN"/>
              </w:rPr>
              <w:t>根据工艺流程和地形，</w:t>
            </w:r>
            <w:r>
              <w:rPr>
                <w:rFonts w:hint="eastAsia" w:cs="Times New Roman"/>
                <w:color w:val="auto"/>
                <w:sz w:val="24"/>
                <w:szCs w:val="24"/>
                <w:highlight w:val="none"/>
                <w:lang w:eastAsia="zh-CN"/>
              </w:rPr>
              <w:t>将</w:t>
            </w:r>
            <w:r>
              <w:rPr>
                <w:rFonts w:hint="default" w:ascii="Times New Roman" w:hAnsi="Times New Roman" w:cs="Times New Roman"/>
                <w:color w:val="auto"/>
                <w:sz w:val="24"/>
                <w:szCs w:val="24"/>
                <w:highlight w:val="none"/>
                <w:lang w:eastAsia="zh-CN"/>
              </w:rPr>
              <w:t>厂区分为生产区及办公生活区。</w:t>
            </w:r>
            <w:r>
              <w:rPr>
                <w:rFonts w:hint="eastAsia" w:cs="Times New Roman"/>
                <w:color w:val="auto"/>
                <w:sz w:val="24"/>
                <w:szCs w:val="24"/>
                <w:highlight w:val="none"/>
                <w:lang w:eastAsia="zh-CN"/>
              </w:rPr>
              <w:t>其中</w:t>
            </w:r>
            <w:r>
              <w:rPr>
                <w:rFonts w:hint="default" w:ascii="Times New Roman" w:hAnsi="Times New Roman" w:cs="Times New Roman"/>
                <w:color w:val="auto"/>
                <w:sz w:val="24"/>
                <w:szCs w:val="24"/>
                <w:highlight w:val="none"/>
                <w:lang w:eastAsia="zh-CN"/>
              </w:rPr>
              <w:t>生产区布置在厂区北部，办公生活区布置在厂区上风向的东南角。生产区内自西向东依次布置有上料车间、炭化车间和蒸汽车间，机制炭和成品仓库位于炭化车间南部，冷却循环系统紧邻蒸汽车间布置。</w:t>
            </w:r>
            <w:r>
              <w:rPr>
                <w:rFonts w:hint="eastAsia" w:cs="Times New Roman"/>
                <w:color w:val="auto"/>
                <w:sz w:val="24"/>
                <w:szCs w:val="24"/>
                <w:highlight w:val="none"/>
                <w:lang w:eastAsia="zh-CN"/>
              </w:rPr>
              <w:t>危险废物暂存间位于厂区西北角，位于办公生活区下风下水方向。</w:t>
            </w:r>
            <w:r>
              <w:rPr>
                <w:rFonts w:hint="default" w:ascii="Times New Roman" w:hAnsi="Times New Roman" w:cs="Times New Roman"/>
                <w:color w:val="auto"/>
                <w:sz w:val="24"/>
                <w:szCs w:val="24"/>
                <w:highlight w:val="none"/>
                <w:lang w:eastAsia="zh-CN"/>
              </w:rPr>
              <w:t>总体而言生产区域内使工艺流程顺畅，各种工程管线短捷，建筑物组合紧凑，功能分区明确</w:t>
            </w:r>
            <w:r>
              <w:rPr>
                <w:rFonts w:hint="eastAsia" w:cs="Times New Roman"/>
                <w:color w:val="auto"/>
                <w:sz w:val="24"/>
                <w:szCs w:val="24"/>
                <w:highlight w:val="none"/>
                <w:lang w:eastAsia="zh-CN"/>
              </w:rPr>
              <w:t>，平面布置合理</w:t>
            </w:r>
            <w:r>
              <w:rPr>
                <w:rFonts w:hint="default" w:ascii="Times New Roman" w:hAnsi="Times New Roman" w:cs="Times New Roman"/>
                <w:color w:val="auto"/>
                <w:sz w:val="24"/>
                <w:szCs w:val="24"/>
                <w:highlight w:val="none"/>
                <w:lang w:eastAsia="zh-CN"/>
              </w:rPr>
              <w:t>。</w:t>
            </w:r>
          </w:p>
          <w:p w14:paraId="04FF5DA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lang w:eastAsia="zh-CN"/>
              </w:rPr>
              <w:t>项目具体平面布置见平面布置图</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rPr>
              <w:t>。</w:t>
            </w:r>
          </w:p>
          <w:p w14:paraId="1F9FA6FE">
            <w:pPr>
              <w:adjustRightInd w:val="0"/>
              <w:snapToGrid w:val="0"/>
              <w:spacing w:line="360" w:lineRule="auto"/>
              <w:ind w:firstLine="482" w:firstLineChars="200"/>
              <w:rPr>
                <w:b/>
                <w:bCs/>
                <w:color w:val="auto"/>
                <w:sz w:val="24"/>
              </w:rPr>
            </w:pPr>
            <w:r>
              <w:rPr>
                <w:rFonts w:hint="eastAsia"/>
                <w:b/>
                <w:bCs/>
                <w:color w:val="auto"/>
                <w:sz w:val="24"/>
                <w:lang w:val="en-US" w:eastAsia="zh-CN"/>
              </w:rPr>
              <w:t>七</w:t>
            </w:r>
            <w:r>
              <w:rPr>
                <w:rFonts w:hint="eastAsia"/>
                <w:b/>
                <w:bCs/>
                <w:color w:val="auto"/>
                <w:sz w:val="24"/>
              </w:rPr>
              <w:t>、劳动定员及工作制度</w:t>
            </w:r>
          </w:p>
          <w:p w14:paraId="48C35184">
            <w:pPr>
              <w:adjustRightInd w:val="0"/>
              <w:snapToGrid w:val="0"/>
              <w:spacing w:line="360" w:lineRule="auto"/>
              <w:ind w:firstLine="480" w:firstLineChars="200"/>
              <w:rPr>
                <w:color w:val="auto"/>
                <w:sz w:val="24"/>
              </w:rPr>
            </w:pPr>
            <w:r>
              <w:rPr>
                <w:rFonts w:hint="eastAsia"/>
                <w:color w:val="auto"/>
                <w:sz w:val="24"/>
              </w:rPr>
              <w:t>项目设计劳动定员80人，四班三运转，日工作时长24h，年操作时长7200h（300d）。</w:t>
            </w:r>
          </w:p>
          <w:p w14:paraId="4D2A9D65">
            <w:pPr>
              <w:adjustRightInd w:val="0"/>
              <w:snapToGrid w:val="0"/>
              <w:spacing w:line="360" w:lineRule="auto"/>
              <w:ind w:firstLine="482" w:firstLineChars="200"/>
              <w:rPr>
                <w:b/>
                <w:bCs/>
                <w:color w:val="auto"/>
                <w:sz w:val="24"/>
              </w:rPr>
            </w:pPr>
            <w:r>
              <w:rPr>
                <w:rFonts w:hint="eastAsia"/>
                <w:b/>
                <w:bCs/>
                <w:color w:val="auto"/>
                <w:sz w:val="24"/>
                <w:lang w:val="en-US" w:eastAsia="zh-CN"/>
              </w:rPr>
              <w:t>八</w:t>
            </w:r>
            <w:r>
              <w:rPr>
                <w:rFonts w:hint="eastAsia"/>
                <w:b/>
                <w:bCs/>
                <w:color w:val="auto"/>
                <w:sz w:val="24"/>
              </w:rPr>
              <w:t>、公用工程</w:t>
            </w:r>
          </w:p>
          <w:p w14:paraId="50C9A63B">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）给水</w:t>
            </w:r>
          </w:p>
          <w:p w14:paraId="5C4451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rPr>
            </w:pPr>
            <w:r>
              <w:rPr>
                <w:rFonts w:hint="eastAsia" w:cs="Times New Roman"/>
                <w:color w:val="auto"/>
                <w:sz w:val="24"/>
                <w:szCs w:val="24"/>
                <w:highlight w:val="none"/>
                <w:lang w:eastAsia="zh-CN"/>
              </w:rPr>
              <w:t>项目年新鲜用水量为</w:t>
            </w:r>
            <w:r>
              <w:rPr>
                <w:rFonts w:hint="eastAsia" w:cs="Times New Roman"/>
                <w:color w:val="auto"/>
                <w:sz w:val="24"/>
                <w:szCs w:val="24"/>
                <w:highlight w:val="none"/>
                <w:lang w:val="en-US" w:eastAsia="zh-CN"/>
              </w:rPr>
              <w:t>331195.2m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lang w:eastAsia="zh-CN"/>
              </w:rPr>
              <w:t>，全部由园区现有供水管网供给，水量及水压可以满足项目所需。</w:t>
            </w:r>
          </w:p>
          <w:p w14:paraId="5F4BD7C9">
            <w:pPr>
              <w:keepNext w:val="0"/>
              <w:keepLines w:val="0"/>
              <w:suppressLineNumbers w:val="0"/>
              <w:shd w:val="clear"/>
              <w:spacing w:before="0" w:beforeAutospacing="0" w:after="0" w:afterAutospacing="0" w:line="360" w:lineRule="auto"/>
              <w:ind w:left="0" w:right="0" w:firstLine="480"/>
              <w:rPr>
                <w:rFonts w:hint="eastAsia" w:cs="Times New Roman"/>
                <w:b/>
                <w:bCs/>
                <w:color w:val="auto"/>
                <w:highlight w:val="none"/>
                <w:lang w:eastAsia="zh-CN"/>
              </w:rPr>
            </w:pPr>
            <w:r>
              <w:rPr>
                <w:rFonts w:hint="eastAsia" w:cs="Times New Roman"/>
                <w:b/>
                <w:bCs/>
                <w:color w:val="auto"/>
                <w:highlight w:val="none"/>
                <w:lang w:eastAsia="zh-CN"/>
              </w:rPr>
              <w:t>用水量：</w:t>
            </w:r>
          </w:p>
          <w:p w14:paraId="6BA2FF30">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①</w:t>
            </w:r>
            <w:r>
              <w:rPr>
                <w:rFonts w:hint="eastAsia" w:cs="Times New Roman"/>
                <w:color w:val="auto"/>
                <w:sz w:val="24"/>
                <w:szCs w:val="24"/>
                <w:highlight w:val="none"/>
                <w:lang w:eastAsia="zh-CN"/>
              </w:rPr>
              <w:t>冷却循环系统补充水</w:t>
            </w:r>
          </w:p>
          <w:p w14:paraId="684319AA">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项目冷却循环系统设计循环水量为</w:t>
            </w:r>
            <w:r>
              <w:rPr>
                <w:rFonts w:hint="eastAsia" w:cs="Times New Roman"/>
                <w:color w:val="auto"/>
                <w:sz w:val="24"/>
                <w:szCs w:val="24"/>
                <w:highlight w:val="none"/>
                <w:lang w:val="en-US" w:eastAsia="zh-CN"/>
              </w:rPr>
              <w:t>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/h，根据下文核算结果，其运行期间损失水量为42.363m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/h，企业直接以新鲜水补充冷却循环水，补充水量为42.363m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eastAsia="zh-CN"/>
              </w:rPr>
              <w:t>。</w:t>
            </w:r>
          </w:p>
          <w:p w14:paraId="2D4ED306">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w:t>
            </w:r>
            <w:r>
              <w:rPr>
                <w:rFonts w:hint="eastAsia" w:cs="Times New Roman"/>
                <w:color w:val="auto"/>
                <w:sz w:val="24"/>
                <w:szCs w:val="24"/>
                <w:highlight w:val="none"/>
                <w:lang w:eastAsia="zh-CN"/>
              </w:rPr>
              <w:t>汽水系统补充水</w:t>
            </w:r>
          </w:p>
          <w:p w14:paraId="1C143E1C">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根据下文核算，项目汽水系统损失水量为</w:t>
            </w:r>
            <w:r>
              <w:rPr>
                <w:rFonts w:hint="eastAsia" w:cs="Times New Roman"/>
                <w:color w:val="auto"/>
                <w:sz w:val="24"/>
                <w:szCs w:val="24"/>
                <w:highlight w:val="none"/>
                <w:lang w:val="en-US" w:eastAsia="zh-CN"/>
              </w:rPr>
              <w:t>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/h），企业以经净化后的软水作为补充水，离子交换系统软水制备效率以80%计，则项目汽水系统补充水量为3.19m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/h（冬季3.39m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14:paraId="4795C447">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③</w:t>
            </w:r>
            <w:r>
              <w:rPr>
                <w:rFonts w:hint="eastAsia" w:cs="Times New Roman"/>
                <w:color w:val="auto"/>
                <w:sz w:val="24"/>
                <w:szCs w:val="24"/>
                <w:highlight w:val="none"/>
                <w:lang w:eastAsia="zh-CN"/>
              </w:rPr>
              <w:t>生活用水</w:t>
            </w:r>
          </w:p>
          <w:p w14:paraId="4B94B207">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项目劳动定员</w:t>
            </w:r>
            <w:r>
              <w:rPr>
                <w:rFonts w:hint="eastAsia" w:cs="Times New Roman"/>
                <w:color w:val="auto"/>
                <w:sz w:val="24"/>
                <w:szCs w:val="24"/>
                <w:highlight w:val="none"/>
                <w:lang w:val="en-US" w:eastAsia="zh-CN"/>
              </w:rPr>
              <w:t>80</w:t>
            </w:r>
            <w:r>
              <w:rPr>
                <w:rFonts w:hint="eastAsia" w:cs="Times New Roman"/>
                <w:color w:val="auto"/>
                <w:sz w:val="24"/>
                <w:szCs w:val="24"/>
                <w:highlight w:val="none"/>
                <w:lang w:eastAsia="zh-CN"/>
              </w:rPr>
              <w:t>人，根据《新疆维吾尔自治区工业和生活用水定额》，每人每天用水量为100L，故项目生活用水量为</w:t>
            </w:r>
            <w:r>
              <w:rPr>
                <w:rFonts w:hint="eastAsia" w:cs="Times New Roman"/>
                <w:color w:val="auto"/>
                <w:sz w:val="24"/>
                <w:szCs w:val="24"/>
                <w:highlight w:val="none"/>
                <w:lang w:val="en-US" w:eastAsia="zh-CN"/>
              </w:rPr>
              <w:t>8</w:t>
            </w:r>
            <w:r>
              <w:rPr>
                <w:rFonts w:hint="eastAsia" w:cs="Times New Roman"/>
                <w:color w:val="auto"/>
                <w:sz w:val="24"/>
                <w:szCs w:val="24"/>
                <w:highlight w:val="none"/>
                <w:lang w:eastAsia="zh-CN"/>
              </w:rPr>
              <w:t>m</w:t>
            </w:r>
            <w:r>
              <w:rPr>
                <w:rFonts w:hint="eastAsia" w:cs="Times New Roman"/>
                <w:color w:val="auto"/>
                <w:sz w:val="24"/>
                <w:szCs w:val="24"/>
                <w:highlight w:val="none"/>
                <w:vertAlign w:val="superscript"/>
                <w:lang w:eastAsia="zh-CN"/>
              </w:rPr>
              <w:t>3</w:t>
            </w:r>
            <w:r>
              <w:rPr>
                <w:rFonts w:hint="eastAsia" w:cs="Times New Roman"/>
                <w:color w:val="auto"/>
                <w:sz w:val="24"/>
                <w:szCs w:val="24"/>
                <w:highlight w:val="none"/>
                <w:lang w:eastAsia="zh-CN"/>
              </w:rPr>
              <w:t>/d（</w:t>
            </w:r>
            <w:r>
              <w:rPr>
                <w:rFonts w:hint="eastAsia" w:cs="Times New Roman"/>
                <w:color w:val="auto"/>
                <w:sz w:val="24"/>
                <w:szCs w:val="24"/>
                <w:highlight w:val="none"/>
                <w:lang w:val="en-US" w:eastAsia="zh-CN"/>
              </w:rPr>
              <w:t>2400</w:t>
            </w:r>
            <w:r>
              <w:rPr>
                <w:rFonts w:hint="eastAsia" w:cs="Times New Roman"/>
                <w:color w:val="auto"/>
                <w:sz w:val="24"/>
                <w:szCs w:val="24"/>
                <w:highlight w:val="none"/>
                <w:lang w:eastAsia="zh-CN"/>
              </w:rPr>
              <w:t>m</w:t>
            </w:r>
            <w:r>
              <w:rPr>
                <w:rFonts w:hint="eastAsia" w:cs="Times New Roman"/>
                <w:color w:val="auto"/>
                <w:sz w:val="24"/>
                <w:szCs w:val="24"/>
                <w:highlight w:val="none"/>
                <w:vertAlign w:val="superscript"/>
                <w:lang w:eastAsia="zh-CN"/>
              </w:rPr>
              <w:t>3</w:t>
            </w:r>
            <w:r>
              <w:rPr>
                <w:rFonts w:hint="eastAsia" w:cs="Times New Roman"/>
                <w:color w:val="auto"/>
                <w:sz w:val="24"/>
                <w:szCs w:val="24"/>
                <w:highlight w:val="none"/>
                <w:lang w:eastAsia="zh-CN"/>
              </w:rPr>
              <w:t>/a）。</w:t>
            </w:r>
          </w:p>
          <w:p w14:paraId="1BEB1236">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④脱硫系统用水</w:t>
            </w:r>
          </w:p>
          <w:p w14:paraId="4A5890B7">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脱硫系统运行时需在石灰石加水混合至密度为</w:t>
            </w:r>
            <w:r>
              <w:rPr>
                <w:rFonts w:hint="eastAsia" w:cs="Times New Roman"/>
                <w:color w:val="auto"/>
                <w:sz w:val="24"/>
                <w:szCs w:val="24"/>
                <w:highlight w:val="none"/>
                <w:lang w:val="en-US" w:eastAsia="zh-CN"/>
              </w:rPr>
              <w:t>1200kg/m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后进入脱硫塔，项目年使用756t石灰石，若其密度以2500kg/m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计，则浆液配置用水量为2124m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/a（0.295m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/h），其中新水用量237.6m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/a（0.033m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/h），其余部分为回用水</w:t>
            </w:r>
            <w:r>
              <w:rPr>
                <w:rFonts w:hint="eastAsia" w:cs="Times New Roman"/>
                <w:color w:val="auto"/>
                <w:sz w:val="24"/>
                <w:szCs w:val="24"/>
                <w:highlight w:val="none"/>
                <w:lang w:eastAsia="zh-CN"/>
              </w:rPr>
              <w:t>。</w:t>
            </w:r>
          </w:p>
          <w:p w14:paraId="6E1E640D">
            <w:pPr>
              <w:adjustRightInd w:val="0"/>
              <w:snapToGri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）排水</w:t>
            </w:r>
          </w:p>
          <w:p w14:paraId="77F007FB">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本项目运营期废水主要</w:t>
            </w:r>
            <w:r>
              <w:rPr>
                <w:rFonts w:hint="eastAsia" w:cs="Times New Roman"/>
                <w:color w:val="auto"/>
                <w:sz w:val="24"/>
                <w:szCs w:val="24"/>
                <w:highlight w:val="none"/>
                <w:lang w:eastAsia="zh-CN"/>
              </w:rPr>
              <w:t>分为</w:t>
            </w:r>
            <w:r>
              <w:rPr>
                <w:rFonts w:hint="eastAsia" w:ascii="Times New Roman" w:hAnsi="Times New Roman" w:cs="Times New Roman"/>
                <w:color w:val="auto"/>
                <w:sz w:val="24"/>
                <w:szCs w:val="24"/>
                <w:highlight w:val="none"/>
              </w:rPr>
              <w:t>生活污水和生产废水。生产废水</w:t>
            </w:r>
            <w:r>
              <w:rPr>
                <w:rFonts w:hint="eastAsia" w:cs="Times New Roman"/>
                <w:color w:val="auto"/>
                <w:sz w:val="24"/>
                <w:szCs w:val="24"/>
                <w:highlight w:val="none"/>
                <w:lang w:eastAsia="zh-CN"/>
              </w:rPr>
              <w:t>主要为净水车间产生的含盐废水以及各蒸汽发生器产生的定期排污，产生量为</w:t>
            </w:r>
            <w:r>
              <w:rPr>
                <w:rFonts w:hint="eastAsia" w:cs="Times New Roman"/>
                <w:color w:val="auto"/>
                <w:sz w:val="24"/>
                <w:szCs w:val="24"/>
                <w:highlight w:val="none"/>
                <w:lang w:val="en-US" w:eastAsia="zh-CN"/>
              </w:rPr>
              <w:t>15523.2m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eastAsia="zh-CN"/>
              </w:rPr>
              <w:t>生活污水产生量为</w:t>
            </w:r>
            <w:r>
              <w:rPr>
                <w:rFonts w:hint="eastAsia" w:cs="Times New Roman"/>
                <w:color w:val="auto"/>
                <w:sz w:val="24"/>
                <w:szCs w:val="24"/>
                <w:highlight w:val="none"/>
                <w:lang w:val="en-US" w:eastAsia="zh-CN"/>
              </w:rPr>
              <w:t>1920m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lang w:eastAsia="zh-CN"/>
              </w:rPr>
              <w:t>，这些废水收集后排入园区下水管网，进入园区污水处理厂处置。</w:t>
            </w:r>
          </w:p>
          <w:p w14:paraId="3BFB5CB4">
            <w:pPr>
              <w:keepNext w:val="0"/>
              <w:keepLines w:val="0"/>
              <w:suppressLineNumbers w:val="0"/>
              <w:shd w:val="clear"/>
              <w:spacing w:before="0" w:beforeAutospacing="0" w:after="0" w:afterAutospacing="0" w:line="360" w:lineRule="auto"/>
              <w:ind w:left="0" w:right="0" w:firstLine="480"/>
              <w:rPr>
                <w:rFonts w:hint="eastAsia" w:cs="Times New Roman"/>
                <w:b/>
                <w:bCs/>
                <w:color w:val="auto"/>
                <w:sz w:val="24"/>
                <w:szCs w:val="24"/>
                <w:highlight w:val="none"/>
                <w:lang w:eastAsia="zh-CN"/>
              </w:rPr>
            </w:pPr>
            <w:r>
              <w:rPr>
                <w:rFonts w:hint="eastAsia" w:cs="Times New Roman"/>
                <w:b/>
                <w:bCs/>
                <w:color w:val="auto"/>
                <w:sz w:val="24"/>
                <w:szCs w:val="24"/>
                <w:highlight w:val="none"/>
                <w:lang w:eastAsia="zh-CN"/>
              </w:rPr>
              <w:t>损失及排水量：</w:t>
            </w:r>
          </w:p>
          <w:p w14:paraId="3D4660CA">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w:t>
            </w:r>
            <w:r>
              <w:rPr>
                <w:rFonts w:hint="eastAsia" w:cs="Times New Roman"/>
                <w:color w:val="auto"/>
                <w:sz w:val="24"/>
                <w:szCs w:val="24"/>
                <w:highlight w:val="none"/>
                <w:lang w:eastAsia="zh-CN"/>
              </w:rPr>
              <w:t>冷却循环系统损失水</w:t>
            </w:r>
          </w:p>
          <w:p w14:paraId="2AF55020">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本次评价根据《工业循环水冷却设计规范》（GB/T50102-2014）中内容计算冷却循环系统损失水量：</w:t>
            </w:r>
          </w:p>
          <w:p w14:paraId="104F422C">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ascii="Times New Roman" w:hAnsi="Times New Roman" w:cs="Times New Roman"/>
                <w:color w:val="auto"/>
                <w:position w:val="-44"/>
                <w:sz w:val="24"/>
                <w:szCs w:val="24"/>
                <w:highlight w:val="none"/>
              </w:rPr>
              <w:pict>
                <v:shape id="_x0000_s1026" o:spid="_x0000_s1026" o:spt="75" type="#_x0000_t75" style="position:absolute;left:0pt;margin-left:168.95pt;margin-top:48.45pt;height:34.85pt;width:70.7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quation.KSEE3" ShapeID="_x0000_s1026" DrawAspect="Content" ObjectID="_1468075725" r:id="rId6">
                  <o:LockedField>false</o:LockedField>
                </o:OLEObject>
              </w:pict>
            </w:r>
            <w:r>
              <w:rPr>
                <w:rFonts w:hint="eastAsia" w:cs="Times New Roman"/>
                <w:color w:val="auto"/>
                <w:sz w:val="24"/>
                <w:szCs w:val="24"/>
                <w:highlight w:val="none"/>
                <w:lang w:val="en-US" w:eastAsia="zh-CN"/>
              </w:rPr>
              <w:t>A冷却塔蒸发损失水量。</w:t>
            </w:r>
            <w:r>
              <w:rPr>
                <w:rFonts w:hint="eastAsia" w:cs="Times New Roman"/>
                <w:color w:val="auto"/>
                <w:sz w:val="24"/>
                <w:szCs w:val="24"/>
                <w:highlight w:val="none"/>
                <w:lang w:eastAsia="zh-CN"/>
              </w:rPr>
              <w:t>项目冷却循环系统配备一座流量</w:t>
            </w:r>
            <w:r>
              <w:rPr>
                <w:rFonts w:hint="eastAsia" w:cs="Times New Roman"/>
                <w:color w:val="auto"/>
                <w:sz w:val="24"/>
                <w:szCs w:val="24"/>
                <w:highlight w:val="none"/>
                <w:lang w:val="en-US" w:eastAsia="zh-CN"/>
              </w:rPr>
              <w:t>Q=3500m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/h的机械通风冷却塔，其运行期间蒸发损失水量按下式计算：</w:t>
            </w:r>
          </w:p>
          <w:p w14:paraId="7D25C103">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color w:val="auto"/>
                <w:sz w:val="24"/>
                <w:szCs w:val="24"/>
                <w:highlight w:val="none"/>
              </w:rPr>
              <w:t>式中：</w:t>
            </w:r>
            <w:r>
              <w:rPr>
                <w:rFonts w:hint="eastAsia"/>
                <w:i/>
                <w:iCs/>
                <w:color w:val="auto"/>
                <w:sz w:val="24"/>
                <w:szCs w:val="24"/>
                <w:highlight w:val="none"/>
                <w:lang w:val="en-US" w:eastAsia="zh-CN"/>
              </w:rPr>
              <w:t>Qe</w:t>
            </w:r>
            <w:r>
              <w:rPr>
                <w:rFonts w:hint="default"/>
                <w:color w:val="auto"/>
                <w:sz w:val="24"/>
                <w:szCs w:val="24"/>
                <w:highlight w:val="none"/>
              </w:rPr>
              <w:t>——</w:t>
            </w:r>
            <w:r>
              <w:rPr>
                <w:rFonts w:hint="eastAsia"/>
                <w:color w:val="auto"/>
                <w:sz w:val="24"/>
                <w:szCs w:val="24"/>
                <w:highlight w:val="none"/>
                <w:lang w:eastAsia="zh-CN"/>
              </w:rPr>
              <w:t>蒸发损失水量</w:t>
            </w:r>
            <w:r>
              <w:rPr>
                <w:rFonts w:hint="eastAsia"/>
                <w:color w:val="auto"/>
                <w:sz w:val="24"/>
                <w:szCs w:val="24"/>
                <w:highlight w:val="none"/>
              </w:rPr>
              <w:t>，</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/h</w:t>
            </w:r>
            <w:r>
              <w:rPr>
                <w:rFonts w:hint="eastAsia"/>
                <w:color w:val="auto"/>
                <w:sz w:val="24"/>
                <w:szCs w:val="24"/>
                <w:highlight w:val="none"/>
              </w:rPr>
              <w:t>；</w:t>
            </w:r>
          </w:p>
          <w:p w14:paraId="093C3D57">
            <w:pPr>
              <w:keepNext w:val="0"/>
              <w:keepLines w:val="0"/>
              <w:suppressLineNumbers w:val="0"/>
              <w:shd w:val="clear"/>
              <w:spacing w:before="0" w:beforeAutospacing="0" w:after="0" w:afterAutospacing="0" w:line="360" w:lineRule="auto"/>
              <w:ind w:left="0" w:right="0" w:firstLine="480" w:firstLineChars="200"/>
              <w:rPr>
                <w:rFonts w:hint="eastAsia"/>
                <w:color w:val="auto"/>
                <w:sz w:val="24"/>
                <w:szCs w:val="24"/>
                <w:highlight w:val="none"/>
                <w:lang w:eastAsia="zh-CN"/>
              </w:rPr>
            </w:pPr>
            <w:r>
              <w:rPr>
                <w:rFonts w:hint="eastAsia"/>
                <w:color w:val="auto"/>
                <w:kern w:val="0"/>
                <w:sz w:val="24"/>
                <w:szCs w:val="24"/>
                <w:highlight w:val="none"/>
              </w:rPr>
              <w:t xml:space="preserve">    </w:t>
            </w:r>
            <w:r>
              <w:rPr>
                <w:rFonts w:hint="eastAsia"/>
                <w:color w:val="auto"/>
                <w:kern w:val="0"/>
                <w:sz w:val="24"/>
                <w:szCs w:val="24"/>
                <w:highlight w:val="none"/>
                <w:lang w:val="en-US" w:eastAsia="zh-CN"/>
              </w:rPr>
              <w:t xml:space="preserve"> </w:t>
            </w:r>
            <w:r>
              <w:rPr>
                <w:rFonts w:hint="eastAsia"/>
                <w:color w:val="auto"/>
                <w:kern w:val="0"/>
                <w:sz w:val="24"/>
                <w:szCs w:val="24"/>
                <w:highlight w:val="none"/>
              </w:rPr>
              <w:t xml:space="preserve"> </w:t>
            </w:r>
            <w:r>
              <w:rPr>
                <w:rFonts w:hint="eastAsia"/>
                <w:i/>
                <w:iCs/>
                <w:color w:val="auto"/>
                <w:kern w:val="0"/>
                <w:sz w:val="24"/>
                <w:szCs w:val="24"/>
                <w:highlight w:val="none"/>
              </w:rPr>
              <w:t>Δ</w:t>
            </w:r>
            <w:r>
              <w:rPr>
                <w:rFonts w:hint="eastAsia"/>
                <w:i/>
                <w:iCs/>
                <w:color w:val="auto"/>
                <w:kern w:val="0"/>
                <w:sz w:val="24"/>
                <w:szCs w:val="24"/>
                <w:highlight w:val="none"/>
                <w:lang w:val="en-US" w:eastAsia="zh-CN"/>
              </w:rPr>
              <w:t>t</w:t>
            </w:r>
            <w:r>
              <w:rPr>
                <w:rFonts w:hint="default"/>
                <w:color w:val="auto"/>
                <w:sz w:val="24"/>
                <w:szCs w:val="24"/>
                <w:highlight w:val="none"/>
              </w:rPr>
              <w:t>——</w:t>
            </w:r>
            <w:r>
              <w:rPr>
                <w:rFonts w:hint="eastAsia"/>
                <w:color w:val="auto"/>
                <w:sz w:val="24"/>
                <w:szCs w:val="24"/>
                <w:highlight w:val="none"/>
                <w:lang w:eastAsia="zh-CN"/>
              </w:rPr>
              <w:t>冷却塔进水与出水温度差</w:t>
            </w:r>
            <w:r>
              <w:rPr>
                <w:rFonts w:hint="eastAsia"/>
                <w:color w:val="auto"/>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lang w:eastAsia="zh-CN"/>
              </w:rPr>
              <w:t>℃；</w:t>
            </w:r>
          </w:p>
          <w:p w14:paraId="63C34B9C">
            <w:pPr>
              <w:keepNext w:val="0"/>
              <w:keepLines w:val="0"/>
              <w:suppressLineNumbers w:val="0"/>
              <w:shd w:val="clear"/>
              <w:spacing w:before="0" w:beforeAutospacing="0" w:after="0" w:afterAutospacing="0" w:line="360" w:lineRule="auto"/>
              <w:ind w:left="0" w:right="0" w:firstLine="1200" w:firstLineChars="500"/>
              <w:rPr>
                <w:rFonts w:hint="default"/>
                <w:color w:val="auto"/>
                <w:kern w:val="0"/>
                <w:sz w:val="24"/>
                <w:szCs w:val="24"/>
                <w:highlight w:val="none"/>
              </w:rPr>
            </w:pPr>
            <w:r>
              <w:rPr>
                <w:rFonts w:hint="eastAsia"/>
                <w:i/>
                <w:iCs/>
                <w:color w:val="auto"/>
                <w:sz w:val="24"/>
                <w:szCs w:val="24"/>
                <w:highlight w:val="none"/>
                <w:lang w:val="en-US" w:eastAsia="zh-CN"/>
              </w:rPr>
              <w:t>Ke</w:t>
            </w:r>
            <w:r>
              <w:rPr>
                <w:rFonts w:hint="eastAsia"/>
                <w:color w:val="auto"/>
                <w:sz w:val="24"/>
                <w:szCs w:val="24"/>
                <w:highlight w:val="none"/>
                <w:lang w:val="en-US" w:eastAsia="zh-CN"/>
              </w:rPr>
              <w:t>——蒸发水量损失系数，根据GB/T50392-2016中内容，取0.12</w:t>
            </w:r>
            <w:r>
              <w:rPr>
                <w:rFonts w:hint="eastAsia"/>
                <w:color w:val="auto"/>
                <w:sz w:val="24"/>
                <w:szCs w:val="24"/>
                <w:highlight w:val="none"/>
                <w:lang w:eastAsia="zh-CN"/>
              </w:rPr>
              <w:t>；</w:t>
            </w:r>
          </w:p>
          <w:p w14:paraId="7ED24B85">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经计算，项目机械通风冷却塔蒸发损失水量为</w:t>
            </w:r>
            <w:r>
              <w:rPr>
                <w:rFonts w:hint="eastAsia" w:cs="Times New Roman"/>
                <w:color w:val="auto"/>
                <w:sz w:val="24"/>
                <w:szCs w:val="24"/>
                <w:highlight w:val="none"/>
                <w:lang w:val="en-US" w:eastAsia="zh-CN"/>
              </w:rPr>
              <w:t>0.12*10*3500m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/h÷100=42m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14:paraId="57798172">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ascii="Times New Roman" w:hAnsi="Times New Roman" w:cs="Times New Roman"/>
                <w:color w:val="auto"/>
                <w:position w:val="-44"/>
                <w:sz w:val="24"/>
                <w:szCs w:val="24"/>
                <w:highlight w:val="none"/>
              </w:rPr>
              <w:pict>
                <v:shape id="_x0000_s1027" o:spid="_x0000_s1027" o:spt="75" type="#_x0000_t75" style="position:absolute;left:0pt;margin-left:178.45pt;margin-top:24.95pt;height:35pt;width:58.7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quation.KSEE3" ShapeID="_x0000_s1027" DrawAspect="Content" ObjectID="_1468075726" r:id="rId8">
                  <o:LockedField>false</o:LockedField>
                </o:OLEObject>
              </w:pict>
            </w:r>
            <w:r>
              <w:rPr>
                <w:rFonts w:hint="eastAsia" w:cs="Times New Roman"/>
                <w:color w:val="auto"/>
                <w:sz w:val="24"/>
                <w:szCs w:val="24"/>
                <w:highlight w:val="none"/>
                <w:lang w:val="en-US" w:eastAsia="zh-CN"/>
              </w:rPr>
              <w:t>B冷却塔风吹损失水量。冷却塔运行期间风吹损失水量按下式计算：</w:t>
            </w:r>
          </w:p>
          <w:p w14:paraId="127A8FFA">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color w:val="auto"/>
                <w:sz w:val="24"/>
                <w:szCs w:val="24"/>
                <w:highlight w:val="none"/>
              </w:rPr>
              <w:t>式中：</w:t>
            </w:r>
            <w:r>
              <w:rPr>
                <w:rFonts w:hint="eastAsia"/>
                <w:i/>
                <w:iCs/>
                <w:color w:val="auto"/>
                <w:sz w:val="24"/>
                <w:szCs w:val="24"/>
                <w:highlight w:val="none"/>
                <w:lang w:val="en-US" w:eastAsia="zh-CN"/>
              </w:rPr>
              <w:t>Qw</w:t>
            </w:r>
            <w:r>
              <w:rPr>
                <w:rFonts w:hint="default"/>
                <w:color w:val="auto"/>
                <w:sz w:val="24"/>
                <w:szCs w:val="24"/>
                <w:highlight w:val="none"/>
              </w:rPr>
              <w:t>——</w:t>
            </w:r>
            <w:r>
              <w:rPr>
                <w:rFonts w:hint="eastAsia"/>
                <w:color w:val="auto"/>
                <w:sz w:val="24"/>
                <w:szCs w:val="24"/>
                <w:highlight w:val="none"/>
                <w:lang w:eastAsia="zh-CN"/>
              </w:rPr>
              <w:t>风吹损失水量</w:t>
            </w:r>
            <w:r>
              <w:rPr>
                <w:rFonts w:hint="eastAsia"/>
                <w:color w:val="auto"/>
                <w:sz w:val="24"/>
                <w:szCs w:val="24"/>
                <w:highlight w:val="none"/>
              </w:rPr>
              <w:t>，</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/h</w:t>
            </w:r>
            <w:r>
              <w:rPr>
                <w:rFonts w:hint="eastAsia"/>
                <w:color w:val="auto"/>
                <w:sz w:val="24"/>
                <w:szCs w:val="24"/>
                <w:highlight w:val="none"/>
              </w:rPr>
              <w:t>；</w:t>
            </w:r>
          </w:p>
          <w:p w14:paraId="436B522C">
            <w:pPr>
              <w:keepNext w:val="0"/>
              <w:keepLines w:val="0"/>
              <w:suppressLineNumbers w:val="0"/>
              <w:shd w:val="clear"/>
              <w:spacing w:before="0" w:beforeAutospacing="0" w:after="0" w:afterAutospacing="0" w:line="360" w:lineRule="auto"/>
              <w:ind w:left="0" w:right="0" w:firstLine="480" w:firstLineChars="200"/>
              <w:rPr>
                <w:rFonts w:hint="default"/>
                <w:color w:val="auto"/>
                <w:kern w:val="0"/>
                <w:sz w:val="24"/>
                <w:szCs w:val="24"/>
                <w:highlight w:val="none"/>
              </w:rPr>
            </w:pPr>
            <w:r>
              <w:rPr>
                <w:rFonts w:hint="eastAsia"/>
                <w:color w:val="auto"/>
                <w:sz w:val="24"/>
                <w:szCs w:val="24"/>
                <w:highlight w:val="none"/>
              </w:rPr>
              <w:t xml:space="preserve">      </w:t>
            </w:r>
            <w:r>
              <w:rPr>
                <w:rFonts w:hint="eastAsia"/>
                <w:i/>
                <w:iCs/>
                <w:color w:val="auto"/>
                <w:sz w:val="24"/>
                <w:szCs w:val="24"/>
                <w:highlight w:val="none"/>
                <w:lang w:val="en-US" w:eastAsia="zh-CN"/>
              </w:rPr>
              <w:t>Pw</w:t>
            </w:r>
            <w:r>
              <w:rPr>
                <w:rFonts w:hint="default"/>
                <w:color w:val="auto"/>
                <w:sz w:val="24"/>
                <w:szCs w:val="24"/>
                <w:highlight w:val="none"/>
              </w:rPr>
              <w:t>——</w:t>
            </w:r>
            <w:r>
              <w:rPr>
                <w:rFonts w:hint="eastAsia"/>
                <w:color w:val="auto"/>
                <w:sz w:val="24"/>
                <w:szCs w:val="24"/>
                <w:highlight w:val="none"/>
                <w:lang w:eastAsia="zh-CN"/>
              </w:rPr>
              <w:t>收水器与进风口的风吹损失百分率，取</w:t>
            </w:r>
            <w:r>
              <w:rPr>
                <w:rFonts w:hint="eastAsia"/>
                <w:color w:val="auto"/>
                <w:sz w:val="24"/>
                <w:szCs w:val="24"/>
                <w:highlight w:val="none"/>
                <w:lang w:val="en-US" w:eastAsia="zh-CN"/>
              </w:rPr>
              <w:t>0.01%</w:t>
            </w:r>
            <w:r>
              <w:rPr>
                <w:rFonts w:hint="eastAsia"/>
                <w:color w:val="auto"/>
                <w:sz w:val="24"/>
                <w:szCs w:val="24"/>
                <w:highlight w:val="none"/>
              </w:rPr>
              <w:t>；</w:t>
            </w:r>
          </w:p>
          <w:p w14:paraId="34B6CA79">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经计算，项目机械通风冷却塔风吹损失水量为</w:t>
            </w:r>
            <w:r>
              <w:rPr>
                <w:rFonts w:hint="eastAsia" w:cs="Times New Roman"/>
                <w:color w:val="auto"/>
                <w:sz w:val="24"/>
                <w:szCs w:val="24"/>
                <w:highlight w:val="none"/>
                <w:lang w:val="en-US" w:eastAsia="zh-CN"/>
              </w:rPr>
              <w:t>0.01*3500m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/h÷100=0.35m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14:paraId="4150F02D">
            <w:pPr>
              <w:keepNext w:val="0"/>
              <w:keepLines w:val="0"/>
              <w:suppressLineNumbers w:val="0"/>
              <w:shd w:val="clear"/>
              <w:spacing w:before="0" w:beforeAutospacing="0" w:after="0" w:afterAutospacing="0" w:line="360" w:lineRule="auto"/>
              <w:ind w:left="0" w:right="0" w:firstLine="480"/>
              <w:rPr>
                <w:rFonts w:hint="eastAsia"/>
                <w:color w:val="auto"/>
                <w:sz w:val="24"/>
                <w:szCs w:val="24"/>
                <w:highlight w:val="none"/>
              </w:rPr>
            </w:pPr>
            <w:r>
              <w:rPr>
                <w:rFonts w:hint="eastAsia" w:cs="Times New Roman"/>
                <w:color w:val="auto"/>
                <w:sz w:val="24"/>
                <w:szCs w:val="24"/>
                <w:highlight w:val="none"/>
                <w:lang w:val="en-US" w:eastAsia="zh-CN"/>
              </w:rPr>
              <w:t>C冷却循环池自然蒸发水量。项目所在区域平均风速2.5m/s，其水面蒸发系数</w:t>
            </w:r>
            <w:r>
              <w:rPr>
                <w:rFonts w:hint="default" w:ascii="Times New Roman" w:hAnsi="Times New Roman" w:cs="Times New Roman"/>
                <w:color w:val="auto"/>
                <w:sz w:val="24"/>
                <w:szCs w:val="24"/>
                <w:highlight w:val="none"/>
                <w:lang w:val="en-US" w:eastAsia="zh-CN"/>
              </w:rPr>
              <w:t>α</w:t>
            </w:r>
            <w:r>
              <w:rPr>
                <w:rFonts w:hint="eastAsia" w:ascii="Times New Roman" w:hAnsi="Times New Roman" w:cs="Times New Roman"/>
                <w:color w:val="auto"/>
                <w:sz w:val="24"/>
                <w:szCs w:val="24"/>
                <w:highlight w:val="none"/>
                <w:lang w:val="en-US" w:eastAsia="zh-CN"/>
              </w:rPr>
              <w:t>为11.4，其自然蒸发量按下式计算：</w:t>
            </w:r>
          </w:p>
          <w:p w14:paraId="07DDAD11">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ascii="Times New Roman" w:hAnsi="Times New Roman" w:cs="Times New Roman"/>
                <w:color w:val="auto"/>
                <w:position w:val="-44"/>
                <w:sz w:val="24"/>
                <w:szCs w:val="24"/>
                <w:highlight w:val="none"/>
              </w:rPr>
              <w:pict>
                <v:shape id="_x0000_s1028" o:spid="_x0000_s1028" o:spt="75" type="#_x0000_t75" style="position:absolute;left:0pt;margin-left:112.2pt;margin-top:1.8pt;height:38.45pt;width:183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quation.KSEE3" ShapeID="_x0000_s1028" DrawAspect="Content" ObjectID="_1468075727" r:id="rId10">
                  <o:LockedField>false</o:LockedField>
                </o:OLEObject>
              </w:pict>
            </w:r>
            <w:r>
              <w:rPr>
                <w:rFonts w:hint="eastAsia"/>
                <w:color w:val="auto"/>
                <w:sz w:val="24"/>
                <w:szCs w:val="24"/>
                <w:highlight w:val="none"/>
              </w:rPr>
              <w:t>式中：</w:t>
            </w:r>
            <w:r>
              <w:rPr>
                <w:rFonts w:hint="eastAsia"/>
                <w:i/>
                <w:iCs/>
                <w:color w:val="auto"/>
                <w:sz w:val="24"/>
                <w:szCs w:val="24"/>
                <w:highlight w:val="none"/>
                <w:lang w:val="en-US" w:eastAsia="zh-CN"/>
              </w:rPr>
              <w:t>E</w:t>
            </w:r>
            <w:r>
              <w:rPr>
                <w:rFonts w:hint="default"/>
                <w:color w:val="auto"/>
                <w:sz w:val="24"/>
                <w:szCs w:val="24"/>
                <w:highlight w:val="none"/>
              </w:rPr>
              <w:t>——</w:t>
            </w:r>
            <w:r>
              <w:rPr>
                <w:rFonts w:hint="eastAsia"/>
                <w:color w:val="auto"/>
                <w:sz w:val="24"/>
                <w:szCs w:val="24"/>
                <w:highlight w:val="none"/>
                <w:lang w:eastAsia="zh-CN"/>
              </w:rPr>
              <w:t>水面自然蒸发率</w:t>
            </w:r>
            <w:r>
              <w:rPr>
                <w:rFonts w:hint="eastAsia"/>
                <w:color w:val="auto"/>
                <w:sz w:val="24"/>
                <w:szCs w:val="24"/>
                <w:highlight w:val="none"/>
              </w:rPr>
              <w:t>，</w:t>
            </w:r>
            <w:r>
              <w:rPr>
                <w:rFonts w:hint="eastAsia"/>
                <w:color w:val="auto"/>
                <w:sz w:val="24"/>
                <w:szCs w:val="24"/>
                <w:highlight w:val="none"/>
                <w:lang w:val="en-US" w:eastAsia="zh-CN"/>
              </w:rPr>
              <w:t>（mm/d）</w:t>
            </w:r>
            <w:r>
              <w:rPr>
                <w:rFonts w:hint="eastAsia"/>
                <w:color w:val="auto"/>
                <w:sz w:val="24"/>
                <w:szCs w:val="24"/>
                <w:highlight w:val="none"/>
              </w:rPr>
              <w:t>；</w:t>
            </w:r>
          </w:p>
          <w:p w14:paraId="2A2A8B33">
            <w:pPr>
              <w:keepNext w:val="0"/>
              <w:keepLines w:val="0"/>
              <w:suppressLineNumbers w:val="0"/>
              <w:shd w:val="clear"/>
              <w:spacing w:before="0" w:beforeAutospacing="0" w:after="0" w:afterAutospacing="0" w:line="360" w:lineRule="auto"/>
              <w:ind w:left="0" w:right="0" w:firstLine="480" w:firstLineChars="200"/>
              <w:rPr>
                <w:rFonts w:hint="eastAsia"/>
                <w:color w:val="auto"/>
                <w:sz w:val="24"/>
                <w:szCs w:val="24"/>
                <w:highlight w:val="none"/>
              </w:rPr>
            </w:pPr>
            <w:r>
              <w:rPr>
                <w:rFonts w:hint="eastAsia"/>
                <w:color w:val="auto"/>
                <w:sz w:val="24"/>
                <w:szCs w:val="24"/>
                <w:highlight w:val="none"/>
              </w:rPr>
              <w:t xml:space="preserve">      </w:t>
            </w:r>
            <w:r>
              <w:rPr>
                <w:rFonts w:hint="default" w:ascii="Times New Roman" w:hAnsi="Times New Roman" w:cs="Times New Roman"/>
                <w:i/>
                <w:iCs/>
                <w:color w:val="auto"/>
                <w:sz w:val="24"/>
                <w:szCs w:val="24"/>
                <w:highlight w:val="none"/>
                <w:vertAlign w:val="baseline"/>
                <w:lang w:val="en-US" w:eastAsia="zh-CN"/>
              </w:rPr>
              <w:t>ρw</w:t>
            </w:r>
            <w:r>
              <w:rPr>
                <w:rFonts w:hint="default"/>
                <w:color w:val="auto"/>
                <w:sz w:val="24"/>
                <w:szCs w:val="24"/>
                <w:highlight w:val="none"/>
              </w:rPr>
              <w:t>——</w:t>
            </w:r>
            <w:r>
              <w:rPr>
                <w:rFonts w:hint="eastAsia"/>
                <w:color w:val="auto"/>
                <w:sz w:val="24"/>
                <w:szCs w:val="24"/>
                <w:highlight w:val="none"/>
                <w:lang w:eastAsia="zh-CN"/>
              </w:rPr>
              <w:t>水的密度，取</w:t>
            </w:r>
            <w:r>
              <w:rPr>
                <w:rFonts w:hint="eastAsia"/>
                <w:color w:val="auto"/>
                <w:sz w:val="24"/>
                <w:szCs w:val="24"/>
                <w:highlight w:val="none"/>
                <w:lang w:val="en-US" w:eastAsia="zh-CN"/>
              </w:rPr>
              <w:t>1000kg/m</w:t>
            </w:r>
            <w:r>
              <w:rPr>
                <w:rFonts w:hint="eastAsia"/>
                <w:color w:val="auto"/>
                <w:sz w:val="24"/>
                <w:szCs w:val="24"/>
                <w:highlight w:val="none"/>
                <w:vertAlign w:val="superscript"/>
                <w:lang w:val="en-US" w:eastAsia="zh-CN"/>
              </w:rPr>
              <w:t>3</w:t>
            </w:r>
            <w:r>
              <w:rPr>
                <w:rFonts w:hint="eastAsia"/>
                <w:color w:val="auto"/>
                <w:sz w:val="24"/>
                <w:szCs w:val="24"/>
                <w:highlight w:val="none"/>
              </w:rPr>
              <w:t>；</w:t>
            </w:r>
          </w:p>
          <w:p w14:paraId="5D158662">
            <w:pPr>
              <w:keepNext w:val="0"/>
              <w:keepLines w:val="0"/>
              <w:suppressLineNumbers w:val="0"/>
              <w:shd w:val="clear"/>
              <w:spacing w:before="0" w:beforeAutospacing="0" w:after="0" w:afterAutospacing="0" w:line="360" w:lineRule="auto"/>
              <w:ind w:left="0" w:right="0" w:firstLine="1200" w:firstLineChars="500"/>
              <w:rPr>
                <w:rFonts w:hint="eastAsia"/>
                <w:i w:val="0"/>
                <w:iCs w:val="0"/>
                <w:color w:val="auto"/>
                <w:sz w:val="24"/>
                <w:szCs w:val="24"/>
                <w:highlight w:val="none"/>
                <w:lang w:val="en-US" w:eastAsia="zh-CN"/>
              </w:rPr>
            </w:pPr>
            <w:r>
              <w:rPr>
                <w:rFonts w:hint="eastAsia"/>
                <w:i/>
                <w:iCs/>
                <w:color w:val="auto"/>
                <w:sz w:val="24"/>
                <w:szCs w:val="24"/>
                <w:highlight w:val="none"/>
                <w:lang w:val="en-US" w:eastAsia="zh-CN"/>
              </w:rPr>
              <w:t>Ts</w:t>
            </w:r>
            <w:r>
              <w:rPr>
                <w:rFonts w:hint="eastAsia"/>
                <w:i w:val="0"/>
                <w:iCs w:val="0"/>
                <w:color w:val="auto"/>
                <w:sz w:val="24"/>
                <w:szCs w:val="24"/>
                <w:highlight w:val="none"/>
                <w:lang w:val="en-US" w:eastAsia="zh-CN"/>
              </w:rPr>
              <w:t>——水面水温，取33℃；</w:t>
            </w:r>
          </w:p>
          <w:p w14:paraId="2EF3986C">
            <w:pPr>
              <w:keepNext w:val="0"/>
              <w:keepLines w:val="0"/>
              <w:suppressLineNumbers w:val="0"/>
              <w:shd w:val="clear"/>
              <w:spacing w:before="0" w:beforeAutospacing="0" w:after="0" w:afterAutospacing="0" w:line="360" w:lineRule="auto"/>
              <w:ind w:left="0" w:right="0" w:firstLine="1200" w:firstLineChars="500"/>
              <w:rPr>
                <w:rFonts w:hint="eastAsia"/>
                <w:color w:val="auto"/>
                <w:sz w:val="24"/>
                <w:szCs w:val="24"/>
                <w:highlight w:val="none"/>
                <w:lang w:val="en-US" w:eastAsia="zh-CN"/>
              </w:rPr>
            </w:pPr>
            <w:r>
              <w:rPr>
                <w:rFonts w:hint="eastAsia"/>
                <w:i/>
                <w:iCs/>
                <w:color w:val="auto"/>
                <w:sz w:val="24"/>
                <w:szCs w:val="24"/>
                <w:highlight w:val="none"/>
                <w:lang w:val="en-US" w:eastAsia="zh-CN"/>
              </w:rPr>
              <w:t>e</w:t>
            </w:r>
            <w:r>
              <w:rPr>
                <w:rFonts w:hint="eastAsia"/>
                <w:i/>
                <w:iCs/>
                <w:color w:val="auto"/>
                <w:sz w:val="24"/>
                <w:szCs w:val="24"/>
                <w:highlight w:val="none"/>
                <w:vertAlign w:val="subscript"/>
                <w:lang w:val="en-US" w:eastAsia="zh-CN"/>
              </w:rPr>
              <w:t>s</w:t>
            </w:r>
            <w:r>
              <w:rPr>
                <w:rFonts w:hint="eastAsia"/>
                <w:color w:val="auto"/>
                <w:sz w:val="24"/>
                <w:szCs w:val="24"/>
                <w:highlight w:val="none"/>
                <w:lang w:val="en-US" w:eastAsia="zh-CN"/>
              </w:rPr>
              <w:t>——水温为33℃是水面饱和水气压，5.029hPa；</w:t>
            </w:r>
          </w:p>
          <w:p w14:paraId="32681818">
            <w:pPr>
              <w:keepNext w:val="0"/>
              <w:keepLines w:val="0"/>
              <w:suppressLineNumbers w:val="0"/>
              <w:shd w:val="clear"/>
              <w:spacing w:before="0" w:beforeAutospacing="0" w:after="0" w:afterAutospacing="0" w:line="360" w:lineRule="auto"/>
              <w:ind w:left="0" w:right="0" w:firstLine="1200" w:firstLineChars="500"/>
              <w:rPr>
                <w:rFonts w:hint="default"/>
                <w:color w:val="auto"/>
                <w:kern w:val="0"/>
                <w:sz w:val="24"/>
                <w:szCs w:val="24"/>
                <w:highlight w:val="none"/>
              </w:rPr>
            </w:pPr>
            <w:r>
              <w:rPr>
                <w:rFonts w:hint="eastAsia"/>
                <w:i/>
                <w:iCs/>
                <w:color w:val="auto"/>
                <w:sz w:val="24"/>
                <w:szCs w:val="24"/>
                <w:highlight w:val="none"/>
                <w:lang w:val="en-US" w:eastAsia="zh-CN"/>
              </w:rPr>
              <w:t>e</w:t>
            </w:r>
            <w:r>
              <w:rPr>
                <w:rFonts w:hint="eastAsia"/>
                <w:i/>
                <w:iCs/>
                <w:color w:val="auto"/>
                <w:sz w:val="24"/>
                <w:szCs w:val="24"/>
                <w:highlight w:val="none"/>
                <w:vertAlign w:val="subscript"/>
                <w:lang w:val="en-US" w:eastAsia="zh-CN"/>
              </w:rPr>
              <w:t>a</w:t>
            </w:r>
            <w:r>
              <w:rPr>
                <w:rFonts w:hint="eastAsia"/>
                <w:color w:val="auto"/>
                <w:sz w:val="24"/>
                <w:szCs w:val="24"/>
                <w:highlight w:val="none"/>
                <w:lang w:val="en-US" w:eastAsia="zh-CN"/>
              </w:rPr>
              <w:t>——水面1.5m处的水气压，2.063hPa</w:t>
            </w:r>
            <w:r>
              <w:rPr>
                <w:rFonts w:hint="eastAsia"/>
                <w:color w:val="auto"/>
                <w:sz w:val="24"/>
                <w:szCs w:val="24"/>
                <w:highlight w:val="none"/>
                <w:lang w:eastAsia="zh-CN"/>
              </w:rPr>
              <w:t>；</w:t>
            </w:r>
          </w:p>
          <w:p w14:paraId="3E556875">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经计算，冷却循环池水自然蒸发速率为1.2mm/d，项目冷却循环池水面长宽为16000*15600mm，冷却循环水蒸发量为0.3m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/d，0.013m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p>
          <w:p w14:paraId="1254C0A4">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综上所述，项目冷却循环系统共损失水量为</w:t>
            </w:r>
            <w:r>
              <w:rPr>
                <w:rFonts w:hint="eastAsia" w:cs="Times New Roman"/>
                <w:color w:val="auto"/>
                <w:sz w:val="24"/>
                <w:szCs w:val="24"/>
                <w:highlight w:val="none"/>
                <w:lang w:val="en-US" w:eastAsia="zh-CN"/>
              </w:rPr>
              <w:t>42+0.35+0.013=42.363m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14:paraId="7DC07A42">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w:t>
            </w:r>
            <w:r>
              <w:rPr>
                <w:rFonts w:hint="eastAsia" w:cs="Times New Roman"/>
                <w:color w:val="auto"/>
                <w:sz w:val="24"/>
                <w:szCs w:val="24"/>
                <w:highlight w:val="none"/>
                <w:lang w:eastAsia="zh-CN"/>
              </w:rPr>
              <w:t>蒸汽蒸发器定期排污水</w:t>
            </w:r>
          </w:p>
          <w:p w14:paraId="0C0A2E2F">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项目共设有</w:t>
            </w:r>
            <w:r>
              <w:rPr>
                <w:rFonts w:hint="eastAsia" w:cs="Times New Roman"/>
                <w:color w:val="auto"/>
                <w:sz w:val="24"/>
                <w:szCs w:val="24"/>
                <w:highlight w:val="none"/>
                <w:lang w:val="en-US" w:eastAsia="zh-CN"/>
              </w:rPr>
              <w:t>5台功率为10t/h的蒸汽发生器，产出规格为2.5MPa，400℃的蒸汽，其在运行过程会定期排污，根据项目设计资料，该蒸汽发生器的排污率为3%，则5台蒸汽发生器的排污水为5*10*3%=1.5m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/h，产生后排入园区下水管网。</w:t>
            </w:r>
          </w:p>
          <w:p w14:paraId="0B8767E6">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③</w:t>
            </w:r>
            <w:r>
              <w:rPr>
                <w:rFonts w:hint="eastAsia" w:cs="Times New Roman"/>
                <w:color w:val="auto"/>
                <w:sz w:val="24"/>
                <w:szCs w:val="24"/>
                <w:highlight w:val="none"/>
                <w:lang w:eastAsia="zh-CN"/>
              </w:rPr>
              <w:t>汽轮机汽水损失</w:t>
            </w:r>
          </w:p>
          <w:p w14:paraId="0678858E">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项目共建设</w:t>
            </w:r>
            <w:r>
              <w:rPr>
                <w:rFonts w:hint="eastAsia" w:cs="Times New Roman"/>
                <w:color w:val="auto"/>
                <w:sz w:val="24"/>
                <w:szCs w:val="24"/>
                <w:highlight w:val="none"/>
                <w:lang w:val="en-US" w:eastAsia="zh-CN"/>
              </w:rPr>
              <w:t>5台2MW的汽轮发电机，根据设备厂家提供的资料，项目采用的汽轮机汽水损失量占额定蒸汽流量的2.1%，则项目汽轮机汽水损失量为5*10*2.1%=1.05m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14:paraId="553AC247">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④</w:t>
            </w:r>
            <w:r>
              <w:rPr>
                <w:rFonts w:hint="eastAsia" w:cs="Times New Roman"/>
                <w:color w:val="auto"/>
                <w:sz w:val="24"/>
                <w:szCs w:val="24"/>
                <w:highlight w:val="none"/>
                <w:lang w:eastAsia="zh-CN"/>
              </w:rPr>
              <w:t>冬季采暖损失水量</w:t>
            </w:r>
          </w:p>
          <w:p w14:paraId="4F93D37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lang w:eastAsia="zh-CN"/>
              </w:rPr>
            </w:pPr>
            <w:r>
              <w:rPr>
                <w:rFonts w:hint="eastAsia" w:cs="Times New Roman"/>
                <w:color w:val="auto"/>
                <w:sz w:val="24"/>
                <w:szCs w:val="24"/>
                <w:highlight w:val="none"/>
                <w:lang w:eastAsia="zh-CN"/>
              </w:rPr>
              <w:t>项目冬季采用热水供暖，其热源为经过汽轮机换热后的低温蒸汽，厂内热力网循环水量</w:t>
            </w:r>
            <w:r>
              <w:rPr>
                <w:rFonts w:hint="eastAsia" w:cs="Times New Roman"/>
                <w:color w:val="auto"/>
                <w:sz w:val="24"/>
                <w:szCs w:val="24"/>
                <w:lang w:eastAsia="zh-CN"/>
              </w:rPr>
              <w:t>由</w:t>
            </w:r>
            <w:r>
              <w:rPr>
                <w:rFonts w:hint="eastAsia" w:cs="Times New Roman"/>
                <w:color w:val="auto"/>
                <w:position w:val="-10"/>
                <w:sz w:val="24"/>
                <w:szCs w:val="24"/>
                <w:lang w:eastAsia="zh-CN"/>
              </w:rPr>
              <w:object>
                <v:shape id="_x0000_i1025" o:spt="75" type="#_x0000_t75" style="height:16pt;width:85.9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8" r:id="rId12">
                  <o:LockedField>false</o:LockedField>
                </o:OLEObject>
              </w:object>
            </w:r>
            <w:r>
              <w:rPr>
                <w:rFonts w:hint="eastAsia" w:cs="Times New Roman"/>
                <w:color w:val="auto"/>
                <w:sz w:val="24"/>
                <w:szCs w:val="24"/>
                <w:lang w:eastAsia="zh-CN"/>
              </w:rPr>
              <w:t>计算，其中：</w:t>
            </w:r>
          </w:p>
          <w:p w14:paraId="0596E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vertAlign w:val="baseline"/>
                <w:lang w:val="en-US" w:eastAsia="zh-CN"/>
              </w:rPr>
            </w:pPr>
            <w:r>
              <w:rPr>
                <w:rFonts w:hint="eastAsia" w:cs="Times New Roman"/>
                <w:i/>
                <w:iCs/>
                <w:color w:val="auto"/>
                <w:sz w:val="24"/>
                <w:szCs w:val="24"/>
                <w:lang w:val="en-US" w:eastAsia="zh-CN"/>
              </w:rPr>
              <w:t>Q</w:t>
            </w:r>
            <w:r>
              <w:rPr>
                <w:rFonts w:hint="eastAsia" w:cs="Times New Roman"/>
                <w:color w:val="auto"/>
                <w:sz w:val="24"/>
                <w:szCs w:val="24"/>
                <w:lang w:val="en-US" w:eastAsia="zh-CN"/>
              </w:rPr>
              <w:t>—热负荷/Kw；</w:t>
            </w:r>
            <w:r>
              <w:rPr>
                <w:rFonts w:hint="eastAsia" w:cs="Times New Roman"/>
                <w:color w:val="auto"/>
                <w:position w:val="-4"/>
                <w:sz w:val="24"/>
                <w:szCs w:val="24"/>
                <w:lang w:val="en-US" w:eastAsia="zh-CN"/>
              </w:rPr>
              <w:object>
                <v:shape id="_x0000_i1026" o:spt="75" type="#_x0000_t75" style="height:13pt;width:19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9" r:id="rId14">
                  <o:LockedField>false</o:LockedField>
                </o:OLEObject>
              </w:object>
            </w:r>
            <w:r>
              <w:rPr>
                <w:rFonts w:hint="eastAsia" w:cs="Times New Roman"/>
                <w:color w:val="auto"/>
                <w:sz w:val="24"/>
                <w:szCs w:val="24"/>
                <w:lang w:val="en-US" w:eastAsia="zh-CN"/>
              </w:rPr>
              <w:t>—供回水温差/25℃；</w:t>
            </w:r>
            <w:r>
              <w:rPr>
                <w:rFonts w:hint="eastAsia" w:cs="Times New Roman"/>
                <w:i/>
                <w:iCs/>
                <w:color w:val="auto"/>
                <w:sz w:val="24"/>
                <w:szCs w:val="24"/>
                <w:lang w:val="en-US" w:eastAsia="zh-CN"/>
              </w:rPr>
              <w:t>G</w:t>
            </w:r>
            <w:r>
              <w:rPr>
                <w:rFonts w:hint="eastAsia" w:cs="Times New Roman"/>
                <w:color w:val="auto"/>
                <w:sz w:val="24"/>
                <w:szCs w:val="24"/>
                <w:lang w:val="en-US" w:eastAsia="zh-CN"/>
              </w:rPr>
              <w:t>—循环水流量/</w:t>
            </w:r>
            <w:r>
              <w:rPr>
                <w:rFonts w:hint="eastAsia" w:cs="Times New Roman"/>
                <w:color w:val="auto"/>
                <w:sz w:val="24"/>
                <w:szCs w:val="24"/>
                <w:vertAlign w:val="baseline"/>
                <w:lang w:val="en-US" w:eastAsia="zh-CN"/>
              </w:rPr>
              <w:t>（</w:t>
            </w:r>
            <w:r>
              <w:rPr>
                <w:rFonts w:hint="eastAsia" w:cs="Times New Roman"/>
                <w:color w:val="auto"/>
                <w:sz w:val="24"/>
                <w:szCs w:val="24"/>
                <w:lang w:val="en-US" w:eastAsia="zh-CN"/>
              </w:rPr>
              <w:t>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w:t>
            </w:r>
          </w:p>
          <w:p w14:paraId="194125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24"/>
                <w:highlight w:val="none"/>
                <w:lang w:eastAsia="zh-CN"/>
              </w:rPr>
            </w:pPr>
            <w:r>
              <w:rPr>
                <w:rFonts w:hint="eastAsia" w:cs="Times New Roman"/>
                <w:color w:val="auto"/>
                <w:sz w:val="24"/>
                <w:szCs w:val="24"/>
                <w:vertAlign w:val="baseline"/>
                <w:lang w:val="en-US" w:eastAsia="zh-CN"/>
              </w:rPr>
              <w:t>根据项目热力设计，厂区全部取暖单元热负荷合计为231kW，供回水温为95~70℃，经核算，项目供热网循环水量为7.95m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/h，换热损失以循环水量的2%计，为0.16m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w:t>
            </w:r>
            <w:r>
              <w:rPr>
                <w:rFonts w:hint="eastAsia" w:ascii="Times New Roman" w:hAnsi="Times New Roman" w:cs="Times New Roman"/>
                <w:color w:val="auto"/>
                <w:sz w:val="24"/>
                <w:szCs w:val="24"/>
                <w:highlight w:val="none"/>
                <w:lang w:eastAsia="zh-CN"/>
              </w:rPr>
              <w:t>。</w:t>
            </w:r>
          </w:p>
          <w:p w14:paraId="6CA3FCFE">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⑤</w:t>
            </w:r>
            <w:r>
              <w:rPr>
                <w:rFonts w:hint="eastAsia" w:cs="Times New Roman"/>
                <w:color w:val="auto"/>
                <w:sz w:val="24"/>
                <w:szCs w:val="24"/>
                <w:highlight w:val="none"/>
                <w:lang w:eastAsia="zh-CN"/>
              </w:rPr>
              <w:t>净水装置排污水</w:t>
            </w:r>
          </w:p>
          <w:p w14:paraId="785D41DA">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项目采用离子交换法制备软水，用于补充汽水系统的损失水，根据上文核算，汽水系统损失水量为</w:t>
            </w:r>
            <w:r>
              <w:rPr>
                <w:rFonts w:hint="eastAsia" w:cs="Times New Roman"/>
                <w:color w:val="auto"/>
                <w:sz w:val="24"/>
                <w:szCs w:val="24"/>
                <w:highlight w:val="none"/>
                <w:lang w:val="en-US" w:eastAsia="zh-CN"/>
              </w:rPr>
              <w:t>1.5+1.05=2.55m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/h（冬季为</w:t>
            </w:r>
            <w:r>
              <w:rPr>
                <w:rFonts w:hint="eastAsia" w:cs="Times New Roman"/>
                <w:color w:val="auto"/>
                <w:sz w:val="24"/>
                <w:szCs w:val="24"/>
                <w:highlight w:val="none"/>
                <w:lang w:val="en-US" w:eastAsia="zh-CN"/>
              </w:rPr>
              <w:t>1.5+1.05+0.16=2.71m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ascii="Times New Roman" w:hAnsi="Times New Roman" w:cs="Times New Roman"/>
                <w:color w:val="auto"/>
                <w:sz w:val="24"/>
                <w:szCs w:val="24"/>
                <w:highlight w:val="none"/>
              </w:rPr>
              <w:t>本项目</w:t>
            </w:r>
            <w:r>
              <w:rPr>
                <w:rFonts w:hint="eastAsia" w:cs="Times New Roman"/>
                <w:color w:val="auto"/>
                <w:sz w:val="24"/>
                <w:szCs w:val="24"/>
                <w:highlight w:val="none"/>
                <w:lang w:eastAsia="zh-CN"/>
              </w:rPr>
              <w:t>软水制取效率取</w:t>
            </w:r>
            <w:r>
              <w:rPr>
                <w:rFonts w:hint="eastAsia" w:cs="Times New Roman"/>
                <w:color w:val="auto"/>
                <w:sz w:val="24"/>
                <w:szCs w:val="24"/>
                <w:highlight w:val="none"/>
                <w:lang w:val="en-US" w:eastAsia="zh-CN"/>
              </w:rPr>
              <w:t>80%，则净水装置排污水产生量为0.64m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（冬季0.68m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r>
              <w:rPr>
                <w:rFonts w:hint="eastAsia" w:cs="Times New Roman"/>
                <w:color w:val="auto"/>
                <w:sz w:val="24"/>
                <w:szCs w:val="24"/>
                <w:highlight w:val="none"/>
                <w:vertAlign w:val="baseline"/>
                <w:lang w:val="en-US" w:eastAsia="zh-CN"/>
              </w:rPr>
              <w:t>，产生后排入园区下水管网。</w:t>
            </w:r>
          </w:p>
          <w:p w14:paraId="3FA4F1F3">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⑥</w:t>
            </w:r>
            <w:r>
              <w:rPr>
                <w:rFonts w:hint="eastAsia" w:cs="Times New Roman"/>
                <w:color w:val="auto"/>
                <w:sz w:val="24"/>
                <w:szCs w:val="24"/>
                <w:highlight w:val="none"/>
                <w:lang w:eastAsia="zh-CN"/>
              </w:rPr>
              <w:t>生活污水</w:t>
            </w:r>
          </w:p>
          <w:p w14:paraId="34F4DA9D">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工作人员生活排水量按用水量80%的排放率计算，则生活废水排放量为</w:t>
            </w:r>
            <w:r>
              <w:rPr>
                <w:rFonts w:hint="eastAsia" w:cs="Times New Roman"/>
                <w:color w:val="auto"/>
                <w:sz w:val="24"/>
                <w:szCs w:val="24"/>
                <w:highlight w:val="none"/>
                <w:lang w:val="en-US" w:eastAsia="zh-CN"/>
              </w:rPr>
              <w:t>6.4</w:t>
            </w:r>
            <w:r>
              <w:rPr>
                <w:rFonts w:hint="eastAsia" w:ascii="Times New Roman" w:hAnsi="Times New Roman" w:cs="Times New Roman"/>
                <w:color w:val="auto"/>
                <w:sz w:val="24"/>
                <w:szCs w:val="24"/>
                <w:highlight w:val="none"/>
              </w:rPr>
              <w:t>m</w:t>
            </w:r>
            <w:r>
              <w:rPr>
                <w:rFonts w:hint="eastAsia" w:ascii="Times New Roman" w:hAnsi="Times New Roman" w:cs="Times New Roman"/>
                <w:color w:val="auto"/>
                <w:sz w:val="24"/>
                <w:szCs w:val="24"/>
                <w:highlight w:val="none"/>
                <w:vertAlign w:val="superscript"/>
              </w:rPr>
              <w:t>3</w:t>
            </w:r>
            <w:r>
              <w:rPr>
                <w:rFonts w:hint="eastAsia"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1920</w:t>
            </w:r>
            <w:r>
              <w:rPr>
                <w:rFonts w:hint="eastAsia" w:ascii="Times New Roman" w:hAnsi="Times New Roman" w:cs="Times New Roman"/>
                <w:color w:val="auto"/>
                <w:sz w:val="24"/>
                <w:szCs w:val="24"/>
                <w:highlight w:val="none"/>
              </w:rPr>
              <w:t xml:space="preserve"> m</w:t>
            </w:r>
            <w:r>
              <w:rPr>
                <w:rFonts w:hint="eastAsia" w:ascii="Times New Roman" w:hAnsi="Times New Roman" w:cs="Times New Roman"/>
                <w:color w:val="auto"/>
                <w:sz w:val="24"/>
                <w:szCs w:val="24"/>
                <w:highlight w:val="none"/>
                <w:vertAlign w:val="superscript"/>
              </w:rPr>
              <w:t>3</w:t>
            </w:r>
            <w:r>
              <w:rPr>
                <w:rFonts w:hint="eastAsia" w:ascii="Times New Roman" w:hAnsi="Times New Roman" w:cs="Times New Roman"/>
                <w:color w:val="auto"/>
                <w:sz w:val="24"/>
                <w:szCs w:val="24"/>
                <w:highlight w:val="none"/>
              </w:rPr>
              <w:t>/a）</w:t>
            </w:r>
            <w:r>
              <w:rPr>
                <w:rFonts w:hint="eastAsia" w:cs="Times New Roman"/>
                <w:color w:val="auto"/>
                <w:sz w:val="24"/>
                <w:szCs w:val="24"/>
                <w:highlight w:val="none"/>
                <w:lang w:eastAsia="zh-CN"/>
              </w:rPr>
              <w:t>。</w:t>
            </w:r>
          </w:p>
          <w:p w14:paraId="02F3EE6E">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⑦脱硫系统损失水</w:t>
            </w:r>
          </w:p>
          <w:p w14:paraId="690FE233">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吸收塔产生的石膏浆液于脱硫塔底收集后进入脱硫设施自带的沉淀池中，经沉淀后排放，其中部分由石膏（</w:t>
            </w:r>
            <w:r>
              <w:rPr>
                <w:rFonts w:hint="eastAsia" w:cs="Times New Roman"/>
                <w:color w:val="auto"/>
                <w:sz w:val="24"/>
                <w:szCs w:val="24"/>
                <w:highlight w:val="none"/>
                <w:lang w:val="en-US" w:eastAsia="zh-CN"/>
              </w:rPr>
              <w:t>CaSO</w:t>
            </w:r>
            <w:r>
              <w:rPr>
                <w:rFonts w:hint="eastAsia" w:cs="Times New Roman"/>
                <w:color w:val="auto"/>
                <w:sz w:val="24"/>
                <w:szCs w:val="24"/>
                <w:highlight w:val="none"/>
                <w:vertAlign w:val="subscript"/>
                <w:lang w:val="en-US" w:eastAsia="zh-CN"/>
              </w:rPr>
              <w:t>4</w:t>
            </w:r>
            <w:r>
              <w:rPr>
                <w:rFonts w:hint="eastAsia" w:cs="Times New Roman"/>
                <w:color w:val="auto"/>
                <w:sz w:val="24"/>
                <w:szCs w:val="24"/>
                <w:highlight w:val="none"/>
                <w:vertAlign w:val="baseline"/>
                <w:lang w:val="en-US" w:eastAsia="zh-CN"/>
              </w:rPr>
              <w:t>·2H</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vertAlign w:val="baseline"/>
                <w:lang w:val="en-US" w:eastAsia="zh-CN"/>
              </w:rPr>
              <w:t>O，含水率大于20%</w:t>
            </w:r>
            <w:r>
              <w:rPr>
                <w:rFonts w:hint="eastAsia" w:cs="Times New Roman"/>
                <w:color w:val="auto"/>
                <w:sz w:val="24"/>
                <w:szCs w:val="24"/>
                <w:highlight w:val="none"/>
                <w:lang w:eastAsia="zh-CN"/>
              </w:rPr>
              <w:t>）带出，项目共产生脱硫石膏</w:t>
            </w:r>
            <w:r>
              <w:rPr>
                <w:rFonts w:hint="eastAsia" w:cs="Times New Roman"/>
                <w:color w:val="auto"/>
                <w:sz w:val="24"/>
                <w:szCs w:val="24"/>
                <w:highlight w:val="none"/>
                <w:lang w:val="en-US" w:eastAsia="zh-CN"/>
              </w:rPr>
              <w:t>1170.29t/a，其中含水237.6m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/a，剩余1886.4m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/a回用于脱硫系统</w:t>
            </w:r>
            <w:r>
              <w:rPr>
                <w:rFonts w:hint="eastAsia" w:ascii="Times New Roman" w:hAnsi="Times New Roman" w:cs="Times New Roman"/>
                <w:color w:val="auto"/>
                <w:sz w:val="24"/>
                <w:szCs w:val="24"/>
                <w:highlight w:val="none"/>
              </w:rPr>
              <w:t>。</w:t>
            </w:r>
          </w:p>
          <w:p w14:paraId="22A35F28">
            <w:pPr>
              <w:adjustRightInd w:val="0"/>
              <w:snapToGrid w:val="0"/>
              <w:spacing w:line="360" w:lineRule="auto"/>
              <w:ind w:firstLine="480" w:firstLineChars="200"/>
              <w:rPr>
                <w:color w:val="auto"/>
                <w:sz w:val="24"/>
              </w:rPr>
            </w:pPr>
            <w:r>
              <w:rPr>
                <w:rFonts w:hint="eastAsia"/>
                <w:color w:val="auto"/>
                <w:sz w:val="24"/>
              </w:rPr>
              <w:t>项目水平衡图见图</w:t>
            </w:r>
            <w:r>
              <w:rPr>
                <w:rFonts w:hint="eastAsia"/>
                <w:color w:val="auto"/>
                <w:sz w:val="24"/>
                <w:lang w:val="en-US" w:eastAsia="zh-CN"/>
              </w:rPr>
              <w:t>4</w:t>
            </w:r>
            <w:r>
              <w:rPr>
                <w:rFonts w:hint="eastAsia"/>
                <w:color w:val="auto"/>
                <w:sz w:val="24"/>
              </w:rPr>
              <w:t>。</w:t>
            </w:r>
          </w:p>
          <w:p w14:paraId="1228A076">
            <w:pPr>
              <w:adjustRightInd w:val="0"/>
              <w:snapToGrid w:val="0"/>
              <w:spacing w:line="360" w:lineRule="auto"/>
              <w:ind w:firstLine="480" w:firstLineChars="200"/>
              <w:rPr>
                <w:color w:val="auto"/>
                <w:sz w:val="24"/>
              </w:rPr>
            </w:pPr>
            <w:r>
              <w:rPr>
                <w:rFonts w:hint="eastAsia"/>
                <w:color w:val="auto"/>
                <w:sz w:val="24"/>
              </w:rPr>
              <w:t>（</w:t>
            </w:r>
            <w:r>
              <w:rPr>
                <w:rFonts w:hint="eastAsia"/>
                <w:color w:val="auto"/>
                <w:sz w:val="24"/>
                <w:lang w:val="en-US" w:eastAsia="zh-CN"/>
              </w:rPr>
              <w:t>3</w:t>
            </w:r>
            <w:r>
              <w:rPr>
                <w:rFonts w:hint="eastAsia"/>
                <w:color w:val="auto"/>
                <w:sz w:val="24"/>
              </w:rPr>
              <w:t>）供电</w:t>
            </w:r>
          </w:p>
          <w:p w14:paraId="08DE9A4C">
            <w:pPr>
              <w:adjustRightInd w:val="0"/>
              <w:snapToGrid w:val="0"/>
              <w:spacing w:line="360" w:lineRule="auto"/>
              <w:ind w:firstLine="480" w:firstLineChars="200"/>
              <w:rPr>
                <w:color w:val="auto"/>
                <w:sz w:val="24"/>
              </w:rPr>
            </w:pPr>
            <w:r>
              <w:rPr>
                <w:rFonts w:hint="eastAsia"/>
                <w:color w:val="auto"/>
                <w:sz w:val="24"/>
              </w:rPr>
              <w:t>本工程电气系统由20台</w:t>
            </w:r>
            <w:r>
              <w:rPr>
                <w:rFonts w:hint="eastAsia"/>
                <w:color w:val="auto"/>
                <w:sz w:val="24"/>
                <w:lang w:eastAsia="zh-CN"/>
              </w:rPr>
              <w:t>炭</w:t>
            </w:r>
            <w:r>
              <w:rPr>
                <w:rFonts w:hint="eastAsia"/>
                <w:color w:val="auto"/>
                <w:sz w:val="24"/>
              </w:rPr>
              <w:t>化炉+5台10t/h蒸汽发生器+5台2MW凝汽式发电机组组成，发电机出口电压10.5kV，电气主接线采用单母分段形式，全厂设两段发电机电压母线，发电机出口电压10.5kV，由1#发电机电压母线直接引一回电缆线路并入附近地区变电站。两台10.5/0.4kV干式变压器分别引自两段发电机母线，为厂内用电设备供电且互为暗备用。另引一路0.4kV市电作为厂区应急备用电源。项目年发电量7200KWh/a，自身使用1800KWh/a，其余5400KWh/a供给电网。</w:t>
            </w:r>
          </w:p>
          <w:p w14:paraId="22A89DF1">
            <w:pPr>
              <w:adjustRightInd w:val="0"/>
              <w:snapToGrid w:val="0"/>
              <w:spacing w:line="360" w:lineRule="auto"/>
              <w:ind w:firstLine="480" w:firstLineChars="200"/>
              <w:rPr>
                <w:color w:val="auto"/>
                <w:sz w:val="24"/>
              </w:rPr>
            </w:pPr>
            <w:r>
              <w:rPr>
                <w:rFonts w:hint="eastAsia"/>
                <w:color w:val="auto"/>
                <w:sz w:val="24"/>
              </w:rPr>
              <w:t>（</w:t>
            </w:r>
            <w:r>
              <w:rPr>
                <w:rFonts w:hint="eastAsia"/>
                <w:color w:val="auto"/>
                <w:sz w:val="24"/>
                <w:lang w:val="en-US" w:eastAsia="zh-CN"/>
              </w:rPr>
              <w:t>4</w:t>
            </w:r>
            <w:r>
              <w:rPr>
                <w:rFonts w:hint="eastAsia"/>
                <w:color w:val="auto"/>
                <w:sz w:val="24"/>
              </w:rPr>
              <w:t>）供暖</w:t>
            </w:r>
          </w:p>
          <w:p w14:paraId="72F97BC7">
            <w:pPr>
              <w:adjustRightInd w:val="0"/>
              <w:snapToGrid w:val="0"/>
              <w:spacing w:line="360" w:lineRule="auto"/>
              <w:ind w:firstLine="480" w:firstLineChars="200"/>
              <w:rPr>
                <w:rFonts w:hint="eastAsia"/>
                <w:color w:val="auto"/>
                <w:sz w:val="24"/>
              </w:rPr>
            </w:pPr>
            <w:r>
              <w:rPr>
                <w:rFonts w:hint="eastAsia"/>
                <w:color w:val="auto"/>
                <w:sz w:val="24"/>
              </w:rPr>
              <w:t>项目冬季以经汽轮机换热后的125℃、0.2MPa的蒸汽为热源，在净水车间内的换热器进行换热，将采暖热媒热水加热至70~95℃后水送至各个所需采暖的房间，用来保证房间内的温度。</w:t>
            </w:r>
          </w:p>
          <w:p w14:paraId="3420A0C4">
            <w:pPr>
              <w:adjustRightInd w:val="0"/>
              <w:snapToGrid w:val="0"/>
              <w:spacing w:line="360" w:lineRule="auto"/>
              <w:ind w:firstLine="480" w:firstLineChars="200"/>
              <w:rPr>
                <w:rFonts w:hint="eastAsia"/>
                <w:color w:val="auto"/>
                <w:sz w:val="24"/>
                <w:lang w:eastAsia="zh-CN"/>
              </w:rPr>
            </w:pPr>
            <w:r>
              <w:rPr>
                <w:rFonts w:hint="eastAsia"/>
                <w:color w:val="auto"/>
                <w:sz w:val="24"/>
              </w:rPr>
              <w:t>厂区采暖热水管网采用直埋敷设，直埋敷设热水管道采用钢管、保温层、外护管紧密结合成一体的预制管。年供暖天数120天</w:t>
            </w:r>
            <w:r>
              <w:rPr>
                <w:rFonts w:hint="eastAsia"/>
                <w:color w:val="auto"/>
                <w:sz w:val="24"/>
                <w:lang w:eastAsia="zh-CN"/>
              </w:rPr>
              <w:t>。</w:t>
            </w:r>
          </w:p>
          <w:p w14:paraId="21A1548F">
            <w:pPr>
              <w:adjustRightInd w:val="0"/>
              <w:snapToGrid w:val="0"/>
              <w:spacing w:line="360" w:lineRule="auto"/>
              <w:jc w:val="center"/>
              <w:rPr>
                <w:rFonts w:eastAsia="黑体"/>
                <w:color w:val="auto"/>
                <w:sz w:val="24"/>
              </w:rPr>
            </w:pPr>
            <w:r>
              <w:rPr>
                <w:rFonts w:hint="eastAsia" w:ascii="黑体" w:hAnsi="黑体" w:eastAsia="黑体" w:cs="黑体"/>
                <w:color w:val="auto"/>
                <w:sz w:val="21"/>
                <w:szCs w:val="21"/>
                <w:highlight w:val="none"/>
                <w:lang w:val="en-US" w:eastAsia="zh-CN"/>
              </w:rPr>
              <w:pict>
                <v:shape id="_x0000_s1029" o:spid="_x0000_s1029" o:spt="75" type="#_x0000_t75" style="position:absolute;left:0pt;margin-top:19.25pt;height:484.25pt;width:402.65pt;mso-position-horizontal:center;mso-wrap-distance-bottom:0pt;mso-wrap-distance-top:0pt;z-index:251662336;mso-width-relative:page;mso-height-relative:page;" o:ole="t" filled="f" o:preferrelative="t" stroked="f" coordsize="21600,21600">
                  <v:path/>
                  <v:fill on="f" focussize="0,0"/>
                  <v:stroke on="f"/>
                  <v:imagedata r:id="rId17" o:title=""/>
                  <o:lock v:ext="edit" aspectratio="f"/>
                  <w10:wrap type="topAndBottom"/>
                </v:shape>
                <o:OLEObject Type="Embed" ProgID="Visio.Drawing.11" ShapeID="_x0000_s1029" DrawAspect="Content" ObjectID="_1468075730" r:id="rId16">
                  <o:LockedField>false</o:LockedField>
                </o:OLEObject>
              </w:pict>
            </w:r>
            <w:r>
              <w:rPr>
                <w:rFonts w:hint="eastAsia" w:hAnsi="黑体" w:eastAsia="黑体"/>
                <w:color w:val="auto"/>
              </w:rPr>
              <w:t>图</w:t>
            </w:r>
            <w:r>
              <w:rPr>
                <w:rFonts w:hint="eastAsia" w:hAnsi="黑体" w:eastAsia="黑体"/>
                <w:color w:val="auto"/>
                <w:lang w:val="en-US" w:eastAsia="zh-CN"/>
              </w:rPr>
              <w:t>4</w:t>
            </w:r>
            <w:r>
              <w:rPr>
                <w:rFonts w:eastAsia="黑体"/>
                <w:color w:val="auto"/>
              </w:rPr>
              <w:t xml:space="preserve">  </w:t>
            </w:r>
            <w:r>
              <w:rPr>
                <w:rFonts w:hint="eastAsia" w:hAnsi="黑体" w:eastAsia="黑体"/>
                <w:color w:val="auto"/>
              </w:rPr>
              <w:t>项目水平衡图</w:t>
            </w:r>
          </w:p>
          <w:p w14:paraId="75F437AD">
            <w:pPr>
              <w:adjustRightInd w:val="0"/>
              <w:snapToGrid w:val="0"/>
              <w:spacing w:line="360" w:lineRule="auto"/>
              <w:rPr>
                <w:color w:val="auto"/>
                <w:sz w:val="24"/>
              </w:rPr>
            </w:pPr>
          </w:p>
          <w:p w14:paraId="594C51D4">
            <w:pPr>
              <w:pStyle w:val="49"/>
              <w:spacing w:line="480" w:lineRule="exact"/>
              <w:rPr>
                <w:rFonts w:ascii="宋体" w:hAnsi="宋体" w:cs="宋体"/>
                <w:bCs/>
                <w:color w:val="auto"/>
                <w:szCs w:val="21"/>
              </w:rPr>
            </w:pPr>
          </w:p>
          <w:p w14:paraId="55B881D6">
            <w:pPr>
              <w:pStyle w:val="49"/>
              <w:spacing w:line="480" w:lineRule="exact"/>
              <w:rPr>
                <w:rFonts w:ascii="宋体" w:hAnsi="宋体" w:cs="宋体"/>
                <w:bCs/>
                <w:color w:val="auto"/>
                <w:szCs w:val="21"/>
              </w:rPr>
            </w:pPr>
          </w:p>
          <w:p w14:paraId="3A975D3E">
            <w:pPr>
              <w:pStyle w:val="49"/>
              <w:spacing w:line="480" w:lineRule="exact"/>
              <w:rPr>
                <w:rFonts w:ascii="宋体" w:hAnsi="宋体" w:cs="宋体"/>
                <w:bCs/>
                <w:color w:val="auto"/>
                <w:szCs w:val="21"/>
              </w:rPr>
            </w:pPr>
          </w:p>
          <w:p w14:paraId="14AD2490">
            <w:pPr>
              <w:pStyle w:val="49"/>
              <w:spacing w:line="480" w:lineRule="exact"/>
              <w:rPr>
                <w:rFonts w:ascii="宋体" w:hAnsi="宋体" w:cs="宋体"/>
                <w:bCs/>
                <w:color w:val="auto"/>
                <w:szCs w:val="21"/>
              </w:rPr>
            </w:pPr>
          </w:p>
          <w:p w14:paraId="2F5879BA">
            <w:pPr>
              <w:pStyle w:val="49"/>
              <w:spacing w:line="480" w:lineRule="exact"/>
              <w:ind w:left="0" w:leftChars="0" w:firstLine="0" w:firstLineChars="0"/>
              <w:rPr>
                <w:rFonts w:ascii="宋体" w:hAnsi="宋体" w:cs="宋体"/>
                <w:bCs/>
                <w:color w:val="auto"/>
                <w:szCs w:val="21"/>
              </w:rPr>
            </w:pPr>
          </w:p>
        </w:tc>
      </w:tr>
      <w:tr w14:paraId="2D1F6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96" w:type="dxa"/>
            <w:vAlign w:val="center"/>
          </w:tcPr>
          <w:p w14:paraId="67DB982F">
            <w:pPr>
              <w:pStyle w:val="19"/>
              <w:adjustRightInd w:val="0"/>
              <w:snapToGrid w:val="0"/>
              <w:spacing w:before="0" w:beforeAutospacing="0" w:after="0" w:afterAutospacing="0"/>
              <w:jc w:val="center"/>
              <w:rPr>
                <w:rFonts w:cs="宋体"/>
                <w:color w:val="auto"/>
                <w:sz w:val="21"/>
                <w:szCs w:val="21"/>
              </w:rPr>
            </w:pPr>
            <w:r>
              <w:rPr>
                <w:rFonts w:hint="eastAsia" w:cs="宋体"/>
                <w:color w:val="auto"/>
                <w:szCs w:val="21"/>
              </w:rPr>
              <w:t>工艺流程和产排污环节</w:t>
            </w:r>
          </w:p>
        </w:tc>
        <w:tc>
          <w:tcPr>
            <w:tcW w:w="8488" w:type="dxa"/>
          </w:tcPr>
          <w:p w14:paraId="08C9D1C3">
            <w:pPr>
              <w:pStyle w:val="49"/>
              <w:spacing w:line="360" w:lineRule="auto"/>
              <w:rPr>
                <w:b/>
                <w:bCs w:val="0"/>
                <w:color w:val="auto"/>
                <w:szCs w:val="21"/>
              </w:rPr>
            </w:pPr>
            <w:r>
              <w:rPr>
                <w:rFonts w:hint="eastAsia"/>
                <w:b/>
                <w:bCs w:val="0"/>
                <w:color w:val="auto"/>
                <w:szCs w:val="21"/>
                <w:lang w:eastAsia="zh-CN"/>
              </w:rPr>
              <w:t>一</w:t>
            </w:r>
            <w:r>
              <w:rPr>
                <w:rFonts w:hAnsi="宋体"/>
                <w:b/>
                <w:bCs w:val="0"/>
                <w:color w:val="auto"/>
                <w:szCs w:val="21"/>
              </w:rPr>
              <w:t>、施工期</w:t>
            </w:r>
          </w:p>
          <w:p w14:paraId="26241A4D">
            <w:pPr>
              <w:pStyle w:val="49"/>
              <w:spacing w:line="360" w:lineRule="auto"/>
              <w:rPr>
                <w:rFonts w:hint="eastAsia" w:hAnsi="宋体"/>
                <w:bCs/>
                <w:color w:val="auto"/>
                <w:szCs w:val="21"/>
              </w:rPr>
            </w:pPr>
            <w:r>
              <w:rPr>
                <w:rFonts w:hint="default" w:ascii="Times New Roman" w:hAnsi="Times New Roman" w:cs="Times New Roman"/>
                <w:color w:val="auto"/>
                <w:sz w:val="24"/>
                <w:highlight w:val="none"/>
              </w:rPr>
              <w:pict>
                <v:shape id="_x0000_s1030" o:spid="_x0000_s1030" o:spt="75" type="#_x0000_t75" style="position:absolute;left:0pt;margin-left:-0.35pt;margin-top:70.6pt;height:115.75pt;width:417.55pt;mso-wrap-distance-bottom:0pt;mso-wrap-distance-top:0pt;z-index:251663360;mso-width-relative:page;mso-height-relative:page;" o:ole="t" filled="f" o:preferrelative="t" stroked="f" coordsize="21600,21600">
                  <v:path/>
                  <v:fill on="f" focussize="0,0"/>
                  <v:stroke on="f"/>
                  <v:imagedata r:id="rId19" o:title=""/>
                  <o:lock v:ext="edit" aspectratio="f"/>
                  <w10:wrap type="topAndBottom"/>
                </v:shape>
                <o:OLEObject Type="Embed" ProgID="Visio.Drawing.11" ShapeID="_x0000_s1030" DrawAspect="Content" ObjectID="_1468075731" r:id="rId18">
                  <o:LockedField>false</o:LockedField>
                </o:OLEObject>
              </w:pict>
            </w:r>
            <w:r>
              <w:rPr>
                <w:rFonts w:hint="eastAsia" w:hAnsi="宋体"/>
                <w:bCs/>
                <w:color w:val="auto"/>
                <w:szCs w:val="21"/>
              </w:rPr>
              <w:t>本项目为新建项目，施工期间的场地清理、基础建设、主体及辅助工程、设备安装调试、工程验收等建设工序将产生扬尘、少量污水、噪声、固体废物等污染物。施工期工艺和产污环节详见图</w:t>
            </w:r>
            <w:r>
              <w:rPr>
                <w:rFonts w:hint="eastAsia" w:hAnsi="宋体"/>
                <w:bCs/>
                <w:color w:val="auto"/>
                <w:szCs w:val="21"/>
                <w:lang w:val="en-US" w:eastAsia="zh-CN"/>
              </w:rPr>
              <w:t>5</w:t>
            </w:r>
            <w:r>
              <w:rPr>
                <w:rFonts w:hint="eastAsia" w:hAnsi="宋体"/>
                <w:bCs/>
                <w:color w:val="auto"/>
                <w:szCs w:val="21"/>
              </w:rPr>
              <w:t>。</w:t>
            </w:r>
          </w:p>
          <w:p w14:paraId="63C704C6">
            <w:pPr>
              <w:pStyle w:val="79"/>
              <w:keepNext w:val="0"/>
              <w:keepLines w:val="0"/>
              <w:suppressLineNumbers w:val="0"/>
              <w:shd w:val="clear"/>
              <w:spacing w:before="156" w:beforeAutospacing="0" w:after="0" w:afterAutospacing="0" w:line="360" w:lineRule="auto"/>
              <w:ind w:left="0" w:right="0" w:firstLine="1785" w:firstLineChars="850"/>
              <w:jc w:val="both"/>
              <w:rPr>
                <w:bCs/>
                <w:color w:val="auto"/>
                <w:szCs w:val="21"/>
              </w:rPr>
            </w:pPr>
            <w:r>
              <w:rPr>
                <w:rFonts w:hint="default" w:ascii="Times New Roman" w:hAnsi="Times New Roman"/>
                <w:color w:val="auto"/>
                <w:highlight w:val="none"/>
              </w:rPr>
              <w:t>图</w:t>
            </w:r>
            <w:r>
              <w:rPr>
                <w:rFonts w:hint="eastAsia" w:ascii="Times New Roman" w:hAnsi="Times New Roman"/>
                <w:color w:val="auto"/>
                <w:highlight w:val="none"/>
                <w:lang w:val="en-US" w:eastAsia="zh-CN"/>
              </w:rPr>
              <w:t>5</w:t>
            </w:r>
            <w:r>
              <w:rPr>
                <w:rFonts w:hint="default"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color w:val="auto"/>
                <w:highlight w:val="none"/>
              </w:rPr>
              <w:t>施工期主要流程及产污环</w:t>
            </w:r>
            <w:r>
              <w:rPr>
                <w:rFonts w:hint="eastAsia" w:ascii="Times New Roman" w:hAnsi="Times New Roman"/>
                <w:color w:val="auto"/>
                <w:highlight w:val="none"/>
                <w:lang w:eastAsia="zh-CN"/>
              </w:rPr>
              <w:t>节图</w:t>
            </w:r>
          </w:p>
          <w:p w14:paraId="60D90AFC">
            <w:pPr>
              <w:pStyle w:val="49"/>
              <w:spacing w:line="360" w:lineRule="auto"/>
              <w:rPr>
                <w:b/>
                <w:bCs w:val="0"/>
                <w:color w:val="auto"/>
                <w:szCs w:val="21"/>
              </w:rPr>
            </w:pPr>
            <w:r>
              <w:rPr>
                <w:rFonts w:hint="eastAsia"/>
                <w:b/>
                <w:bCs w:val="0"/>
                <w:color w:val="auto"/>
                <w:szCs w:val="21"/>
                <w:lang w:eastAsia="zh-CN"/>
              </w:rPr>
              <w:t>二</w:t>
            </w:r>
            <w:r>
              <w:rPr>
                <w:rFonts w:hAnsi="宋体"/>
                <w:b/>
                <w:bCs w:val="0"/>
                <w:color w:val="auto"/>
                <w:szCs w:val="21"/>
              </w:rPr>
              <w:t>、运营期</w:t>
            </w:r>
          </w:p>
          <w:p w14:paraId="78CBD755">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棉杆炭化原理</w:t>
            </w:r>
          </w:p>
          <w:p w14:paraId="5446D3A1">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生物质的炭化本质上属于生物质热解的一种过程。即由外界给生物质添加热源后，在一定的温度下，组成生物质的聚合物破裂成小的具有挥发性的分子，由此生成的挥发气体被热降解析出，裂解过程导致了C的剩余，它以固定碳的形式留在燃料颗粒内。棉花秸秆的热解（炭化）过程大致可以分为以下四个阶段：</w:t>
            </w:r>
          </w:p>
          <w:p w14:paraId="40D0E62A">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）干燥阶段</w:t>
            </w:r>
          </w:p>
          <w:p w14:paraId="7A179917">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随着外界温度不断升高，棉花秸秆中的水分开始蒸发，在温度达到</w:t>
            </w:r>
            <w:r>
              <w:rPr>
                <w:rFonts w:hint="eastAsia" w:cs="Times New Roman"/>
                <w:color w:val="auto"/>
                <w:sz w:val="24"/>
                <w:szCs w:val="24"/>
                <w:highlight w:val="none"/>
                <w:lang w:val="en-US" w:eastAsia="zh-CN"/>
              </w:rPr>
              <w:t>120~150℃时棉花秸秆中化合物的聚合水分子也会蒸发殆尽。期间棉杆的热解速度非常缓慢，主要为秸秆中所含水分由外界提供的热量蒸发。</w:t>
            </w:r>
          </w:p>
          <w:p w14:paraId="39A4F14C">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（2）预炭化阶段</w:t>
            </w:r>
          </w:p>
          <w:p w14:paraId="0DA90907">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温度继续上升至</w:t>
            </w:r>
            <w:r>
              <w:rPr>
                <w:rFonts w:hint="eastAsia" w:cs="Times New Roman"/>
                <w:color w:val="auto"/>
                <w:sz w:val="24"/>
                <w:szCs w:val="24"/>
                <w:highlight w:val="none"/>
                <w:lang w:val="en-US" w:eastAsia="zh-CN"/>
              </w:rPr>
              <w:t>150~275℃时，在隔绝氧气的条件下，棉花秸秆出现比较明显的热分解，其中的化学成分开始发生变化，其中一部分不稳定成分（如半纤维素、木质素）开始发生分解，产生二氧化碳、一氧化碳以及少量的醋酸等物质。</w:t>
            </w:r>
          </w:p>
          <w:p w14:paraId="3B6AB3F4">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（3）炭化阶段</w:t>
            </w:r>
          </w:p>
          <w:p w14:paraId="7C8F1215">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当温度达到</w:t>
            </w:r>
            <w:r>
              <w:rPr>
                <w:rFonts w:hint="eastAsia" w:cs="Times New Roman"/>
                <w:color w:val="auto"/>
                <w:sz w:val="24"/>
                <w:szCs w:val="24"/>
                <w:highlight w:val="none"/>
                <w:lang w:val="en-US" w:eastAsia="zh-CN"/>
              </w:rPr>
              <w:t>275~450℃时，棉花秸秆在该温度区间热解反应十分剧烈，并伴</w:t>
            </w:r>
          </w:p>
          <w:p w14:paraId="17C9AF88">
            <w:pPr>
              <w:keepNext w:val="0"/>
              <w:keepLines w:val="0"/>
              <w:suppressLineNumbers w:val="0"/>
              <w:shd w:val="clear"/>
              <w:spacing w:before="0" w:beforeAutospacing="0" w:after="0" w:afterAutospacing="0" w:line="360" w:lineRule="auto"/>
              <w:ind w:left="0" w:leftChars="0" w:right="0" w:firstLine="0" w:firstLineChars="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随有大量的甲烷、一氧化碳、二氧化碳、醋酸、焦油产生。这一阶段是生物质炭化的核心阶段，也是生物质成碳的关键阶段。</w:t>
            </w:r>
          </w:p>
          <w:p w14:paraId="647E0F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）煅烧阶段</w:t>
            </w:r>
          </w:p>
          <w:p w14:paraId="03B94F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到温度达到</w:t>
            </w:r>
            <w:r>
              <w:rPr>
                <w:rFonts w:hint="eastAsia" w:cs="Times New Roman"/>
                <w:color w:val="auto"/>
                <w:sz w:val="24"/>
                <w:szCs w:val="24"/>
                <w:highlight w:val="none"/>
                <w:lang w:val="en-US" w:eastAsia="zh-CN"/>
              </w:rPr>
              <w:t>450~550℃时，在外界供给热能和内部反应放热的共同作用下，热能对成型的木炭进行煅烧，排除残留在木炭的各种杂质，提高木炭的含碳率。也是在这个阶段木炭内部发生变化，开始形成多孔介质，炭化比表面积开始增大。</w:t>
            </w:r>
            <w:r>
              <w:rPr>
                <w:rFonts w:hint="eastAsia" w:cs="Times New Roman"/>
                <w:color w:val="auto"/>
                <w:sz w:val="24"/>
                <w:szCs w:val="24"/>
                <w:highlight w:val="none"/>
                <w:lang w:eastAsia="zh-CN"/>
              </w:rPr>
              <w:t>温度继续上升至</w:t>
            </w:r>
            <w:r>
              <w:rPr>
                <w:rFonts w:hint="eastAsia" w:cs="Times New Roman"/>
                <w:color w:val="auto"/>
                <w:sz w:val="24"/>
                <w:szCs w:val="24"/>
                <w:highlight w:val="none"/>
                <w:lang w:val="en-US" w:eastAsia="zh-CN"/>
              </w:rPr>
              <w:t>600℃及以上时，炉内物料中的挥发份将彻底挥发，此时木炭会在高温煅烧下，生成更多的多孔介质。</w:t>
            </w:r>
          </w:p>
          <w:p w14:paraId="74E8D5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2、卧式旋芯炭化原理</w:t>
            </w:r>
          </w:p>
          <w:p w14:paraId="094F64A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项目新采用的卧式旋芯炭化工艺相较于传统的固定床炭化工艺，具有炭化速率快、产炭效率高、污染物产生量小等特点。其具体运行原理介绍如下：</w:t>
            </w:r>
          </w:p>
          <w:p w14:paraId="25CA0B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cs="Times New Roman"/>
                <w:color w:val="auto"/>
                <w:sz w:val="24"/>
                <w:szCs w:val="24"/>
                <w:highlight w:val="none"/>
                <w:lang w:val="en-US" w:eastAsia="zh-CN"/>
              </w:rPr>
            </w:pPr>
            <w:r>
              <w:rPr>
                <w:rFonts w:hint="default" w:ascii="Times New Roman" w:hAnsi="Times New Roman"/>
                <w:color w:val="auto"/>
                <w:highlight w:val="none"/>
              </w:rPr>
              <w:drawing>
                <wp:anchor distT="0" distB="0" distL="114300" distR="114300" simplePos="0" relativeHeight="251664384" behindDoc="0" locked="0" layoutInCell="1" allowOverlap="1">
                  <wp:simplePos x="0" y="0"/>
                  <wp:positionH relativeFrom="column">
                    <wp:posOffset>192405</wp:posOffset>
                  </wp:positionH>
                  <wp:positionV relativeFrom="paragraph">
                    <wp:posOffset>2380615</wp:posOffset>
                  </wp:positionV>
                  <wp:extent cx="4820920" cy="2444750"/>
                  <wp:effectExtent l="0" t="0" r="10160" b="8890"/>
                  <wp:wrapTopAndBottom/>
                  <wp:docPr id="13" name="图片 13" descr="恒吉农林固废资源化利用项目可研 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恒吉农林固废资源化利用项目可研 0804"/>
                          <pic:cNvPicPr>
                            <a:picLocks noChangeAspect="1"/>
                          </pic:cNvPicPr>
                        </pic:nvPicPr>
                        <pic:blipFill>
                          <a:blip r:embed="rId20"/>
                          <a:stretch>
                            <a:fillRect/>
                          </a:stretch>
                        </pic:blipFill>
                        <pic:spPr>
                          <a:xfrm>
                            <a:off x="0" y="0"/>
                            <a:ext cx="4820920" cy="2444750"/>
                          </a:xfrm>
                          <a:prstGeom prst="rect">
                            <a:avLst/>
                          </a:prstGeom>
                        </pic:spPr>
                      </pic:pic>
                    </a:graphicData>
                  </a:graphic>
                </wp:anchor>
              </w:drawing>
            </w:r>
            <w:r>
              <w:rPr>
                <w:rFonts w:hint="eastAsia" w:cs="Times New Roman"/>
                <w:color w:val="auto"/>
                <w:sz w:val="24"/>
                <w:szCs w:val="24"/>
                <w:highlight w:val="none"/>
                <w:lang w:val="en-US" w:eastAsia="zh-CN"/>
              </w:rPr>
              <w:t>卧式旋芯炭化炉炉体为卧式圆筒状，双层套筒结构。内筒为生物质干馏热解炭化室，中心设有螺旋推绞轴，双层夹套外壁内侧敷设保温绝热材料，空间为烟气加热套。炭化炉不同于常规回转窑，其炉体固定不旋转。生物质原料从炉体头部上方进入，在螺旋推绞轴的作用下进行翻转搅拌并缓慢向尾部推进，在烟气加热套的间接加热作用下，从前到后完成干燥、炭化、煅烧的热解过程，产生的生物基炭从炉体尾部排出，进入密闭储炭箱。副产的生物燃气从储炭箱上部引出，在升温室燃烧释能后回进炉体加热套，为炭化过程提供热源，整体工艺可以做到连续生产。炉体运行原理见图6。</w:t>
            </w:r>
          </w:p>
          <w:p w14:paraId="39F06B49">
            <w:pPr>
              <w:pStyle w:val="49"/>
              <w:spacing w:line="360" w:lineRule="auto"/>
              <w:ind w:left="0" w:leftChars="0" w:firstLine="0" w:firstLineChars="0"/>
              <w:jc w:val="center"/>
              <w:rPr>
                <w:rFonts w:hint="eastAsia" w:ascii="Times New Roman" w:hAnsi="黑体" w:eastAsia="黑体"/>
                <w:color w:val="auto"/>
                <w:sz w:val="21"/>
                <w:szCs w:val="21"/>
              </w:rPr>
            </w:pPr>
            <w:r>
              <w:rPr>
                <w:rFonts w:hint="eastAsia" w:ascii="Times New Roman" w:hAnsi="黑体" w:eastAsia="黑体"/>
                <w:color w:val="auto"/>
                <w:sz w:val="21"/>
                <w:szCs w:val="21"/>
              </w:rPr>
              <w:t>图</w:t>
            </w:r>
            <w:r>
              <w:rPr>
                <w:rFonts w:hint="eastAsia" w:hAnsi="黑体" w:eastAsia="黑体"/>
                <w:color w:val="auto"/>
                <w:sz w:val="21"/>
                <w:szCs w:val="21"/>
                <w:lang w:val="en-US" w:eastAsia="zh-CN"/>
              </w:rPr>
              <w:t>6</w:t>
            </w:r>
            <w:r>
              <w:rPr>
                <w:rFonts w:ascii="Times New Roman" w:hAnsi="黑体" w:eastAsia="黑体"/>
                <w:color w:val="auto"/>
                <w:sz w:val="21"/>
                <w:szCs w:val="21"/>
              </w:rPr>
              <w:t xml:space="preserve">  </w:t>
            </w:r>
            <w:r>
              <w:rPr>
                <w:rFonts w:hint="eastAsia" w:ascii="Times New Roman" w:hAnsi="黑体" w:eastAsia="黑体"/>
                <w:color w:val="auto"/>
                <w:sz w:val="21"/>
                <w:szCs w:val="21"/>
              </w:rPr>
              <w:t>卧式旋芯炭化炉原理示意图</w:t>
            </w:r>
          </w:p>
          <w:p w14:paraId="2F003965">
            <w:pPr>
              <w:pStyle w:val="49"/>
              <w:spacing w:line="360" w:lineRule="auto"/>
              <w:rPr>
                <w:rFonts w:hint="eastAsia" w:hAnsi="宋体"/>
                <w:bCs/>
                <w:color w:val="auto"/>
                <w:szCs w:val="21"/>
                <w:lang w:eastAsia="zh-CN"/>
              </w:rPr>
            </w:pPr>
            <w:r>
              <w:rPr>
                <w:rFonts w:hint="eastAsia" w:hAnsi="宋体"/>
                <w:bCs/>
                <w:color w:val="auto"/>
                <w:szCs w:val="21"/>
                <w:lang w:val="en-US" w:eastAsia="zh-CN"/>
              </w:rPr>
              <w:t>3、</w:t>
            </w:r>
            <w:r>
              <w:rPr>
                <w:rFonts w:hint="eastAsia" w:hAnsi="宋体"/>
                <w:bCs/>
                <w:color w:val="auto"/>
                <w:szCs w:val="21"/>
                <w:lang w:eastAsia="zh-CN"/>
              </w:rPr>
              <w:t>项目主要工艺流程及产排污环节</w:t>
            </w:r>
          </w:p>
          <w:p w14:paraId="3C4BD8ED">
            <w:pPr>
              <w:pStyle w:val="49"/>
              <w:spacing w:line="360" w:lineRule="auto"/>
              <w:rPr>
                <w:rFonts w:hint="eastAsia" w:hAnsi="宋体"/>
                <w:bCs/>
                <w:color w:val="auto"/>
                <w:szCs w:val="21"/>
              </w:rPr>
            </w:pPr>
            <w:r>
              <w:rPr>
                <w:rFonts w:hint="eastAsia" w:hAnsi="宋体"/>
                <w:bCs/>
                <w:color w:val="auto"/>
                <w:szCs w:val="21"/>
              </w:rPr>
              <w:t>（1）原料收集与贮存</w:t>
            </w:r>
          </w:p>
          <w:p w14:paraId="537BE532">
            <w:pPr>
              <w:pStyle w:val="49"/>
              <w:spacing w:line="360" w:lineRule="auto"/>
              <w:rPr>
                <w:rFonts w:hint="eastAsia" w:hAnsi="宋体"/>
                <w:bCs/>
                <w:color w:val="auto"/>
                <w:szCs w:val="21"/>
              </w:rPr>
            </w:pPr>
            <w:r>
              <w:rPr>
                <w:rFonts w:hint="eastAsia" w:hAnsi="宋体"/>
                <w:bCs/>
                <w:color w:val="auto"/>
                <w:szCs w:val="21"/>
              </w:rPr>
              <w:t>现阶段在棉花种植过程中，棉花秸秆皆由农机作业队进行粉碎还田作业。项目建成后企业委托当地农机作业队在粉碎还田时将棉花秸秆粉碎为长度为</w:t>
            </w:r>
            <w:r>
              <w:rPr>
                <w:rFonts w:hint="eastAsia" w:hAnsi="宋体"/>
                <w:bCs/>
                <w:color w:val="auto"/>
                <w:szCs w:val="21"/>
                <w:lang w:val="en-US" w:eastAsia="zh-CN"/>
              </w:rPr>
              <w:t>1~8</w:t>
            </w:r>
            <w:r>
              <w:rPr>
                <w:rFonts w:hint="eastAsia" w:hAnsi="宋体"/>
                <w:bCs/>
                <w:color w:val="auto"/>
                <w:szCs w:val="21"/>
              </w:rPr>
              <w:t>cm的规格后收集打包，定期、定量通过车辆运入厂区，中间无中转流程。原料称重进厂后，通过自卸手段送入上料车间，再经专用装载机堆面码垛贮存。设计最大贮存量为三天的用量，约2200t。</w:t>
            </w:r>
          </w:p>
          <w:p w14:paraId="288BC3C0">
            <w:pPr>
              <w:pStyle w:val="49"/>
              <w:spacing w:line="360" w:lineRule="auto"/>
              <w:rPr>
                <w:rFonts w:hint="eastAsia" w:hAnsi="宋体"/>
                <w:bCs/>
                <w:color w:val="auto"/>
                <w:szCs w:val="21"/>
              </w:rPr>
            </w:pPr>
            <w:r>
              <w:rPr>
                <w:rFonts w:hint="eastAsia" w:hAnsi="宋体"/>
                <w:bCs/>
                <w:color w:val="auto"/>
                <w:szCs w:val="21"/>
              </w:rPr>
              <w:t>（2）上料</w:t>
            </w:r>
          </w:p>
          <w:p w14:paraId="574E75D0">
            <w:pPr>
              <w:pStyle w:val="49"/>
              <w:spacing w:line="360" w:lineRule="auto"/>
              <w:rPr>
                <w:rFonts w:hint="eastAsia" w:hAnsi="宋体"/>
                <w:bCs/>
                <w:color w:val="auto"/>
                <w:szCs w:val="21"/>
              </w:rPr>
            </w:pPr>
            <w:r>
              <w:rPr>
                <w:rFonts w:hint="eastAsia" w:hAnsi="宋体"/>
                <w:bCs/>
                <w:color w:val="auto"/>
                <w:szCs w:val="21"/>
              </w:rPr>
              <w:t>原料秸秆在厂内不进行二次破碎和筛分，上料时直接送入活化给料斗，通过皮带输送机送入炭化炉顶部炉前仓。活化料斗上料过程由于其振动过程会产生少量粉尘。项目共设有十套上料系统，各系统均自带有小型袋式除尘器，上料过程的粉尘经除尘器处置后散入上料车间内无组织排放。</w:t>
            </w:r>
          </w:p>
          <w:p w14:paraId="3AD0A8D3">
            <w:pPr>
              <w:pStyle w:val="49"/>
              <w:spacing w:line="360" w:lineRule="auto"/>
              <w:rPr>
                <w:rFonts w:hint="eastAsia" w:hAnsi="宋体"/>
                <w:bCs/>
                <w:color w:val="auto"/>
                <w:szCs w:val="21"/>
              </w:rPr>
            </w:pPr>
            <w:r>
              <w:rPr>
                <w:rFonts w:hint="eastAsia" w:hAnsi="宋体"/>
                <w:bCs/>
                <w:color w:val="auto"/>
                <w:szCs w:val="21"/>
              </w:rPr>
              <w:t>（3）炭化</w:t>
            </w:r>
          </w:p>
          <w:p w14:paraId="4FFD9082">
            <w:pPr>
              <w:pStyle w:val="49"/>
              <w:spacing w:line="360" w:lineRule="auto"/>
              <w:rPr>
                <w:rFonts w:hint="eastAsia" w:hAnsi="宋体"/>
                <w:bCs/>
                <w:color w:val="auto"/>
                <w:szCs w:val="21"/>
                <w:lang w:eastAsia="zh-CN"/>
              </w:rPr>
            </w:pPr>
            <w:r>
              <w:rPr>
                <w:rFonts w:hint="eastAsia" w:hAnsi="宋体"/>
                <w:bCs/>
                <w:color w:val="auto"/>
                <w:szCs w:val="21"/>
                <w:lang w:eastAsia="zh-CN"/>
              </w:rPr>
              <w:t>项目炭化工段主要包括如下几个过程：</w:t>
            </w:r>
          </w:p>
          <w:p w14:paraId="695E8905">
            <w:pPr>
              <w:pStyle w:val="49"/>
              <w:spacing w:line="360" w:lineRule="auto"/>
              <w:rPr>
                <w:rFonts w:hint="eastAsia" w:hAnsi="宋体"/>
                <w:bCs/>
                <w:color w:val="auto"/>
                <w:szCs w:val="21"/>
              </w:rPr>
            </w:pPr>
            <w:r>
              <w:rPr>
                <w:rFonts w:hint="eastAsia" w:hAnsi="宋体"/>
                <w:bCs/>
                <w:color w:val="auto"/>
                <w:szCs w:val="21"/>
              </w:rPr>
              <w:t>①</w:t>
            </w:r>
            <w:r>
              <w:rPr>
                <w:rFonts w:hint="eastAsia" w:hAnsi="宋体"/>
                <w:bCs/>
                <w:color w:val="auto"/>
                <w:szCs w:val="21"/>
                <w:lang w:eastAsia="zh-CN"/>
              </w:rPr>
              <w:t>气化</w:t>
            </w:r>
          </w:p>
          <w:p w14:paraId="674000F6">
            <w:pPr>
              <w:pStyle w:val="49"/>
              <w:spacing w:line="360" w:lineRule="auto"/>
              <w:rPr>
                <w:rFonts w:hint="eastAsia" w:hAnsi="宋体"/>
                <w:bCs/>
                <w:color w:val="auto"/>
                <w:szCs w:val="21"/>
                <w:lang w:eastAsia="zh-CN"/>
              </w:rPr>
            </w:pPr>
            <w:r>
              <w:rPr>
                <w:rFonts w:hint="eastAsia" w:hAnsi="宋体"/>
                <w:bCs/>
                <w:color w:val="auto"/>
                <w:szCs w:val="21"/>
              </w:rPr>
              <w:t>炉前仓内的原料秸秆随重力作用进入旋芯气化炉，</w:t>
            </w:r>
            <w:r>
              <w:rPr>
                <w:rFonts w:hint="eastAsia" w:hAnsi="宋体"/>
                <w:bCs/>
                <w:color w:val="auto"/>
                <w:szCs w:val="21"/>
                <w:lang w:eastAsia="zh-CN"/>
              </w:rPr>
              <w:t>由</w:t>
            </w:r>
            <w:r>
              <w:rPr>
                <w:rFonts w:hint="eastAsia" w:hAnsi="宋体"/>
                <w:bCs/>
                <w:color w:val="auto"/>
                <w:szCs w:val="21"/>
              </w:rPr>
              <w:t>燃烧室内产生高温烟气</w:t>
            </w:r>
            <w:r>
              <w:rPr>
                <w:rFonts w:hint="eastAsia" w:hAnsi="宋体"/>
                <w:bCs/>
                <w:color w:val="auto"/>
                <w:szCs w:val="21"/>
                <w:lang w:eastAsia="zh-CN"/>
              </w:rPr>
              <w:t>（约</w:t>
            </w:r>
            <w:r>
              <w:rPr>
                <w:rFonts w:hint="eastAsia" w:hAnsi="宋体"/>
                <w:bCs/>
                <w:color w:val="auto"/>
                <w:szCs w:val="21"/>
                <w:lang w:val="en-US" w:eastAsia="zh-CN"/>
              </w:rPr>
              <w:t>950℃</w:t>
            </w:r>
            <w:r>
              <w:rPr>
                <w:rFonts w:hint="eastAsia" w:hAnsi="宋体"/>
                <w:bCs/>
                <w:color w:val="auto"/>
                <w:szCs w:val="21"/>
                <w:lang w:eastAsia="zh-CN"/>
              </w:rPr>
              <w:t>）</w:t>
            </w:r>
            <w:r>
              <w:rPr>
                <w:rFonts w:hint="eastAsia" w:hAnsi="宋体"/>
                <w:bCs/>
                <w:color w:val="auto"/>
                <w:szCs w:val="21"/>
              </w:rPr>
              <w:t>进入烟气加热套中（首次开机时高温烟气由柴油提供），使气化炉内温度达到500~700℃，此时棉花秸秆随着螺旋推绞轴的推进发生热解反应，产生可燃烧的生物燃气</w:t>
            </w:r>
            <w:r>
              <w:rPr>
                <w:rFonts w:hint="eastAsia" w:hAnsi="宋体"/>
                <w:bCs/>
                <w:color w:val="auto"/>
                <w:szCs w:val="21"/>
                <w:lang w:eastAsia="zh-CN"/>
              </w:rPr>
              <w:t>。</w:t>
            </w:r>
          </w:p>
          <w:p w14:paraId="695C261B">
            <w:pPr>
              <w:pStyle w:val="49"/>
              <w:spacing w:line="360" w:lineRule="auto"/>
              <w:rPr>
                <w:rFonts w:hint="eastAsia" w:hAnsi="宋体"/>
                <w:bCs/>
                <w:color w:val="auto"/>
                <w:szCs w:val="21"/>
                <w:vertAlign w:val="baseline"/>
                <w:lang w:val="en-US" w:eastAsia="zh-CN"/>
              </w:rPr>
            </w:pPr>
            <w:r>
              <w:rPr>
                <w:rFonts w:hint="eastAsia" w:hAnsi="宋体"/>
                <w:bCs/>
                <w:color w:val="auto"/>
                <w:szCs w:val="21"/>
                <w:lang w:eastAsia="zh-CN"/>
              </w:rPr>
              <w:t>根据企业提供的实验室状态下试验数据，每处理</w:t>
            </w:r>
            <w:r>
              <w:rPr>
                <w:rFonts w:hint="eastAsia" w:hAnsi="宋体"/>
                <w:bCs/>
                <w:color w:val="auto"/>
                <w:szCs w:val="21"/>
                <w:lang w:val="en-US" w:eastAsia="zh-CN"/>
              </w:rPr>
              <w:t>1kg棉花秸秆可产生生物质燃气0.87Nm</w:t>
            </w:r>
            <w:r>
              <w:rPr>
                <w:rFonts w:hint="eastAsia" w:hAnsi="宋体"/>
                <w:bCs/>
                <w:color w:val="auto"/>
                <w:szCs w:val="21"/>
                <w:vertAlign w:val="superscript"/>
                <w:lang w:val="en-US" w:eastAsia="zh-CN"/>
              </w:rPr>
              <w:t>3</w:t>
            </w:r>
            <w:r>
              <w:rPr>
                <w:rFonts w:hint="eastAsia" w:hAnsi="宋体"/>
                <w:bCs/>
                <w:color w:val="auto"/>
                <w:szCs w:val="21"/>
                <w:vertAlign w:val="baseline"/>
                <w:lang w:val="en-US" w:eastAsia="zh-CN"/>
              </w:rPr>
              <w:t>，</w:t>
            </w:r>
            <w:r>
              <w:rPr>
                <w:rFonts w:hint="eastAsia"/>
                <w:color w:val="auto"/>
                <w:sz w:val="24"/>
              </w:rPr>
              <w:t>单条炭化炉生产线满负荷运转可生产燃气</w:t>
            </w:r>
            <w:r>
              <w:rPr>
                <w:color w:val="auto"/>
                <w:sz w:val="24"/>
              </w:rPr>
              <w:t>1305</w:t>
            </w:r>
            <w:r>
              <w:rPr>
                <w:rFonts w:hint="eastAsia"/>
                <w:color w:val="auto"/>
                <w:sz w:val="24"/>
              </w:rPr>
              <w:t>Nm</w:t>
            </w:r>
            <w:r>
              <w:rPr>
                <w:color w:val="auto"/>
                <w:sz w:val="24"/>
                <w:vertAlign w:val="superscript"/>
              </w:rPr>
              <w:t>3</w:t>
            </w:r>
            <w:r>
              <w:rPr>
                <w:color w:val="auto"/>
                <w:sz w:val="24"/>
              </w:rPr>
              <w:t>/h</w:t>
            </w:r>
            <w:r>
              <w:rPr>
                <w:rFonts w:hint="eastAsia"/>
                <w:color w:val="auto"/>
                <w:sz w:val="24"/>
                <w:lang w:eastAsia="zh-CN"/>
              </w:rPr>
              <w:t>，</w:t>
            </w:r>
            <w:r>
              <w:rPr>
                <w:rFonts w:hint="eastAsia" w:hAnsi="宋体"/>
                <w:bCs/>
                <w:color w:val="auto"/>
                <w:szCs w:val="21"/>
                <w:vertAlign w:val="baseline"/>
                <w:lang w:val="en-US" w:eastAsia="zh-CN"/>
              </w:rPr>
              <w:t>进入燃烧室前温度约为500℃，此时生物质燃气中成分见表2-9。</w:t>
            </w:r>
          </w:p>
          <w:p w14:paraId="36C7810C">
            <w:pPr>
              <w:pStyle w:val="49"/>
              <w:spacing w:line="240" w:lineRule="auto"/>
              <w:rPr>
                <w:rFonts w:hint="eastAsia" w:ascii="黑体" w:hAnsi="黑体" w:eastAsia="黑体" w:cs="黑体"/>
                <w:bCs/>
                <w:color w:val="auto"/>
                <w:sz w:val="21"/>
                <w:szCs w:val="21"/>
                <w:lang w:eastAsia="zh-CN"/>
              </w:rPr>
            </w:pPr>
            <w:r>
              <w:rPr>
                <w:rFonts w:hint="eastAsia" w:ascii="黑体" w:hAnsi="黑体" w:eastAsia="黑体" w:cs="黑体"/>
                <w:bCs/>
                <w:color w:val="auto"/>
                <w:sz w:val="21"/>
                <w:szCs w:val="21"/>
                <w:vertAlign w:val="baseline"/>
                <w:lang w:val="en-US" w:eastAsia="zh-CN"/>
              </w:rPr>
              <w:t xml:space="preserve">表2-9                   项目生物质燃气成分表           </w:t>
            </w:r>
          </w:p>
          <w:tbl>
            <w:tblPr>
              <w:tblStyle w:val="22"/>
              <w:tblW w:w="82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54"/>
              <w:gridCol w:w="840"/>
              <w:gridCol w:w="841"/>
              <w:gridCol w:w="841"/>
              <w:gridCol w:w="841"/>
              <w:gridCol w:w="842"/>
              <w:gridCol w:w="842"/>
              <w:gridCol w:w="1508"/>
            </w:tblGrid>
            <w:tr w14:paraId="2E1AED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shd w:val="clear" w:color="auto" w:fill="auto"/>
                  <w:vAlign w:val="center"/>
                </w:tcPr>
                <w:p w14:paraId="577601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成分</w:t>
                  </w:r>
                </w:p>
              </w:tc>
              <w:tc>
                <w:tcPr>
                  <w:tcW w:w="854" w:type="dxa"/>
                  <w:shd w:val="clear" w:color="auto" w:fill="auto"/>
                  <w:vAlign w:val="center"/>
                </w:tcPr>
                <w:p w14:paraId="716F98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CO</w:t>
                  </w:r>
                </w:p>
              </w:tc>
              <w:tc>
                <w:tcPr>
                  <w:tcW w:w="840" w:type="dxa"/>
                  <w:shd w:val="clear" w:color="auto" w:fill="auto"/>
                  <w:vAlign w:val="center"/>
                </w:tcPr>
                <w:p w14:paraId="3A7C00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CO</w:t>
                  </w:r>
                  <w:r>
                    <w:rPr>
                      <w:rFonts w:hint="eastAsia"/>
                      <w:color w:val="auto"/>
                      <w:sz w:val="21"/>
                      <w:szCs w:val="21"/>
                      <w:vertAlign w:val="subscript"/>
                    </w:rPr>
                    <w:t>2</w:t>
                  </w:r>
                </w:p>
              </w:tc>
              <w:tc>
                <w:tcPr>
                  <w:tcW w:w="841" w:type="dxa"/>
                  <w:shd w:val="clear" w:color="auto" w:fill="auto"/>
                  <w:vAlign w:val="center"/>
                </w:tcPr>
                <w:p w14:paraId="510D85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p>
              </w:tc>
              <w:tc>
                <w:tcPr>
                  <w:tcW w:w="841" w:type="dxa"/>
                  <w:shd w:val="clear" w:color="auto" w:fill="auto"/>
                  <w:vAlign w:val="center"/>
                </w:tcPr>
                <w:p w14:paraId="2476D4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CH</w:t>
                  </w:r>
                  <w:r>
                    <w:rPr>
                      <w:rFonts w:hint="eastAsia"/>
                      <w:color w:val="auto"/>
                      <w:sz w:val="21"/>
                      <w:szCs w:val="21"/>
                      <w:vertAlign w:val="subscript"/>
                    </w:rPr>
                    <w:t>4</w:t>
                  </w:r>
                </w:p>
              </w:tc>
              <w:tc>
                <w:tcPr>
                  <w:tcW w:w="841" w:type="dxa"/>
                  <w:shd w:val="clear" w:color="auto" w:fill="auto"/>
                  <w:vAlign w:val="center"/>
                </w:tcPr>
                <w:p w14:paraId="7B45D0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N</w:t>
                  </w:r>
                  <w:r>
                    <w:rPr>
                      <w:rFonts w:hint="eastAsia"/>
                      <w:color w:val="auto"/>
                      <w:sz w:val="21"/>
                      <w:szCs w:val="21"/>
                      <w:vertAlign w:val="subscript"/>
                    </w:rPr>
                    <w:t>2</w:t>
                  </w:r>
                </w:p>
              </w:tc>
              <w:tc>
                <w:tcPr>
                  <w:tcW w:w="842" w:type="dxa"/>
                  <w:shd w:val="clear" w:color="auto" w:fill="auto"/>
                  <w:vAlign w:val="center"/>
                </w:tcPr>
                <w:p w14:paraId="65E205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O</w:t>
                  </w:r>
                </w:p>
              </w:tc>
              <w:tc>
                <w:tcPr>
                  <w:tcW w:w="842" w:type="dxa"/>
                  <w:shd w:val="clear" w:color="auto" w:fill="auto"/>
                  <w:vAlign w:val="center"/>
                </w:tcPr>
                <w:p w14:paraId="22F859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508" w:type="dxa"/>
                  <w:shd w:val="clear" w:color="auto" w:fill="auto"/>
                  <w:vAlign w:val="center"/>
                </w:tcPr>
                <w:p w14:paraId="332021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color w:val="auto"/>
                      <w:sz w:val="21"/>
                      <w:szCs w:val="21"/>
                    </w:rPr>
                    <w:t>Q</w:t>
                  </w:r>
                  <w:r>
                    <w:rPr>
                      <w:color w:val="auto"/>
                      <w:sz w:val="21"/>
                      <w:szCs w:val="21"/>
                      <w:vertAlign w:val="subscript"/>
                    </w:rPr>
                    <w:t>net,v,ar</w:t>
                  </w:r>
                </w:p>
              </w:tc>
            </w:tr>
            <w:tr w14:paraId="05211C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shd w:val="clear" w:color="auto" w:fill="auto"/>
                  <w:vAlign w:val="center"/>
                </w:tcPr>
                <w:p w14:paraId="4572FF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数值</w:t>
                  </w:r>
                </w:p>
              </w:tc>
              <w:tc>
                <w:tcPr>
                  <w:tcW w:w="854" w:type="dxa"/>
                  <w:shd w:val="clear" w:color="auto" w:fill="auto"/>
                  <w:vAlign w:val="center"/>
                </w:tcPr>
                <w:p w14:paraId="154F4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17.91</w:t>
                  </w:r>
                </w:p>
              </w:tc>
              <w:tc>
                <w:tcPr>
                  <w:tcW w:w="840" w:type="dxa"/>
                  <w:shd w:val="clear" w:color="auto" w:fill="auto"/>
                  <w:vAlign w:val="center"/>
                </w:tcPr>
                <w:p w14:paraId="3BA7BF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8.95</w:t>
                  </w:r>
                </w:p>
              </w:tc>
              <w:tc>
                <w:tcPr>
                  <w:tcW w:w="841" w:type="dxa"/>
                  <w:shd w:val="clear" w:color="auto" w:fill="auto"/>
                  <w:vAlign w:val="center"/>
                </w:tcPr>
                <w:p w14:paraId="414E7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27.23</w:t>
                  </w:r>
                </w:p>
              </w:tc>
              <w:tc>
                <w:tcPr>
                  <w:tcW w:w="841" w:type="dxa"/>
                  <w:shd w:val="clear" w:color="auto" w:fill="auto"/>
                  <w:vAlign w:val="center"/>
                </w:tcPr>
                <w:p w14:paraId="2DE29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4.30</w:t>
                  </w:r>
                </w:p>
              </w:tc>
              <w:tc>
                <w:tcPr>
                  <w:tcW w:w="841" w:type="dxa"/>
                  <w:shd w:val="clear" w:color="auto" w:fill="auto"/>
                  <w:vAlign w:val="center"/>
                </w:tcPr>
                <w:p w14:paraId="06271F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0.86</w:t>
                  </w:r>
                </w:p>
              </w:tc>
              <w:tc>
                <w:tcPr>
                  <w:tcW w:w="842" w:type="dxa"/>
                  <w:shd w:val="clear" w:color="auto" w:fill="auto"/>
                  <w:vAlign w:val="center"/>
                </w:tcPr>
                <w:p w14:paraId="4B1056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40.66</w:t>
                  </w:r>
                </w:p>
              </w:tc>
              <w:tc>
                <w:tcPr>
                  <w:tcW w:w="842" w:type="dxa"/>
                  <w:shd w:val="clear" w:color="auto" w:fill="auto"/>
                  <w:vAlign w:val="center"/>
                </w:tcPr>
                <w:p w14:paraId="23BA64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0.</w:t>
                  </w:r>
                  <w:r>
                    <w:rPr>
                      <w:color w:val="auto"/>
                      <w:sz w:val="21"/>
                      <w:szCs w:val="21"/>
                    </w:rPr>
                    <w:t>09</w:t>
                  </w:r>
                </w:p>
              </w:tc>
              <w:tc>
                <w:tcPr>
                  <w:tcW w:w="1508" w:type="dxa"/>
                  <w:shd w:val="clear" w:color="auto" w:fill="auto"/>
                  <w:vAlign w:val="center"/>
                </w:tcPr>
                <w:p w14:paraId="04849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6740.77</w:t>
                  </w:r>
                </w:p>
              </w:tc>
            </w:tr>
            <w:tr w14:paraId="6F073B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shd w:val="clear" w:color="auto" w:fill="auto"/>
                  <w:vAlign w:val="center"/>
                </w:tcPr>
                <w:p w14:paraId="09F6E4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单位</w:t>
                  </w:r>
                </w:p>
              </w:tc>
              <w:tc>
                <w:tcPr>
                  <w:tcW w:w="854" w:type="dxa"/>
                  <w:shd w:val="clear" w:color="auto" w:fill="auto"/>
                  <w:vAlign w:val="center"/>
                </w:tcPr>
                <w:p w14:paraId="759891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w:t>
                  </w:r>
                </w:p>
              </w:tc>
              <w:tc>
                <w:tcPr>
                  <w:tcW w:w="840" w:type="dxa"/>
                  <w:shd w:val="clear" w:color="auto" w:fill="auto"/>
                  <w:vAlign w:val="center"/>
                </w:tcPr>
                <w:p w14:paraId="5441C3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14:paraId="23F28D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14:paraId="2CE4D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14:paraId="76C7B9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2" w:type="dxa"/>
                  <w:shd w:val="clear" w:color="auto" w:fill="auto"/>
                  <w:vAlign w:val="center"/>
                </w:tcPr>
                <w:p w14:paraId="629F8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2" w:type="dxa"/>
                  <w:shd w:val="clear" w:color="auto" w:fill="auto"/>
                  <w:vAlign w:val="center"/>
                </w:tcPr>
                <w:p w14:paraId="584915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1508" w:type="dxa"/>
                  <w:shd w:val="clear" w:color="auto" w:fill="auto"/>
                  <w:vAlign w:val="center"/>
                </w:tcPr>
                <w:p w14:paraId="6D08DD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color w:val="auto"/>
                      <w:sz w:val="21"/>
                      <w:szCs w:val="21"/>
                    </w:rPr>
                    <w:t>kJ/</w:t>
                  </w:r>
                  <w:r>
                    <w:rPr>
                      <w:rFonts w:hint="eastAsia"/>
                      <w:color w:val="auto"/>
                      <w:sz w:val="21"/>
                      <w:szCs w:val="21"/>
                    </w:rPr>
                    <w:t>Nm</w:t>
                  </w:r>
                  <w:r>
                    <w:rPr>
                      <w:color w:val="auto"/>
                      <w:sz w:val="21"/>
                      <w:szCs w:val="21"/>
                      <w:vertAlign w:val="superscript"/>
                    </w:rPr>
                    <w:t>3</w:t>
                  </w:r>
                </w:p>
              </w:tc>
            </w:tr>
            <w:tr w14:paraId="5FA55C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62" w:type="dxa"/>
                  <w:gridSpan w:val="9"/>
                  <w:shd w:val="clear" w:color="auto" w:fill="auto"/>
                  <w:vAlign w:val="center"/>
                </w:tcPr>
                <w:p w14:paraId="15C171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宋体"/>
                      <w:color w:val="auto"/>
                      <w:sz w:val="21"/>
                      <w:szCs w:val="21"/>
                      <w:lang w:eastAsia="zh-CN"/>
                    </w:rPr>
                  </w:pPr>
                  <w:r>
                    <w:rPr>
                      <w:rFonts w:hint="eastAsia"/>
                      <w:color w:val="auto"/>
                      <w:sz w:val="21"/>
                      <w:szCs w:val="21"/>
                      <w:lang w:eastAsia="zh-CN"/>
                    </w:rPr>
                    <w:t>备注：各成分均为体积占比</w:t>
                  </w:r>
                </w:p>
              </w:tc>
            </w:tr>
          </w:tbl>
          <w:p w14:paraId="03C69DF1">
            <w:pPr>
              <w:pStyle w:val="49"/>
              <w:spacing w:line="360" w:lineRule="auto"/>
              <w:rPr>
                <w:rFonts w:hint="eastAsia" w:hAnsi="宋体"/>
                <w:bCs/>
                <w:color w:val="auto"/>
                <w:szCs w:val="21"/>
              </w:rPr>
            </w:pPr>
            <w:r>
              <w:rPr>
                <w:rFonts w:hint="eastAsia" w:hAnsi="宋体"/>
                <w:bCs/>
                <w:color w:val="auto"/>
                <w:szCs w:val="21"/>
              </w:rPr>
              <w:t>这些燃气从气化炉上部引出进入燃烧室（由于整个系统中烟气温度一直维持在500℃以上，热解过程的产生的焦油、木醋酸等物质不析出，直接进入燃烧室内燃烧），燃烧释能后回进炉体加热套，为炭化过程提供热源。</w:t>
            </w:r>
          </w:p>
          <w:p w14:paraId="148EA12F">
            <w:pPr>
              <w:pStyle w:val="49"/>
              <w:spacing w:line="360" w:lineRule="auto"/>
              <w:rPr>
                <w:rFonts w:hint="eastAsia" w:hAnsi="宋体"/>
                <w:bCs/>
                <w:color w:val="auto"/>
                <w:szCs w:val="21"/>
                <w:lang w:eastAsia="zh-CN"/>
              </w:rPr>
            </w:pPr>
            <w:r>
              <w:rPr>
                <w:rFonts w:hint="eastAsia" w:hAnsi="宋体"/>
                <w:bCs/>
                <w:color w:val="auto"/>
                <w:szCs w:val="21"/>
              </w:rPr>
              <w:t>②</w:t>
            </w:r>
            <w:r>
              <w:rPr>
                <w:rFonts w:hint="eastAsia" w:hAnsi="宋体"/>
                <w:bCs/>
                <w:color w:val="auto"/>
                <w:szCs w:val="21"/>
                <w:lang w:eastAsia="zh-CN"/>
              </w:rPr>
              <w:t>燃烧</w:t>
            </w:r>
          </w:p>
          <w:p w14:paraId="5D2DBB19">
            <w:pPr>
              <w:pStyle w:val="49"/>
              <w:spacing w:line="360" w:lineRule="auto"/>
              <w:rPr>
                <w:rFonts w:hint="eastAsia" w:hAnsi="宋体"/>
                <w:bCs/>
                <w:color w:val="auto"/>
                <w:szCs w:val="21"/>
              </w:rPr>
            </w:pPr>
            <w:r>
              <w:rPr>
                <w:rFonts w:hint="eastAsia" w:hAnsi="宋体"/>
                <w:bCs/>
                <w:color w:val="auto"/>
                <w:szCs w:val="21"/>
                <w:lang w:eastAsia="zh-CN"/>
              </w:rPr>
              <w:t>每台炭化炉配有1台采用低氮高温燃烧器的燃烧室，生物质燃气入口温度约为</w:t>
            </w:r>
            <w:r>
              <w:rPr>
                <w:rFonts w:hint="eastAsia" w:hAnsi="宋体"/>
                <w:bCs/>
                <w:color w:val="auto"/>
                <w:szCs w:val="21"/>
                <w:lang w:val="en-US" w:eastAsia="zh-CN"/>
              </w:rPr>
              <w:t>500℃，燃气量1305 Nm</w:t>
            </w:r>
            <w:r>
              <w:rPr>
                <w:rFonts w:hint="eastAsia" w:hAnsi="宋体"/>
                <w:bCs/>
                <w:color w:val="auto"/>
                <w:szCs w:val="21"/>
                <w:vertAlign w:val="superscript"/>
                <w:lang w:val="en-US" w:eastAsia="zh-CN"/>
              </w:rPr>
              <w:t>3</w:t>
            </w:r>
            <w:r>
              <w:rPr>
                <w:rFonts w:hint="eastAsia" w:hAnsi="宋体"/>
                <w:bCs/>
                <w:color w:val="auto"/>
                <w:szCs w:val="21"/>
                <w:lang w:val="en-US" w:eastAsia="zh-CN"/>
              </w:rPr>
              <w:t>/h，当过量空气系数取1.1时，燃气理论燃烧温度为1765.1℃，</w:t>
            </w:r>
            <w:r>
              <w:rPr>
                <w:rFonts w:hint="eastAsia"/>
                <w:color w:val="auto"/>
                <w:sz w:val="24"/>
              </w:rPr>
              <w:t>掺混再循环低温烟气后将排烟温度控制在约9</w:t>
            </w:r>
            <w:r>
              <w:rPr>
                <w:color w:val="auto"/>
                <w:sz w:val="24"/>
              </w:rPr>
              <w:t>50</w:t>
            </w:r>
            <w:r>
              <w:rPr>
                <w:rFonts w:hint="eastAsia"/>
                <w:color w:val="auto"/>
                <w:sz w:val="24"/>
              </w:rPr>
              <w:t>℃，然后进入炭化炉</w:t>
            </w:r>
            <w:r>
              <w:rPr>
                <w:rFonts w:hint="eastAsia"/>
                <w:color w:val="auto"/>
                <w:sz w:val="24"/>
                <w:lang w:eastAsia="zh-CN"/>
              </w:rPr>
              <w:t>加热套</w:t>
            </w:r>
            <w:r>
              <w:rPr>
                <w:rFonts w:hint="eastAsia"/>
                <w:color w:val="auto"/>
                <w:sz w:val="24"/>
              </w:rPr>
              <w:t>对棉秆热解提供热量。再循环低温烟气引自余热蒸汽发生器出口烟道，再循环烟气温度1</w:t>
            </w:r>
            <w:r>
              <w:rPr>
                <w:color w:val="auto"/>
                <w:sz w:val="24"/>
              </w:rPr>
              <w:t>70</w:t>
            </w:r>
            <w:r>
              <w:rPr>
                <w:rFonts w:hint="eastAsia"/>
                <w:color w:val="auto"/>
                <w:sz w:val="24"/>
              </w:rPr>
              <w:t>℃，烟气再循环系数为1.</w:t>
            </w:r>
            <w:r>
              <w:rPr>
                <w:color w:val="auto"/>
                <w:sz w:val="24"/>
              </w:rPr>
              <w:t>11</w:t>
            </w:r>
            <w:r>
              <w:rPr>
                <w:rFonts w:hint="eastAsia"/>
                <w:color w:val="auto"/>
                <w:sz w:val="24"/>
              </w:rPr>
              <w:t>（循环烟气量与系统最终排放烟气量比值）。每台燃烧炉燃烧产生烟气量约3</w:t>
            </w:r>
            <w:r>
              <w:rPr>
                <w:color w:val="auto"/>
                <w:sz w:val="24"/>
              </w:rPr>
              <w:t>180.2</w:t>
            </w:r>
            <w:r>
              <w:rPr>
                <w:rFonts w:hint="eastAsia"/>
                <w:color w:val="auto"/>
                <w:sz w:val="24"/>
              </w:rPr>
              <w:t xml:space="preserve"> Nm</w:t>
            </w:r>
            <w:r>
              <w:rPr>
                <w:color w:val="auto"/>
                <w:sz w:val="24"/>
                <w:vertAlign w:val="superscript"/>
              </w:rPr>
              <w:t>3</w:t>
            </w:r>
            <w:r>
              <w:rPr>
                <w:color w:val="auto"/>
                <w:sz w:val="24"/>
              </w:rPr>
              <w:t>/h</w:t>
            </w:r>
            <w:r>
              <w:rPr>
                <w:rFonts w:hint="eastAsia"/>
                <w:color w:val="auto"/>
                <w:sz w:val="24"/>
              </w:rPr>
              <w:t>，再循环烟气量3</w:t>
            </w:r>
            <w:r>
              <w:rPr>
                <w:color w:val="auto"/>
                <w:sz w:val="24"/>
              </w:rPr>
              <w:t>881.2</w:t>
            </w:r>
            <w:r>
              <w:rPr>
                <w:rFonts w:hint="eastAsia"/>
                <w:color w:val="auto"/>
                <w:sz w:val="24"/>
              </w:rPr>
              <w:t xml:space="preserve"> Nm</w:t>
            </w:r>
            <w:r>
              <w:rPr>
                <w:color w:val="auto"/>
                <w:sz w:val="24"/>
                <w:vertAlign w:val="superscript"/>
              </w:rPr>
              <w:t>3</w:t>
            </w:r>
            <w:r>
              <w:rPr>
                <w:color w:val="auto"/>
                <w:sz w:val="24"/>
              </w:rPr>
              <w:t>/h</w:t>
            </w:r>
            <w:r>
              <w:rPr>
                <w:rFonts w:hint="eastAsia"/>
                <w:color w:val="auto"/>
                <w:sz w:val="24"/>
              </w:rPr>
              <w:t>，掺混再循环烟气后燃烧室出口烟气量</w:t>
            </w:r>
            <w:r>
              <w:rPr>
                <w:color w:val="auto"/>
                <w:sz w:val="24"/>
              </w:rPr>
              <w:t>7061.4</w:t>
            </w:r>
            <w:r>
              <w:rPr>
                <w:rFonts w:hint="eastAsia"/>
                <w:color w:val="auto"/>
                <w:sz w:val="24"/>
              </w:rPr>
              <w:t>Nm</w:t>
            </w:r>
            <w:r>
              <w:rPr>
                <w:color w:val="auto"/>
                <w:sz w:val="24"/>
                <w:vertAlign w:val="superscript"/>
              </w:rPr>
              <w:t>3</w:t>
            </w:r>
            <w:r>
              <w:rPr>
                <w:color w:val="auto"/>
                <w:sz w:val="24"/>
              </w:rPr>
              <w:t>/h</w:t>
            </w:r>
          </w:p>
          <w:p w14:paraId="330D01E7">
            <w:pPr>
              <w:pStyle w:val="49"/>
              <w:spacing w:line="360" w:lineRule="auto"/>
              <w:rPr>
                <w:rFonts w:hint="eastAsia" w:hAnsi="宋体"/>
                <w:bCs/>
                <w:color w:val="auto"/>
                <w:szCs w:val="21"/>
                <w:lang w:eastAsia="zh-CN"/>
              </w:rPr>
            </w:pPr>
            <w:r>
              <w:rPr>
                <w:rFonts w:hint="eastAsia" w:hAnsi="宋体"/>
                <w:bCs/>
                <w:color w:val="auto"/>
                <w:szCs w:val="21"/>
              </w:rPr>
              <w:t>③</w:t>
            </w:r>
            <w:r>
              <w:rPr>
                <w:rFonts w:hint="eastAsia" w:hAnsi="宋体"/>
                <w:bCs/>
                <w:color w:val="auto"/>
                <w:szCs w:val="21"/>
                <w:lang w:eastAsia="zh-CN"/>
              </w:rPr>
              <w:t>炭化</w:t>
            </w:r>
          </w:p>
          <w:p w14:paraId="4B23CADA">
            <w:pPr>
              <w:pStyle w:val="49"/>
              <w:spacing w:line="360" w:lineRule="auto"/>
              <w:rPr>
                <w:rFonts w:hint="eastAsia" w:hAnsi="宋体"/>
                <w:bCs/>
                <w:color w:val="auto"/>
                <w:szCs w:val="21"/>
              </w:rPr>
            </w:pPr>
            <w:r>
              <w:rPr>
                <w:rFonts w:hint="eastAsia" w:hAnsi="宋体"/>
                <w:bCs/>
                <w:color w:val="auto"/>
                <w:szCs w:val="21"/>
                <w:lang w:eastAsia="zh-CN"/>
              </w:rPr>
              <w:t>气化</w:t>
            </w:r>
            <w:r>
              <w:rPr>
                <w:rFonts w:hint="eastAsia" w:hAnsi="宋体"/>
                <w:bCs/>
                <w:color w:val="auto"/>
                <w:szCs w:val="21"/>
              </w:rPr>
              <w:t>过程产生的棉杆基炭在螺旋推绞轴作用下，排入尾部密闭储炭箱，同样使用燃烧高温烟气间接加热使箱内温度维持在450~500℃，棉杆基炭在储炭箱内恒温留存2h，完成深入炭化和沉淀，然后经</w:t>
            </w:r>
            <w:r>
              <w:rPr>
                <w:rFonts w:hint="eastAsia" w:hAnsi="宋体"/>
                <w:bCs/>
                <w:color w:val="auto"/>
                <w:szCs w:val="21"/>
                <w:lang w:eastAsia="zh-CN"/>
              </w:rPr>
              <w:t>间接</w:t>
            </w:r>
            <w:r>
              <w:rPr>
                <w:rFonts w:hint="eastAsia" w:hAnsi="宋体"/>
                <w:bCs/>
                <w:color w:val="auto"/>
                <w:szCs w:val="21"/>
              </w:rPr>
              <w:t>水冷式出炭机冷却至50℃以下后进入出料系统，由输送带送入机制炭车间。</w:t>
            </w:r>
          </w:p>
          <w:p w14:paraId="76660A80">
            <w:pPr>
              <w:pStyle w:val="49"/>
              <w:spacing w:line="360" w:lineRule="auto"/>
              <w:rPr>
                <w:rFonts w:hint="eastAsia" w:hAnsi="宋体"/>
                <w:bCs/>
                <w:color w:val="auto"/>
                <w:szCs w:val="21"/>
              </w:rPr>
            </w:pPr>
            <w:r>
              <w:rPr>
                <w:rFonts w:hint="eastAsia" w:hAnsi="宋体"/>
                <w:bCs/>
                <w:color w:val="auto"/>
                <w:szCs w:val="21"/>
              </w:rPr>
              <w:t>从炭化炉加热套中排出的高温烟气温度约为</w:t>
            </w:r>
            <w:r>
              <w:rPr>
                <w:rFonts w:hint="eastAsia" w:hAnsi="宋体"/>
                <w:bCs/>
                <w:color w:val="auto"/>
                <w:szCs w:val="21"/>
                <w:lang w:val="en-US" w:eastAsia="zh-CN"/>
              </w:rPr>
              <w:t>750</w:t>
            </w:r>
            <w:r>
              <w:rPr>
                <w:rFonts w:hint="eastAsia" w:hAnsi="宋体"/>
                <w:bCs/>
                <w:color w:val="auto"/>
                <w:szCs w:val="21"/>
              </w:rPr>
              <w:t>℃，进入蒸汽车间和汽机房进行余热利用。</w:t>
            </w:r>
          </w:p>
          <w:p w14:paraId="0B7854E0">
            <w:pPr>
              <w:pStyle w:val="49"/>
              <w:spacing w:line="360" w:lineRule="auto"/>
              <w:rPr>
                <w:rFonts w:hint="eastAsia" w:hAnsi="宋体"/>
                <w:bCs/>
                <w:color w:val="auto"/>
                <w:szCs w:val="21"/>
              </w:rPr>
            </w:pPr>
            <w:r>
              <w:rPr>
                <w:rFonts w:hint="eastAsia" w:hAnsi="宋体"/>
                <w:bCs/>
                <w:color w:val="auto"/>
                <w:szCs w:val="21"/>
              </w:rPr>
              <w:t>（4）制炭</w:t>
            </w:r>
          </w:p>
          <w:p w14:paraId="5430B8A9">
            <w:pPr>
              <w:pStyle w:val="49"/>
              <w:spacing w:line="360" w:lineRule="auto"/>
              <w:rPr>
                <w:rFonts w:hint="eastAsia" w:hAnsi="宋体"/>
                <w:bCs/>
                <w:color w:val="auto"/>
                <w:szCs w:val="21"/>
              </w:rPr>
            </w:pPr>
            <w:r>
              <w:rPr>
                <w:rFonts w:hint="eastAsia" w:hAnsi="宋体"/>
                <w:bCs/>
                <w:color w:val="auto"/>
                <w:szCs w:val="21"/>
              </w:rPr>
              <w:t>炭化车间内冷却后的棉杆基炭经一根输送带送入机制炭车间，经对辊式破碎机破碎后由成型机制为产品碳棒，包装后送入成品库房。破碎和成型过程会产生粉尘，企业通过在主要产尘点设置集气罩，将粉尘收集后经一套袋式除尘设施处理后排放。</w:t>
            </w:r>
          </w:p>
          <w:p w14:paraId="5BDC2D90">
            <w:pPr>
              <w:pStyle w:val="49"/>
              <w:spacing w:line="360" w:lineRule="auto"/>
              <w:rPr>
                <w:rFonts w:hint="eastAsia" w:hAnsi="宋体"/>
                <w:bCs/>
                <w:color w:val="auto"/>
                <w:szCs w:val="21"/>
              </w:rPr>
            </w:pPr>
            <w:r>
              <w:rPr>
                <w:rFonts w:hint="eastAsia" w:hAnsi="宋体"/>
                <w:bCs/>
                <w:color w:val="auto"/>
                <w:szCs w:val="21"/>
              </w:rPr>
              <w:t>（5）发电</w:t>
            </w:r>
          </w:p>
          <w:p w14:paraId="574C0D7F">
            <w:pPr>
              <w:pStyle w:val="49"/>
              <w:spacing w:line="360" w:lineRule="auto"/>
              <w:rPr>
                <w:rFonts w:hint="eastAsia" w:hAnsi="宋体"/>
                <w:bCs/>
                <w:color w:val="auto"/>
                <w:szCs w:val="21"/>
              </w:rPr>
            </w:pPr>
            <w:r>
              <w:rPr>
                <w:rFonts w:hint="eastAsia" w:hAnsi="宋体"/>
                <w:bCs/>
                <w:color w:val="auto"/>
                <w:szCs w:val="21"/>
              </w:rPr>
              <w:t>燃烧室烟气经炭化炉加热套换热后进入10t/h的蒸汽发生器，充分换热后经袋式除尘器处理，通过30m高排气筒外排。蒸汽发生器产生蒸汽规格为2.5MPa，400℃，进入汽轮发电机发电。</w:t>
            </w:r>
          </w:p>
          <w:p w14:paraId="7DD9B102">
            <w:pPr>
              <w:pStyle w:val="49"/>
              <w:spacing w:line="360" w:lineRule="auto"/>
              <w:rPr>
                <w:bCs/>
                <w:color w:val="auto"/>
                <w:szCs w:val="21"/>
              </w:rPr>
            </w:pPr>
            <w:r>
              <w:rPr>
                <w:rFonts w:hint="default" w:ascii="Times New Roman" w:hAnsi="Times New Roman" w:cs="Times New Roman"/>
                <w:color w:val="auto"/>
                <w:sz w:val="24"/>
                <w:highlight w:val="none"/>
              </w:rPr>
              <w:pict>
                <v:shape id="_x0000_s1031" o:spid="_x0000_s1031" o:spt="75" type="#_x0000_t75" style="position:absolute;left:0pt;margin-left:-15pt;margin-top:118.95pt;height:248.1pt;width:411.35pt;mso-wrap-distance-bottom:0pt;mso-wrap-distance-top:0pt;z-index:251665408;mso-width-relative:page;mso-height-relative:page;" o:ole="t" filled="f" o:preferrelative="t" stroked="f" coordsize="21600,21600">
                  <v:path/>
                  <v:fill on="f" focussize="0,0"/>
                  <v:stroke on="f"/>
                  <v:imagedata r:id="rId22" o:title=""/>
                  <o:lock v:ext="edit" aspectratio="f"/>
                  <w10:wrap type="topAndBottom"/>
                </v:shape>
                <o:OLEObject Type="Embed" ProgID="Visio.Drawing.11" ShapeID="_x0000_s1031" DrawAspect="Content" ObjectID="_1468075732" r:id="rId21">
                  <o:LockedField>false</o:LockedField>
                </o:OLEObject>
              </w:pict>
            </w:r>
            <w:r>
              <w:rPr>
                <w:rFonts w:hint="eastAsia" w:hAnsi="宋体"/>
                <w:bCs/>
                <w:color w:val="auto"/>
                <w:szCs w:val="21"/>
              </w:rPr>
              <w:t>项目汽机房内设置一台蒸发器和一台汽轮机，蒸汽车间内设置四台蒸发器和四台汽轮机。企业设计汽机房内蒸发器单独配套</w:t>
            </w:r>
            <w:r>
              <w:rPr>
                <w:rFonts w:hint="eastAsia" w:hAnsi="宋体"/>
                <w:bCs/>
                <w:color w:val="auto"/>
                <w:szCs w:val="21"/>
                <w:lang w:eastAsia="zh-CN"/>
              </w:rPr>
              <w:t>一套石灰石</w:t>
            </w:r>
            <w:r>
              <w:rPr>
                <w:rFonts w:hint="eastAsia" w:hAnsi="宋体"/>
                <w:bCs/>
                <w:color w:val="auto"/>
                <w:szCs w:val="21"/>
                <w:lang w:val="en-US" w:eastAsia="zh-CN"/>
              </w:rPr>
              <w:t>/</w:t>
            </w:r>
            <w:r>
              <w:rPr>
                <w:rFonts w:hint="eastAsia" w:hAnsi="宋体"/>
                <w:bCs/>
                <w:color w:val="auto"/>
                <w:szCs w:val="21"/>
                <w:lang w:eastAsia="zh-CN"/>
              </w:rPr>
              <w:t>石膏脱硫装置</w:t>
            </w:r>
            <w:r>
              <w:rPr>
                <w:rFonts w:hint="eastAsia" w:hAnsi="宋体"/>
                <w:bCs/>
                <w:color w:val="auto"/>
                <w:szCs w:val="21"/>
                <w:lang w:val="en-US" w:eastAsia="zh-CN"/>
              </w:rPr>
              <w:t>+</w:t>
            </w:r>
            <w:r>
              <w:rPr>
                <w:rFonts w:hint="eastAsia" w:hAnsi="宋体"/>
                <w:bCs/>
                <w:color w:val="auto"/>
                <w:szCs w:val="21"/>
              </w:rPr>
              <w:t>袋式除尘器，蒸汽车间内每两台蒸发器配套一台袋式除尘器</w:t>
            </w:r>
            <w:r>
              <w:rPr>
                <w:rFonts w:hint="eastAsia" w:hAnsi="宋体"/>
                <w:bCs/>
                <w:color w:val="auto"/>
                <w:szCs w:val="21"/>
                <w:lang w:eastAsia="zh-CN"/>
              </w:rPr>
              <w:t>，经除尘后的烟气经一套石灰石</w:t>
            </w:r>
            <w:r>
              <w:rPr>
                <w:rFonts w:hint="eastAsia" w:hAnsi="宋体"/>
                <w:bCs/>
                <w:color w:val="auto"/>
                <w:szCs w:val="21"/>
                <w:lang w:val="en-US" w:eastAsia="zh-CN"/>
              </w:rPr>
              <w:t>/</w:t>
            </w:r>
            <w:r>
              <w:rPr>
                <w:rFonts w:hint="eastAsia" w:hAnsi="宋体"/>
                <w:bCs/>
                <w:color w:val="auto"/>
                <w:szCs w:val="21"/>
                <w:lang w:eastAsia="zh-CN"/>
              </w:rPr>
              <w:t>石膏脱硫装置处置后排放</w:t>
            </w:r>
            <w:r>
              <w:rPr>
                <w:rFonts w:hint="eastAsia" w:hAnsi="宋体"/>
                <w:bCs/>
                <w:color w:val="auto"/>
                <w:szCs w:val="21"/>
              </w:rPr>
              <w:t>。项目炭化烟气流向示意见图</w:t>
            </w:r>
            <w:r>
              <w:rPr>
                <w:rFonts w:hint="eastAsia" w:hAnsi="宋体"/>
                <w:bCs/>
                <w:color w:val="auto"/>
                <w:szCs w:val="21"/>
                <w:lang w:val="en-US" w:eastAsia="zh-CN"/>
              </w:rPr>
              <w:t>7。</w:t>
            </w:r>
            <w:r>
              <w:rPr>
                <w:rFonts w:hAnsi="宋体"/>
                <w:bCs/>
                <w:color w:val="auto"/>
                <w:szCs w:val="21"/>
              </w:rPr>
              <w:t>本项目运营期生产工艺流程及产污情况见图</w:t>
            </w:r>
            <w:r>
              <w:rPr>
                <w:rFonts w:hint="eastAsia" w:hAnsi="宋体"/>
                <w:bCs/>
                <w:color w:val="auto"/>
                <w:szCs w:val="21"/>
                <w:lang w:val="en-US" w:eastAsia="zh-CN"/>
              </w:rPr>
              <w:t>8</w:t>
            </w:r>
            <w:r>
              <w:rPr>
                <w:rFonts w:hAnsi="宋体"/>
                <w:bCs/>
                <w:color w:val="auto"/>
                <w:szCs w:val="21"/>
              </w:rPr>
              <w:t>。</w:t>
            </w:r>
          </w:p>
          <w:p w14:paraId="16005F4E">
            <w:pPr>
              <w:pStyle w:val="51"/>
              <w:snapToGrid w:val="0"/>
              <w:spacing w:line="240" w:lineRule="auto"/>
              <w:ind w:firstLine="0"/>
              <w:rPr>
                <w:rFonts w:ascii="Times New Roman" w:hAnsi="Times New Roman"/>
                <w:bCs w:val="0"/>
                <w:color w:val="auto"/>
                <w:szCs w:val="24"/>
              </w:rPr>
            </w:pPr>
          </w:p>
          <w:p w14:paraId="0CB53CF0">
            <w:pPr>
              <w:pStyle w:val="51"/>
              <w:adjustRightInd w:val="0"/>
              <w:snapToGrid w:val="0"/>
              <w:spacing w:line="240" w:lineRule="auto"/>
              <w:ind w:firstLine="0"/>
              <w:rPr>
                <w:rFonts w:ascii="Times New Roman" w:hAnsi="Times New Roman"/>
                <w:bCs w:val="0"/>
                <w:color w:val="auto"/>
                <w:szCs w:val="24"/>
              </w:rPr>
            </w:pPr>
            <w:r>
              <w:rPr>
                <w:rFonts w:hint="eastAsia" w:ascii="Times New Roman" w:hAnsi="黑体" w:eastAsia="黑体"/>
                <w:color w:val="auto"/>
                <w:sz w:val="21"/>
                <w:szCs w:val="21"/>
              </w:rPr>
              <w:t>图</w:t>
            </w:r>
            <w:r>
              <w:rPr>
                <w:rFonts w:hint="eastAsia" w:ascii="Times New Roman" w:hAnsi="黑体" w:eastAsia="黑体"/>
                <w:color w:val="auto"/>
                <w:sz w:val="21"/>
                <w:szCs w:val="21"/>
                <w:lang w:val="en-US" w:eastAsia="zh-CN"/>
              </w:rPr>
              <w:t>7</w:t>
            </w:r>
            <w:r>
              <w:rPr>
                <w:rFonts w:ascii="Times New Roman" w:hAnsi="黑体" w:eastAsia="黑体"/>
                <w:color w:val="auto"/>
                <w:sz w:val="21"/>
                <w:szCs w:val="21"/>
              </w:rPr>
              <w:t xml:space="preserve"> </w:t>
            </w:r>
            <w:r>
              <w:rPr>
                <w:rFonts w:hint="eastAsia" w:ascii="Times New Roman" w:hAnsi="黑体" w:eastAsia="黑体"/>
                <w:color w:val="auto"/>
                <w:sz w:val="21"/>
                <w:szCs w:val="21"/>
                <w:lang w:eastAsia="zh-CN"/>
              </w:rPr>
              <w:t>项目炭化烟气流向</w:t>
            </w:r>
            <w:r>
              <w:rPr>
                <w:rFonts w:hint="eastAsia" w:ascii="Times New Roman" w:hAnsi="黑体" w:eastAsia="黑体"/>
                <w:color w:val="auto"/>
                <w:sz w:val="21"/>
                <w:szCs w:val="21"/>
              </w:rPr>
              <w:t>图</w:t>
            </w:r>
          </w:p>
          <w:p w14:paraId="2EE76DC0">
            <w:pPr>
              <w:pStyle w:val="49"/>
              <w:spacing w:line="480" w:lineRule="exact"/>
              <w:rPr>
                <w:rFonts w:ascii="宋体" w:hAnsi="宋体"/>
                <w:bCs/>
                <w:color w:val="auto"/>
                <w:szCs w:val="21"/>
              </w:rPr>
            </w:pPr>
          </w:p>
          <w:p w14:paraId="6149D265">
            <w:pPr>
              <w:pStyle w:val="49"/>
              <w:spacing w:line="480" w:lineRule="exact"/>
              <w:rPr>
                <w:rFonts w:ascii="宋体" w:hAnsi="宋体"/>
                <w:bCs/>
                <w:color w:val="auto"/>
                <w:szCs w:val="21"/>
              </w:rPr>
            </w:pPr>
          </w:p>
          <w:p w14:paraId="35E2A812">
            <w:pPr>
              <w:pStyle w:val="49"/>
              <w:spacing w:line="480" w:lineRule="exact"/>
              <w:rPr>
                <w:rFonts w:ascii="宋体" w:hAnsi="宋体"/>
                <w:bCs/>
                <w:color w:val="auto"/>
                <w:szCs w:val="21"/>
              </w:rPr>
            </w:pPr>
          </w:p>
          <w:p w14:paraId="7D253B73">
            <w:pPr>
              <w:pStyle w:val="49"/>
              <w:spacing w:line="480" w:lineRule="exact"/>
              <w:rPr>
                <w:rFonts w:ascii="宋体" w:hAnsi="宋体"/>
                <w:bCs/>
                <w:color w:val="auto"/>
                <w:szCs w:val="21"/>
              </w:rPr>
            </w:pPr>
          </w:p>
          <w:p w14:paraId="661F54A6">
            <w:pPr>
              <w:pStyle w:val="49"/>
              <w:spacing w:line="480" w:lineRule="exact"/>
              <w:rPr>
                <w:rFonts w:ascii="宋体" w:hAnsi="宋体"/>
                <w:bCs/>
                <w:color w:val="auto"/>
                <w:szCs w:val="21"/>
              </w:rPr>
            </w:pPr>
            <w:r>
              <w:rPr>
                <w:rFonts w:hint="default" w:ascii="Times New Roman" w:hAnsi="Times New Roman" w:cs="Times New Roman"/>
                <w:color w:val="auto"/>
                <w:sz w:val="24"/>
                <w:highlight w:val="none"/>
              </w:rPr>
              <w:pict>
                <v:shape id="_x0000_s1032" o:spid="_x0000_s1032" o:spt="75" type="#_x0000_t75" style="position:absolute;left:0pt;margin-top:1.85pt;height:379.55pt;width:405.95pt;mso-position-horizontal:center;mso-wrap-distance-bottom:0pt;mso-wrap-distance-top:0pt;z-index:251666432;mso-width-relative:page;mso-height-relative:page;" o:ole="t" filled="f" o:preferrelative="t" stroked="f" coordsize="21600,21600">
                  <v:path/>
                  <v:fill on="f" focussize="0,0"/>
                  <v:stroke on="f"/>
                  <v:imagedata r:id="rId24" o:title=""/>
                  <o:lock v:ext="edit" aspectratio="f"/>
                  <w10:wrap type="topAndBottom"/>
                </v:shape>
                <o:OLEObject Type="Embed" ProgID="Visio.Drawing.11" ShapeID="_x0000_s1032" DrawAspect="Content" ObjectID="_1468075733" r:id="rId23">
                  <o:LockedField>false</o:LockedField>
                </o:OLEObject>
              </w:pict>
            </w:r>
          </w:p>
          <w:p w14:paraId="18C06900">
            <w:pPr>
              <w:keepNext w:val="0"/>
              <w:keepLines w:val="0"/>
              <w:suppressLineNumbers w:val="0"/>
              <w:shd w:val="clear"/>
              <w:spacing w:before="0" w:beforeAutospacing="0" w:after="0" w:afterAutospacing="0" w:line="360" w:lineRule="auto"/>
              <w:ind w:left="0" w:leftChars="0" w:right="0" w:firstLine="0" w:firstLineChars="0"/>
              <w:jc w:val="center"/>
              <w:rPr>
                <w:rFonts w:hint="default"/>
                <w:color w:val="auto"/>
              </w:rPr>
            </w:pPr>
          </w:p>
          <w:p w14:paraId="15294EC3">
            <w:pPr>
              <w:keepNext w:val="0"/>
              <w:keepLines w:val="0"/>
              <w:suppressLineNumbers w:val="0"/>
              <w:shd w:val="clear"/>
              <w:spacing w:before="0" w:beforeAutospacing="0" w:after="0" w:afterAutospacing="0" w:line="360" w:lineRule="auto"/>
              <w:ind w:left="0" w:leftChars="0" w:right="0" w:firstLine="0" w:firstLineChars="0"/>
              <w:jc w:val="center"/>
              <w:rPr>
                <w:rFonts w:ascii="宋体" w:hAnsi="宋体"/>
                <w:bCs/>
                <w:color w:val="auto"/>
                <w:szCs w:val="21"/>
              </w:rPr>
            </w:pPr>
            <w:r>
              <w:rPr>
                <w:rFonts w:hint="eastAsia" w:ascii="黑体" w:hAnsi="黑体" w:eastAsia="黑体" w:cs="黑体"/>
                <w:color w:val="auto"/>
                <w:sz w:val="21"/>
                <w:szCs w:val="21"/>
                <w:highlight w:val="none"/>
              </w:rPr>
              <w:t>图</w:t>
            </w: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 xml:space="preserve">    运营期工艺流程及产污环节图</w:t>
            </w:r>
          </w:p>
        </w:tc>
      </w:tr>
      <w:tr w14:paraId="7041E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96" w:type="dxa"/>
            <w:vAlign w:val="center"/>
          </w:tcPr>
          <w:p w14:paraId="38131F0C">
            <w:pPr>
              <w:pStyle w:val="19"/>
              <w:adjustRightInd w:val="0"/>
              <w:snapToGrid w:val="0"/>
              <w:spacing w:before="0" w:beforeAutospacing="0" w:after="0" w:afterAutospacing="0"/>
              <w:jc w:val="center"/>
              <w:rPr>
                <w:rFonts w:cs="宋体"/>
                <w:color w:val="auto"/>
                <w:sz w:val="21"/>
                <w:szCs w:val="21"/>
              </w:rPr>
            </w:pPr>
            <w:r>
              <w:rPr>
                <w:rFonts w:hint="eastAsia" w:cs="宋体"/>
                <w:bCs/>
                <w:color w:val="auto"/>
                <w:kern w:val="2"/>
                <w:szCs w:val="21"/>
              </w:rPr>
              <w:t>与项目有关的原有环境污染问题</w:t>
            </w:r>
          </w:p>
        </w:tc>
        <w:tc>
          <w:tcPr>
            <w:tcW w:w="8488" w:type="dxa"/>
          </w:tcPr>
          <w:p w14:paraId="545E8099">
            <w:pPr>
              <w:pStyle w:val="49"/>
              <w:spacing w:line="480" w:lineRule="exact"/>
              <w:rPr>
                <w:rFonts w:ascii="宋体" w:hAnsi="宋体"/>
                <w:bCs/>
                <w:color w:val="auto"/>
                <w:szCs w:val="21"/>
              </w:rPr>
            </w:pPr>
          </w:p>
          <w:p w14:paraId="457C3F3B">
            <w:pPr>
              <w:pStyle w:val="49"/>
              <w:spacing w:line="480" w:lineRule="exact"/>
              <w:rPr>
                <w:rFonts w:ascii="宋体" w:hAnsi="宋体"/>
                <w:bCs/>
                <w:color w:val="auto"/>
                <w:szCs w:val="21"/>
              </w:rPr>
            </w:pPr>
          </w:p>
          <w:p w14:paraId="3F414218">
            <w:pPr>
              <w:pStyle w:val="49"/>
              <w:spacing w:line="480" w:lineRule="exact"/>
              <w:rPr>
                <w:rFonts w:hint="eastAsia" w:ascii="宋体" w:hAnsi="宋体" w:eastAsia="宋体"/>
                <w:bCs/>
                <w:color w:val="auto"/>
                <w:szCs w:val="21"/>
                <w:lang w:eastAsia="zh-CN"/>
              </w:rPr>
            </w:pPr>
            <w:r>
              <w:rPr>
                <w:rFonts w:hint="eastAsia" w:ascii="宋体" w:hAnsi="宋体"/>
                <w:bCs/>
                <w:color w:val="auto"/>
                <w:szCs w:val="21"/>
                <w:lang w:eastAsia="zh-CN"/>
              </w:rPr>
              <w:t>本工程为新建项目，拟建区域现状为未利用空地，不存在与本项目有关的原有环境污染问题。</w:t>
            </w:r>
          </w:p>
          <w:p w14:paraId="6D6B87CF">
            <w:pPr>
              <w:pStyle w:val="49"/>
              <w:spacing w:line="480" w:lineRule="exact"/>
              <w:rPr>
                <w:rFonts w:ascii="宋体" w:hAnsi="宋体"/>
                <w:bCs/>
                <w:color w:val="auto"/>
                <w:szCs w:val="21"/>
              </w:rPr>
            </w:pPr>
          </w:p>
          <w:p w14:paraId="076189D6">
            <w:pPr>
              <w:pStyle w:val="49"/>
              <w:spacing w:line="480" w:lineRule="exact"/>
              <w:rPr>
                <w:rFonts w:ascii="宋体" w:hAnsi="宋体"/>
                <w:bCs/>
                <w:color w:val="auto"/>
                <w:szCs w:val="21"/>
              </w:rPr>
            </w:pPr>
          </w:p>
          <w:p w14:paraId="0B6B29C3">
            <w:pPr>
              <w:pStyle w:val="49"/>
              <w:spacing w:line="480" w:lineRule="exact"/>
              <w:rPr>
                <w:rFonts w:ascii="宋体" w:hAnsi="宋体"/>
                <w:bCs/>
                <w:color w:val="auto"/>
                <w:szCs w:val="21"/>
              </w:rPr>
            </w:pPr>
          </w:p>
          <w:p w14:paraId="67D3B6A3">
            <w:pPr>
              <w:pStyle w:val="49"/>
              <w:spacing w:line="480" w:lineRule="exact"/>
              <w:rPr>
                <w:rFonts w:ascii="宋体" w:hAnsi="宋体"/>
                <w:bCs/>
                <w:color w:val="auto"/>
                <w:szCs w:val="21"/>
              </w:rPr>
            </w:pPr>
          </w:p>
          <w:p w14:paraId="13450904">
            <w:pPr>
              <w:pStyle w:val="49"/>
              <w:spacing w:line="480" w:lineRule="exact"/>
              <w:ind w:left="0" w:leftChars="0" w:firstLine="0" w:firstLineChars="0"/>
              <w:rPr>
                <w:rFonts w:ascii="宋体" w:hAnsi="宋体"/>
                <w:bCs/>
                <w:color w:val="auto"/>
                <w:szCs w:val="21"/>
              </w:rPr>
            </w:pPr>
          </w:p>
        </w:tc>
      </w:tr>
    </w:tbl>
    <w:p w14:paraId="4B6D86C0">
      <w:pPr>
        <w:pStyle w:val="19"/>
        <w:jc w:val="center"/>
        <w:rPr>
          <w:rFonts w:ascii="黑体" w:hAnsi="黑体" w:eastAsia="黑体"/>
          <w:snapToGrid w:val="0"/>
          <w:color w:val="auto"/>
          <w:sz w:val="36"/>
          <w:szCs w:val="36"/>
        </w:rPr>
        <w:sectPr>
          <w:pgSz w:w="11906" w:h="16838"/>
          <w:pgMar w:top="1701" w:right="1531" w:bottom="1701" w:left="1531" w:header="851" w:footer="851" w:gutter="0"/>
          <w:cols w:space="720" w:num="1"/>
          <w:docGrid w:linePitch="312" w:charSpace="0"/>
        </w:sectPr>
      </w:pPr>
    </w:p>
    <w:p w14:paraId="22F1B60B">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2"/>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91"/>
      </w:tblGrid>
      <w:tr w14:paraId="26DF7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499" w:type="dxa"/>
            <w:vAlign w:val="center"/>
          </w:tcPr>
          <w:p w14:paraId="2204214C">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区域</w:t>
            </w:r>
          </w:p>
          <w:p w14:paraId="507C3B06">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环境</w:t>
            </w:r>
          </w:p>
          <w:p w14:paraId="3A3F9FA8">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质量</w:t>
            </w:r>
          </w:p>
          <w:p w14:paraId="40B51117">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现状</w:t>
            </w:r>
          </w:p>
        </w:tc>
        <w:tc>
          <w:tcPr>
            <w:tcW w:w="8491" w:type="dxa"/>
            <w:vAlign w:val="center"/>
          </w:tcPr>
          <w:p w14:paraId="3881B257">
            <w:pPr>
              <w:adjustRightInd w:val="0"/>
              <w:snapToGrid w:val="0"/>
              <w:spacing w:line="360" w:lineRule="auto"/>
              <w:ind w:firstLine="482" w:firstLineChars="200"/>
              <w:rPr>
                <w:b/>
                <w:bCs/>
                <w:color w:val="auto"/>
                <w:sz w:val="24"/>
              </w:rPr>
            </w:pPr>
            <w:r>
              <w:rPr>
                <w:rFonts w:hint="eastAsia"/>
                <w:b/>
                <w:bCs/>
                <w:color w:val="auto"/>
                <w:sz w:val="24"/>
                <w:lang w:eastAsia="zh-CN"/>
              </w:rPr>
              <w:t>一</w:t>
            </w:r>
            <w:r>
              <w:rPr>
                <w:rFonts w:hint="eastAsia"/>
                <w:b/>
                <w:bCs/>
                <w:color w:val="auto"/>
                <w:sz w:val="24"/>
              </w:rPr>
              <w:t>、环境空气现状调查及分析</w:t>
            </w:r>
          </w:p>
          <w:p w14:paraId="23CFEC1B">
            <w:pPr>
              <w:adjustRightInd w:val="0"/>
              <w:snapToGrid w:val="0"/>
              <w:spacing w:line="360" w:lineRule="auto"/>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）达标区判定</w:t>
            </w:r>
          </w:p>
          <w:p w14:paraId="647494AE">
            <w:pPr>
              <w:adjustRightInd w:val="0"/>
              <w:snapToGrid w:val="0"/>
              <w:spacing w:line="360" w:lineRule="auto"/>
              <w:ind w:firstLine="480" w:firstLineChars="200"/>
              <w:rPr>
                <w:bCs/>
                <w:color w:val="auto"/>
                <w:sz w:val="24"/>
              </w:rPr>
            </w:pPr>
            <w:r>
              <w:rPr>
                <w:rFonts w:hint="eastAsia"/>
                <w:bCs/>
                <w:color w:val="auto"/>
                <w:sz w:val="24"/>
              </w:rPr>
              <w:t>①数据来源</w:t>
            </w:r>
          </w:p>
          <w:p w14:paraId="2A4D9F97">
            <w:pPr>
              <w:adjustRightInd w:val="0"/>
              <w:snapToGrid w:val="0"/>
              <w:spacing w:line="360" w:lineRule="auto"/>
              <w:ind w:firstLine="480" w:firstLineChars="200"/>
              <w:rPr>
                <w:bCs/>
                <w:color w:val="auto"/>
                <w:sz w:val="24"/>
              </w:rPr>
            </w:pPr>
            <w:r>
              <w:rPr>
                <w:rFonts w:hint="eastAsia"/>
                <w:bCs/>
                <w:color w:val="auto"/>
                <w:sz w:val="24"/>
              </w:rPr>
              <w:t>根据《环境影响评价技术导则</w:t>
            </w:r>
            <w:r>
              <w:rPr>
                <w:bCs/>
                <w:color w:val="auto"/>
                <w:sz w:val="24"/>
              </w:rPr>
              <w:t>-</w:t>
            </w:r>
            <w:r>
              <w:rPr>
                <w:rFonts w:hint="eastAsia"/>
                <w:bCs/>
                <w:color w:val="auto"/>
                <w:sz w:val="24"/>
              </w:rPr>
              <w:t>大气环境》（</w:t>
            </w:r>
            <w:r>
              <w:rPr>
                <w:bCs/>
                <w:color w:val="auto"/>
                <w:sz w:val="24"/>
              </w:rPr>
              <w:t>H.J2.2-2018</w:t>
            </w:r>
            <w:r>
              <w:rPr>
                <w:rFonts w:hint="eastAsia"/>
                <w:bCs/>
                <w:color w:val="auto"/>
                <w:sz w:val="24"/>
              </w:rPr>
              <w:t>）对环境质量现状数据的要求，本次评价选择</w:t>
            </w:r>
            <w:r>
              <w:rPr>
                <w:rFonts w:hint="eastAsia"/>
                <w:bCs/>
                <w:color w:val="auto"/>
                <w:sz w:val="24"/>
                <w:lang w:eastAsia="zh-CN"/>
              </w:rPr>
              <w:t>玛纳斯县</w:t>
            </w:r>
            <w:r>
              <w:rPr>
                <w:rFonts w:hint="eastAsia"/>
                <w:bCs/>
                <w:color w:val="auto"/>
                <w:sz w:val="24"/>
                <w:lang w:val="en-US" w:eastAsia="zh-CN"/>
              </w:rPr>
              <w:t>2019年全年环境空气质量逐日监测统计结果，</w:t>
            </w:r>
            <w:r>
              <w:rPr>
                <w:bCs/>
                <w:color w:val="auto"/>
                <w:sz w:val="24"/>
              </w:rPr>
              <w:t>SO</w:t>
            </w:r>
            <w:r>
              <w:rPr>
                <w:bCs/>
                <w:color w:val="auto"/>
                <w:sz w:val="24"/>
                <w:vertAlign w:val="subscript"/>
              </w:rPr>
              <w:t>2</w:t>
            </w:r>
            <w:r>
              <w:rPr>
                <w:rFonts w:hint="eastAsia"/>
                <w:bCs/>
                <w:color w:val="auto"/>
                <w:sz w:val="24"/>
              </w:rPr>
              <w:t>、</w:t>
            </w:r>
            <w:r>
              <w:rPr>
                <w:bCs/>
                <w:color w:val="auto"/>
                <w:sz w:val="24"/>
              </w:rPr>
              <w:t>NO</w:t>
            </w:r>
            <w:r>
              <w:rPr>
                <w:bCs/>
                <w:color w:val="auto"/>
                <w:sz w:val="24"/>
                <w:vertAlign w:val="subscript"/>
              </w:rPr>
              <w:t>2</w:t>
            </w:r>
            <w:r>
              <w:rPr>
                <w:rFonts w:hint="eastAsia"/>
                <w:bCs/>
                <w:color w:val="auto"/>
                <w:sz w:val="24"/>
              </w:rPr>
              <w:t>、</w:t>
            </w:r>
            <w:r>
              <w:rPr>
                <w:bCs/>
                <w:color w:val="auto"/>
                <w:sz w:val="24"/>
              </w:rPr>
              <w:t>PM</w:t>
            </w:r>
            <w:r>
              <w:rPr>
                <w:bCs/>
                <w:color w:val="auto"/>
                <w:sz w:val="24"/>
                <w:vertAlign w:val="subscript"/>
              </w:rPr>
              <w:t>2.5</w:t>
            </w:r>
            <w:r>
              <w:rPr>
                <w:rFonts w:hint="eastAsia"/>
                <w:bCs/>
                <w:color w:val="auto"/>
                <w:sz w:val="24"/>
              </w:rPr>
              <w:t>、</w:t>
            </w:r>
            <w:r>
              <w:rPr>
                <w:bCs/>
                <w:color w:val="auto"/>
                <w:sz w:val="24"/>
              </w:rPr>
              <w:t>CO</w:t>
            </w:r>
            <w:r>
              <w:rPr>
                <w:rFonts w:hint="eastAsia"/>
                <w:bCs/>
                <w:color w:val="auto"/>
                <w:sz w:val="24"/>
                <w:lang w:eastAsia="zh-CN"/>
              </w:rPr>
              <w:t>各有</w:t>
            </w:r>
            <w:r>
              <w:rPr>
                <w:rFonts w:hint="eastAsia"/>
                <w:bCs/>
                <w:color w:val="auto"/>
                <w:sz w:val="24"/>
                <w:lang w:val="en-US" w:eastAsia="zh-CN"/>
              </w:rPr>
              <w:t>364个有效数据，</w:t>
            </w:r>
            <w:r>
              <w:rPr>
                <w:bCs/>
                <w:color w:val="auto"/>
                <w:sz w:val="24"/>
              </w:rPr>
              <w:t>PM</w:t>
            </w:r>
            <w:r>
              <w:rPr>
                <w:bCs/>
                <w:color w:val="auto"/>
                <w:sz w:val="24"/>
                <w:vertAlign w:val="subscript"/>
              </w:rPr>
              <w:t>10</w:t>
            </w:r>
            <w:r>
              <w:rPr>
                <w:rFonts w:hint="eastAsia"/>
                <w:bCs/>
                <w:color w:val="auto"/>
                <w:sz w:val="24"/>
                <w:vertAlign w:val="baseline"/>
                <w:lang w:eastAsia="zh-CN"/>
              </w:rPr>
              <w:t>有</w:t>
            </w:r>
            <w:r>
              <w:rPr>
                <w:rFonts w:hint="eastAsia"/>
                <w:bCs/>
                <w:color w:val="auto"/>
                <w:sz w:val="24"/>
                <w:vertAlign w:val="baseline"/>
                <w:lang w:val="en-US" w:eastAsia="zh-CN"/>
              </w:rPr>
              <w:t>362个有效数据，</w:t>
            </w:r>
            <w:r>
              <w:rPr>
                <w:bCs/>
                <w:color w:val="auto"/>
                <w:sz w:val="24"/>
              </w:rPr>
              <w:t>O</w:t>
            </w:r>
            <w:r>
              <w:rPr>
                <w:bCs/>
                <w:color w:val="auto"/>
                <w:sz w:val="24"/>
                <w:vertAlign w:val="subscript"/>
              </w:rPr>
              <w:t>3</w:t>
            </w:r>
            <w:r>
              <w:rPr>
                <w:rFonts w:hint="eastAsia"/>
                <w:bCs/>
                <w:color w:val="auto"/>
                <w:sz w:val="24"/>
                <w:vertAlign w:val="baseline"/>
                <w:lang w:eastAsia="zh-CN"/>
              </w:rPr>
              <w:t>有</w:t>
            </w:r>
            <w:r>
              <w:rPr>
                <w:rFonts w:hint="eastAsia"/>
                <w:bCs/>
                <w:color w:val="auto"/>
                <w:sz w:val="24"/>
                <w:vertAlign w:val="baseline"/>
                <w:lang w:val="en-US" w:eastAsia="zh-CN"/>
              </w:rPr>
              <w:t>363个有效数据。</w:t>
            </w:r>
          </w:p>
          <w:p w14:paraId="4DFD8434">
            <w:pPr>
              <w:adjustRightInd w:val="0"/>
              <w:snapToGrid w:val="0"/>
              <w:spacing w:line="360" w:lineRule="auto"/>
              <w:ind w:firstLine="480" w:firstLineChars="200"/>
              <w:rPr>
                <w:bCs/>
                <w:color w:val="auto"/>
                <w:sz w:val="24"/>
              </w:rPr>
            </w:pPr>
            <w:r>
              <w:rPr>
                <w:rFonts w:hint="eastAsia"/>
                <w:bCs/>
                <w:color w:val="auto"/>
                <w:sz w:val="24"/>
              </w:rPr>
              <w:t>②评价标准</w:t>
            </w:r>
          </w:p>
          <w:p w14:paraId="32010169">
            <w:pPr>
              <w:adjustRightInd w:val="0"/>
              <w:snapToGrid w:val="0"/>
              <w:spacing w:line="360" w:lineRule="auto"/>
              <w:ind w:firstLine="480" w:firstLineChars="200"/>
              <w:rPr>
                <w:bCs/>
                <w:color w:val="auto"/>
                <w:sz w:val="24"/>
              </w:rPr>
            </w:pPr>
            <w:r>
              <w:rPr>
                <w:rFonts w:hint="eastAsia"/>
                <w:bCs/>
                <w:color w:val="auto"/>
                <w:sz w:val="24"/>
              </w:rPr>
              <w:t>本次评价基本污染物执行《环境空气质量标准》（</w:t>
            </w:r>
            <w:r>
              <w:rPr>
                <w:bCs/>
                <w:color w:val="auto"/>
                <w:sz w:val="24"/>
              </w:rPr>
              <w:t>GB3095-2012</w:t>
            </w:r>
            <w:r>
              <w:rPr>
                <w:rFonts w:hint="eastAsia"/>
                <w:bCs/>
                <w:color w:val="auto"/>
                <w:sz w:val="24"/>
              </w:rPr>
              <w:t>）中的二级标准。</w:t>
            </w:r>
          </w:p>
          <w:p w14:paraId="0046B195">
            <w:pPr>
              <w:adjustRightInd w:val="0"/>
              <w:snapToGrid w:val="0"/>
              <w:spacing w:line="360" w:lineRule="auto"/>
              <w:ind w:firstLine="480" w:firstLineChars="200"/>
              <w:rPr>
                <w:bCs/>
                <w:color w:val="auto"/>
                <w:sz w:val="24"/>
              </w:rPr>
            </w:pPr>
            <w:r>
              <w:rPr>
                <w:rFonts w:hint="eastAsia"/>
                <w:bCs/>
                <w:color w:val="auto"/>
                <w:sz w:val="24"/>
              </w:rPr>
              <w:t>③评价方法</w:t>
            </w:r>
          </w:p>
          <w:p w14:paraId="00D1F9B4">
            <w:pPr>
              <w:adjustRightInd w:val="0"/>
              <w:snapToGrid w:val="0"/>
              <w:spacing w:line="360" w:lineRule="auto"/>
              <w:ind w:firstLine="480" w:firstLineChars="200"/>
              <w:rPr>
                <w:bCs/>
                <w:color w:val="auto"/>
                <w:sz w:val="24"/>
              </w:rPr>
            </w:pPr>
            <w:r>
              <w:rPr>
                <w:rFonts w:hint="eastAsia"/>
                <w:bCs/>
                <w:color w:val="auto"/>
                <w:sz w:val="24"/>
              </w:rPr>
              <w:t>评价方法：基本污染物按照《环境空气质量评价技术规范（试行）》（</w:t>
            </w:r>
            <w:r>
              <w:rPr>
                <w:bCs/>
                <w:color w:val="auto"/>
                <w:sz w:val="24"/>
              </w:rPr>
              <w:t>HJ663-2013</w:t>
            </w:r>
            <w:r>
              <w:rPr>
                <w:rFonts w:hint="eastAsia"/>
                <w:bCs/>
                <w:color w:val="auto"/>
                <w:sz w:val="24"/>
              </w:rPr>
              <w:t>）中各评价项目的年评价指标进行判定。年评价指标中的年均浓度和相应百分位数</w:t>
            </w:r>
            <w:r>
              <w:rPr>
                <w:bCs/>
                <w:color w:val="auto"/>
                <w:sz w:val="24"/>
              </w:rPr>
              <w:t>24h</w:t>
            </w:r>
            <w:r>
              <w:rPr>
                <w:rFonts w:hint="eastAsia"/>
                <w:bCs/>
                <w:color w:val="auto"/>
                <w:sz w:val="24"/>
              </w:rPr>
              <w:t>平均或</w:t>
            </w:r>
            <w:r>
              <w:rPr>
                <w:bCs/>
                <w:color w:val="auto"/>
                <w:sz w:val="24"/>
              </w:rPr>
              <w:t>8h</w:t>
            </w:r>
            <w:r>
              <w:rPr>
                <w:rFonts w:hint="eastAsia"/>
                <w:bCs/>
                <w:color w:val="auto"/>
                <w:sz w:val="24"/>
              </w:rPr>
              <w:t>平均质量浓度满足</w:t>
            </w:r>
            <w:r>
              <w:rPr>
                <w:bCs/>
                <w:color w:val="auto"/>
                <w:sz w:val="24"/>
              </w:rPr>
              <w:t>GB3095</w:t>
            </w:r>
            <w:r>
              <w:rPr>
                <w:rFonts w:hint="eastAsia"/>
                <w:bCs/>
                <w:color w:val="auto"/>
                <w:sz w:val="24"/>
              </w:rPr>
              <w:t>中浓度限值要求的即为达标。对于超标的污染物，计算其超标倍数和超标率。</w:t>
            </w:r>
          </w:p>
          <w:p w14:paraId="0E7BB8B7">
            <w:pPr>
              <w:adjustRightInd w:val="0"/>
              <w:snapToGrid w:val="0"/>
              <w:spacing w:line="360" w:lineRule="auto"/>
              <w:ind w:firstLine="480" w:firstLineChars="200"/>
              <w:rPr>
                <w:bCs/>
                <w:color w:val="auto"/>
                <w:sz w:val="24"/>
              </w:rPr>
            </w:pPr>
            <w:r>
              <w:rPr>
                <w:rFonts w:hint="eastAsia"/>
                <w:bCs/>
                <w:color w:val="auto"/>
                <w:sz w:val="24"/>
                <w:lang w:eastAsia="zh-CN"/>
              </w:rPr>
              <w:t>玛纳斯县</w:t>
            </w:r>
            <w:r>
              <w:rPr>
                <w:bCs/>
                <w:color w:val="auto"/>
                <w:sz w:val="24"/>
              </w:rPr>
              <w:t>2019</w:t>
            </w:r>
            <w:r>
              <w:rPr>
                <w:rFonts w:hint="eastAsia"/>
                <w:bCs/>
                <w:color w:val="auto"/>
                <w:sz w:val="24"/>
              </w:rPr>
              <w:t>年</w:t>
            </w:r>
            <w:r>
              <w:rPr>
                <w:bCs/>
                <w:color w:val="auto"/>
                <w:sz w:val="24"/>
              </w:rPr>
              <w:t>6</w:t>
            </w:r>
            <w:r>
              <w:rPr>
                <w:rFonts w:hint="eastAsia"/>
                <w:bCs/>
                <w:color w:val="auto"/>
                <w:sz w:val="24"/>
              </w:rPr>
              <w:t>项基本污染物环境空气质量现状评价统计结果见表3-1。</w:t>
            </w:r>
          </w:p>
          <w:p w14:paraId="4E64C800">
            <w:pPr>
              <w:adjustRightInd w:val="0"/>
              <w:snapToGrid w:val="0"/>
              <w:ind w:firstLine="420" w:firstLineChars="200"/>
              <w:rPr>
                <w:rFonts w:eastAsia="黑体"/>
                <w:bCs/>
                <w:color w:val="auto"/>
              </w:rPr>
            </w:pPr>
            <w:r>
              <w:rPr>
                <w:rFonts w:hint="eastAsia" w:eastAsia="黑体"/>
                <w:bCs/>
                <w:color w:val="auto"/>
              </w:rPr>
              <w:t>表3-1</w:t>
            </w:r>
            <w:r>
              <w:rPr>
                <w:rFonts w:eastAsia="黑体"/>
                <w:bCs/>
                <w:color w:val="auto"/>
              </w:rPr>
              <w:t xml:space="preserve">          </w:t>
            </w:r>
            <w:r>
              <w:rPr>
                <w:rFonts w:hint="eastAsia" w:eastAsia="黑体"/>
                <w:bCs/>
                <w:color w:val="auto"/>
                <w:lang w:eastAsia="zh-CN"/>
              </w:rPr>
              <w:t>玛纳斯县</w:t>
            </w:r>
            <w:r>
              <w:rPr>
                <w:rFonts w:eastAsia="黑体"/>
                <w:bCs/>
                <w:color w:val="auto"/>
              </w:rPr>
              <w:t>2019</w:t>
            </w:r>
            <w:r>
              <w:rPr>
                <w:rFonts w:hint="eastAsia" w:eastAsia="黑体"/>
                <w:bCs/>
                <w:color w:val="auto"/>
              </w:rPr>
              <w:t>年空气质量达标区判定结果表</w:t>
            </w:r>
            <w:r>
              <w:rPr>
                <w:rFonts w:hint="eastAsia" w:eastAsia="黑体"/>
                <w:bCs/>
                <w:color w:val="auto"/>
                <w:lang w:val="en-US" w:eastAsia="zh-CN"/>
              </w:rPr>
              <w:t xml:space="preserve">          单位ug/m</w:t>
            </w:r>
            <w:r>
              <w:rPr>
                <w:rFonts w:hint="eastAsia" w:eastAsia="黑体"/>
                <w:bCs/>
                <w:color w:val="auto"/>
                <w:vertAlign w:val="superscript"/>
                <w:lang w:val="en-US" w:eastAsia="zh-CN"/>
              </w:rPr>
              <w:t>3</w:t>
            </w:r>
          </w:p>
          <w:tbl>
            <w:tblPr>
              <w:tblStyle w:val="22"/>
              <w:tblW w:w="8436"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2877"/>
              <w:gridCol w:w="723"/>
              <w:gridCol w:w="905"/>
              <w:gridCol w:w="1088"/>
              <w:gridCol w:w="1088"/>
              <w:gridCol w:w="970"/>
            </w:tblGrid>
            <w:tr w14:paraId="5F999E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tcBorders>
                    <w:bottom w:val="single" w:color="000000" w:sz="4" w:space="0"/>
                    <w:right w:val="single" w:color="000000" w:sz="4" w:space="0"/>
                    <w:tl2br w:val="nil"/>
                    <w:tr2bl w:val="nil"/>
                  </w:tcBorders>
                  <w:vAlign w:val="center"/>
                </w:tcPr>
                <w:p w14:paraId="57522A8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w:t>
                  </w:r>
                </w:p>
                <w:p w14:paraId="665CB21A">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w:t>
                  </w:r>
                </w:p>
              </w:tc>
              <w:tc>
                <w:tcPr>
                  <w:tcW w:w="2877" w:type="dxa"/>
                  <w:tcBorders>
                    <w:left w:val="single" w:color="000000" w:sz="4" w:space="0"/>
                    <w:bottom w:val="single" w:color="000000" w:sz="4" w:space="0"/>
                    <w:right w:val="single" w:color="000000" w:sz="4" w:space="0"/>
                    <w:tl2br w:val="nil"/>
                    <w:tr2bl w:val="nil"/>
                  </w:tcBorders>
                  <w:vAlign w:val="center"/>
                </w:tcPr>
                <w:p w14:paraId="4AF1032C">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年评价指标</w:t>
                  </w:r>
                </w:p>
              </w:tc>
              <w:tc>
                <w:tcPr>
                  <w:tcW w:w="723" w:type="dxa"/>
                  <w:tcBorders>
                    <w:left w:val="single" w:color="000000" w:sz="4" w:space="0"/>
                    <w:bottom w:val="single" w:color="000000" w:sz="4" w:space="0"/>
                    <w:right w:val="single" w:color="000000" w:sz="4" w:space="0"/>
                    <w:tl2br w:val="nil"/>
                    <w:tr2bl w:val="nil"/>
                  </w:tcBorders>
                  <w:vAlign w:val="center"/>
                </w:tcPr>
                <w:p w14:paraId="359EEDCF">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w:t>
                  </w:r>
                </w:p>
              </w:tc>
              <w:tc>
                <w:tcPr>
                  <w:tcW w:w="905" w:type="dxa"/>
                  <w:tcBorders>
                    <w:left w:val="single" w:color="000000" w:sz="4" w:space="0"/>
                    <w:bottom w:val="single" w:color="000000" w:sz="4" w:space="0"/>
                    <w:right w:val="single" w:color="000000" w:sz="4" w:space="0"/>
                    <w:tl2br w:val="nil"/>
                    <w:tr2bl w:val="nil"/>
                  </w:tcBorders>
                  <w:vAlign w:val="center"/>
                </w:tcPr>
                <w:p w14:paraId="6F3EB8D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w:t>
                  </w:r>
                </w:p>
                <w:p w14:paraId="33849B2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tc>
              <w:tc>
                <w:tcPr>
                  <w:tcW w:w="1088" w:type="dxa"/>
                  <w:tcBorders>
                    <w:left w:val="single" w:color="000000" w:sz="4" w:space="0"/>
                    <w:bottom w:val="single" w:color="000000" w:sz="4" w:space="0"/>
                    <w:right w:val="single" w:color="000000" w:sz="4" w:space="0"/>
                    <w:tl2br w:val="nil"/>
                    <w:tr2bl w:val="nil"/>
                  </w:tcBorders>
                  <w:vAlign w:val="center"/>
                </w:tcPr>
                <w:p w14:paraId="4816BC3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占标率</w:t>
                  </w:r>
                </w:p>
                <w:p w14:paraId="52A078E5">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88" w:type="dxa"/>
                  <w:tcBorders>
                    <w:left w:val="single" w:color="000000" w:sz="4" w:space="0"/>
                    <w:bottom w:val="single" w:color="000000" w:sz="4" w:space="0"/>
                    <w:right w:val="single" w:color="000000" w:sz="4" w:space="0"/>
                    <w:tl2br w:val="nil"/>
                    <w:tr2bl w:val="nil"/>
                  </w:tcBorders>
                  <w:vAlign w:val="center"/>
                </w:tcPr>
                <w:p w14:paraId="053525F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超标率</w:t>
                  </w:r>
                </w:p>
                <w:p w14:paraId="260B3A4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70" w:type="dxa"/>
                  <w:tcBorders>
                    <w:left w:val="single" w:color="000000" w:sz="4" w:space="0"/>
                    <w:bottom w:val="single" w:color="000000" w:sz="4" w:space="0"/>
                    <w:tl2br w:val="nil"/>
                    <w:tr2bl w:val="nil"/>
                  </w:tcBorders>
                  <w:vAlign w:val="center"/>
                </w:tcPr>
                <w:p w14:paraId="1BA8AE67">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14:paraId="191E5D77">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14:paraId="488642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14:paraId="543116A9">
                  <w:pPr>
                    <w:jc w:val="center"/>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367FB79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4ECE5323">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73834BE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4EDA49C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28.33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282C7866">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29BF2DD4">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5D701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14:paraId="0DCB5C49">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39CB70F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第98</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0AB2B435">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52476D06">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66F6FA7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38.67</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0DB34BD0">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3DFE490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5FADEA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14:paraId="42342BDD">
                  <w:pPr>
                    <w:jc w:val="center"/>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0E9A4177">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55D72DC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40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4DAAA5C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22</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5DCF29C5">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55.00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326510BA">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7907FBC4">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69DA6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14:paraId="1A5BAEE1">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3E7FC00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第98</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19DFC88A">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80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38D711F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3520CAB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82.50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2FFBDFCC">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158EC3D4">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达标</w:t>
                  </w:r>
                </w:p>
              </w:tc>
            </w:tr>
            <w:tr w14:paraId="598191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tcBorders>
                    <w:top w:val="single" w:color="000000" w:sz="4" w:space="0"/>
                    <w:bottom w:val="single" w:color="000000" w:sz="4" w:space="0"/>
                    <w:right w:val="single" w:color="000000" w:sz="4" w:space="0"/>
                    <w:tl2br w:val="nil"/>
                    <w:tr2bl w:val="nil"/>
                  </w:tcBorders>
                  <w:vAlign w:val="center"/>
                </w:tcPr>
                <w:p w14:paraId="1DCBFEF3">
                  <w:pPr>
                    <w:jc w:val="center"/>
                    <w:rPr>
                      <w:rFonts w:hint="default" w:ascii="Times New Roman" w:hAnsi="Times New Roman" w:cs="Times New Roman"/>
                      <w:color w:val="auto"/>
                    </w:rPr>
                  </w:pPr>
                  <w:r>
                    <w:rPr>
                      <w:rFonts w:hint="default" w:ascii="Times New Roman" w:hAnsi="Times New Roman" w:cs="Times New Roman"/>
                      <w:color w:val="auto"/>
                    </w:rPr>
                    <w:t>CO</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5F8E741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485C8FD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6EECAB3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16461488">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42.50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0CF503A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4383C6F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E4503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tcBorders>
                    <w:top w:val="single" w:color="000000" w:sz="4" w:space="0"/>
                    <w:bottom w:val="single" w:color="000000" w:sz="4" w:space="0"/>
                    <w:right w:val="single" w:color="000000" w:sz="4" w:space="0"/>
                    <w:tl2br w:val="nil"/>
                    <w:tr2bl w:val="nil"/>
                  </w:tcBorders>
                  <w:vAlign w:val="center"/>
                </w:tcPr>
                <w:p w14:paraId="2C4142A6">
                  <w:pPr>
                    <w:jc w:val="center"/>
                    <w:rPr>
                      <w:rFonts w:hint="default" w:ascii="Times New Roman" w:hAnsi="Times New Roman" w:cs="Times New Roman"/>
                      <w:color w:val="auto"/>
                    </w:rPr>
                  </w:pPr>
                  <w:r>
                    <w:rPr>
                      <w:rFonts w:hint="default" w:ascii="Times New Roman" w:hAnsi="Times New Roman" w:cs="Times New Roman"/>
                      <w:color w:val="auto"/>
                    </w:rPr>
                    <w:t>O</w:t>
                  </w:r>
                  <w:r>
                    <w:rPr>
                      <w:rFonts w:hint="default" w:ascii="Times New Roman" w:hAnsi="Times New Roman" w:cs="Times New Roman"/>
                      <w:color w:val="auto"/>
                      <w:vertAlign w:val="subscript"/>
                    </w:rPr>
                    <w:t>3</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3C528D07">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lang w:eastAsia="zh-CN"/>
                    </w:rPr>
                    <w:t>最大</w:t>
                  </w:r>
                  <w:r>
                    <w:rPr>
                      <w:rFonts w:hint="default" w:ascii="Times New Roman" w:hAnsi="Times New Roman" w:eastAsia="宋体" w:cs="Times New Roman"/>
                      <w:color w:val="auto"/>
                      <w:spacing w:val="-4"/>
                      <w:sz w:val="21"/>
                      <w:szCs w:val="21"/>
                      <w:lang w:val="en-US" w:eastAsia="zh-CN"/>
                    </w:rPr>
                    <w:t>8小时平均</w:t>
                  </w:r>
                  <w:r>
                    <w:rPr>
                      <w:rFonts w:hint="default" w:ascii="Times New Roman" w:hAnsi="Times New Roman" w:eastAsia="宋体" w:cs="Times New Roman"/>
                      <w:color w:val="auto"/>
                      <w:sz w:val="21"/>
                      <w:szCs w:val="21"/>
                    </w:rPr>
                    <w:t>第90</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5682DB3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6092D2D1">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138</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22DF6C8F">
                  <w:pPr>
                    <w:keepNext w:val="0"/>
                    <w:keepLines w:val="0"/>
                    <w:widowControl/>
                    <w:suppressLineNumbers w:val="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2"/>
                      <w:szCs w:val="22"/>
                      <w:u w:val="none"/>
                      <w:lang w:val="en-US" w:eastAsia="zh-CN" w:bidi="ar"/>
                    </w:rPr>
                    <w:t>86.25</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3C461B8A">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1EC5FBB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达标</w:t>
                  </w:r>
                </w:p>
              </w:tc>
            </w:tr>
            <w:tr w14:paraId="5E167C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14:paraId="2562F0F9">
                  <w:pPr>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2.5</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45533C2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24705C07">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016BB77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41DA3739">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160.00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3512951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5E64F36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14:paraId="2F2587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14:paraId="37175019">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0EBC63F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1961BF36">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2E07A79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214</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7F18EAE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285.33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3F4C0A8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26.4</w:t>
                  </w:r>
                </w:p>
              </w:tc>
              <w:tc>
                <w:tcPr>
                  <w:tcW w:w="970" w:type="dxa"/>
                  <w:tcBorders>
                    <w:top w:val="single" w:color="000000" w:sz="4" w:space="0"/>
                    <w:left w:val="single" w:color="000000" w:sz="4" w:space="0"/>
                    <w:bottom w:val="single" w:color="000000" w:sz="4" w:space="0"/>
                    <w:tl2br w:val="nil"/>
                    <w:tr2bl w:val="nil"/>
                  </w:tcBorders>
                  <w:vAlign w:val="center"/>
                </w:tcPr>
                <w:p w14:paraId="441E779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14:paraId="01F2D9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14:paraId="0F9AC29C">
                  <w:pPr>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14:paraId="435FEA98">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14:paraId="41E55BB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14:paraId="72B32771">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4DBD881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132.86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14:paraId="729A1D1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14:paraId="4289153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14:paraId="1C4DF2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5" w:type="dxa"/>
                  <w:vMerge w:val="continue"/>
                  <w:tcBorders>
                    <w:top w:val="single" w:color="000000" w:sz="4" w:space="0"/>
                    <w:right w:val="single" w:color="000000" w:sz="4" w:space="0"/>
                    <w:tl2br w:val="nil"/>
                    <w:tr2bl w:val="nil"/>
                  </w:tcBorders>
                  <w:vAlign w:val="center"/>
                </w:tcPr>
                <w:p w14:paraId="494CBE42">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2877" w:type="dxa"/>
                  <w:tcBorders>
                    <w:top w:val="single" w:color="000000" w:sz="4" w:space="0"/>
                    <w:left w:val="single" w:color="000000" w:sz="4" w:space="0"/>
                    <w:right w:val="single" w:color="000000" w:sz="4" w:space="0"/>
                    <w:tl2br w:val="nil"/>
                    <w:tr2bl w:val="nil"/>
                  </w:tcBorders>
                  <w:vAlign w:val="center"/>
                </w:tcPr>
                <w:p w14:paraId="49998059">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right w:val="single" w:color="000000" w:sz="4" w:space="0"/>
                    <w:tl2br w:val="nil"/>
                    <w:tr2bl w:val="nil"/>
                  </w:tcBorders>
                  <w:vAlign w:val="center"/>
                </w:tcPr>
                <w:p w14:paraId="3E33199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905" w:type="dxa"/>
                  <w:tcBorders>
                    <w:top w:val="single" w:color="000000" w:sz="4" w:space="0"/>
                    <w:left w:val="single" w:color="000000" w:sz="4" w:space="0"/>
                    <w:right w:val="single" w:color="000000" w:sz="4" w:space="0"/>
                    <w:tl2br w:val="nil"/>
                    <w:tr2bl w:val="nil"/>
                  </w:tcBorders>
                  <w:vAlign w:val="center"/>
                </w:tcPr>
                <w:p w14:paraId="7143B3BB">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272</w:t>
                  </w:r>
                </w:p>
              </w:tc>
              <w:tc>
                <w:tcPr>
                  <w:tcW w:w="1088" w:type="dxa"/>
                  <w:tcBorders>
                    <w:top w:val="single" w:color="000000" w:sz="4" w:space="0"/>
                    <w:left w:val="single" w:color="000000" w:sz="4" w:space="0"/>
                    <w:right w:val="single" w:color="000000" w:sz="4" w:space="0"/>
                    <w:tl2br w:val="nil"/>
                    <w:tr2bl w:val="nil"/>
                  </w:tcBorders>
                  <w:vAlign w:val="center"/>
                </w:tcPr>
                <w:p w14:paraId="244E74E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181.33</w:t>
                  </w:r>
                </w:p>
              </w:tc>
              <w:tc>
                <w:tcPr>
                  <w:tcW w:w="1088" w:type="dxa"/>
                  <w:tcBorders>
                    <w:top w:val="single" w:color="000000" w:sz="4" w:space="0"/>
                    <w:left w:val="single" w:color="000000" w:sz="4" w:space="0"/>
                    <w:right w:val="single" w:color="000000" w:sz="4" w:space="0"/>
                    <w:tl2br w:val="nil"/>
                    <w:tr2bl w:val="nil"/>
                  </w:tcBorders>
                  <w:vAlign w:val="center"/>
                </w:tcPr>
                <w:p w14:paraId="13A16F6D">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19.9</w:t>
                  </w:r>
                </w:p>
              </w:tc>
              <w:tc>
                <w:tcPr>
                  <w:tcW w:w="970" w:type="dxa"/>
                  <w:tcBorders>
                    <w:top w:val="single" w:color="000000" w:sz="4" w:space="0"/>
                    <w:left w:val="single" w:color="000000" w:sz="4" w:space="0"/>
                    <w:tl2br w:val="nil"/>
                    <w:tr2bl w:val="nil"/>
                  </w:tcBorders>
                  <w:vAlign w:val="center"/>
                </w:tcPr>
                <w:p w14:paraId="7F1FBBFE">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bl>
          <w:p w14:paraId="08A22B34">
            <w:pPr>
              <w:adjustRightInd w:val="0"/>
              <w:snapToGrid w:val="0"/>
              <w:spacing w:line="360" w:lineRule="auto"/>
              <w:ind w:firstLine="480" w:firstLineChars="200"/>
              <w:rPr>
                <w:rFonts w:hint="eastAsia"/>
                <w:bCs/>
                <w:color w:val="auto"/>
                <w:sz w:val="24"/>
              </w:rPr>
            </w:pPr>
            <w:r>
              <w:rPr>
                <w:rFonts w:hint="eastAsia"/>
                <w:bCs/>
                <w:color w:val="auto"/>
                <w:sz w:val="24"/>
              </w:rPr>
              <w:t>由上表结果得出：玛纳斯县SO</w:t>
            </w:r>
            <w:r>
              <w:rPr>
                <w:rFonts w:hint="eastAsia"/>
                <w:bCs/>
                <w:color w:val="auto"/>
                <w:sz w:val="24"/>
                <w:vertAlign w:val="subscript"/>
              </w:rPr>
              <w:t>2</w:t>
            </w:r>
            <w:r>
              <w:rPr>
                <w:rFonts w:hint="eastAsia"/>
                <w:bCs/>
                <w:color w:val="auto"/>
                <w:sz w:val="24"/>
              </w:rPr>
              <w:t>、NO</w:t>
            </w:r>
            <w:r>
              <w:rPr>
                <w:rFonts w:hint="eastAsia"/>
                <w:bCs/>
                <w:color w:val="auto"/>
                <w:sz w:val="24"/>
                <w:vertAlign w:val="subscript"/>
              </w:rPr>
              <w:t>2</w:t>
            </w:r>
            <w:r>
              <w:rPr>
                <w:rFonts w:hint="eastAsia"/>
                <w:bCs/>
                <w:color w:val="auto"/>
                <w:sz w:val="24"/>
              </w:rPr>
              <w:t>、CO、O</w:t>
            </w:r>
            <w:r>
              <w:rPr>
                <w:rFonts w:hint="eastAsia"/>
                <w:bCs/>
                <w:color w:val="auto"/>
                <w:sz w:val="24"/>
                <w:vertAlign w:val="subscript"/>
              </w:rPr>
              <w:t>3</w:t>
            </w:r>
            <w:r>
              <w:rPr>
                <w:rFonts w:hint="eastAsia"/>
                <w:bCs/>
                <w:color w:val="auto"/>
                <w:sz w:val="24"/>
              </w:rPr>
              <w:t>的年评价指标均满足《环境空气质量标准》(GB3095-2012)二级标准；PM</w:t>
            </w:r>
            <w:r>
              <w:rPr>
                <w:rFonts w:hint="eastAsia"/>
                <w:bCs/>
                <w:color w:val="auto"/>
                <w:sz w:val="24"/>
                <w:vertAlign w:val="subscript"/>
              </w:rPr>
              <w:t>10</w:t>
            </w:r>
            <w:r>
              <w:rPr>
                <w:rFonts w:hint="eastAsia"/>
                <w:bCs/>
                <w:color w:val="auto"/>
                <w:sz w:val="24"/>
              </w:rPr>
              <w:t>、PM</w:t>
            </w:r>
            <w:r>
              <w:rPr>
                <w:rFonts w:hint="eastAsia"/>
                <w:bCs/>
                <w:color w:val="auto"/>
                <w:sz w:val="24"/>
                <w:vertAlign w:val="subscript"/>
              </w:rPr>
              <w:t>2.5</w:t>
            </w:r>
            <w:r>
              <w:rPr>
                <w:rFonts w:hint="eastAsia"/>
                <w:bCs/>
                <w:color w:val="auto"/>
                <w:sz w:val="24"/>
              </w:rPr>
              <w:t>的年评价指标超标。根据《环境影响评价技术导则 大气环境》(HJ2.2-2018)，本项目所在区域为不达标区。</w:t>
            </w:r>
          </w:p>
          <w:p w14:paraId="442BAF29">
            <w:pPr>
              <w:adjustRightInd w:val="0"/>
              <w:snapToGrid w:val="0"/>
              <w:spacing w:line="360" w:lineRule="auto"/>
              <w:ind w:firstLine="482" w:firstLineChars="200"/>
              <w:rPr>
                <w:b/>
                <w:bCs w:val="0"/>
                <w:color w:val="auto"/>
                <w:sz w:val="24"/>
              </w:rPr>
            </w:pPr>
            <w:r>
              <w:rPr>
                <w:rFonts w:hint="eastAsia"/>
                <w:b/>
                <w:bCs w:val="0"/>
                <w:color w:val="auto"/>
                <w:sz w:val="24"/>
                <w:lang w:eastAsia="zh-CN"/>
              </w:rPr>
              <w:t>二</w:t>
            </w:r>
            <w:r>
              <w:rPr>
                <w:rFonts w:hint="eastAsia"/>
                <w:b/>
                <w:bCs w:val="0"/>
                <w:color w:val="auto"/>
                <w:sz w:val="24"/>
              </w:rPr>
              <w:t>、地下水环境质量调查与评价</w:t>
            </w:r>
          </w:p>
          <w:p w14:paraId="62B247A0">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bookmarkStart w:id="1" w:name="_Toc397780820"/>
            <w:bookmarkStart w:id="2" w:name="_Toc218491305"/>
            <w:bookmarkStart w:id="3" w:name="_Toc223038281"/>
            <w:r>
              <w:rPr>
                <w:rFonts w:hint="default" w:ascii="Times New Roman" w:hAnsi="Times New Roman" w:cs="Times New Roman"/>
                <w:color w:val="auto"/>
                <w:sz w:val="24"/>
                <w:highlight w:val="none"/>
              </w:rPr>
              <w:t>本次评价地下水环境质量现状调查与评价采用引用数据方式，评价引用《新疆农乐苑塑业有限公司滴灌带及地膜生产项目环境影响报告书》对项目区地下水的监测数据，监测时间为2020年6月1日，监测单位为乌鲁木齐谱尼测试科技有限公司。</w:t>
            </w:r>
          </w:p>
          <w:p w14:paraId="6C91126C">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bookmarkEnd w:id="1"/>
            <w:r>
              <w:rPr>
                <w:rFonts w:hint="eastAsia" w:cs="Times New Roman"/>
                <w:color w:val="auto"/>
                <w:sz w:val="24"/>
                <w:highlight w:val="none"/>
                <w:lang w:eastAsia="zh-CN"/>
              </w:rPr>
              <w:t>监测点位</w:t>
            </w:r>
          </w:p>
          <w:p w14:paraId="62D95ECC">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项目引用</w:t>
            </w:r>
            <w:r>
              <w:rPr>
                <w:rFonts w:hint="eastAsia" w:cs="Times New Roman"/>
                <w:color w:val="auto"/>
                <w:sz w:val="24"/>
                <w:highlight w:val="none"/>
                <w:lang w:eastAsia="zh-CN"/>
              </w:rPr>
              <w:t>地下水监测</w:t>
            </w:r>
            <w:r>
              <w:rPr>
                <w:rFonts w:hint="default" w:ascii="Times New Roman" w:hAnsi="Times New Roman" w:cs="Times New Roman"/>
                <w:color w:val="auto"/>
                <w:sz w:val="24"/>
                <w:highlight w:val="none"/>
              </w:rPr>
              <w:t>数据</w:t>
            </w:r>
            <w:r>
              <w:rPr>
                <w:rFonts w:hint="eastAsia" w:cs="Times New Roman"/>
                <w:color w:val="auto"/>
                <w:sz w:val="24"/>
                <w:highlight w:val="none"/>
                <w:lang w:eastAsia="zh-CN"/>
              </w:rPr>
              <w:t>的监测</w:t>
            </w:r>
            <w:r>
              <w:rPr>
                <w:rFonts w:hint="default" w:ascii="Times New Roman" w:hAnsi="Times New Roman" w:cs="Times New Roman"/>
                <w:color w:val="auto"/>
                <w:sz w:val="24"/>
                <w:highlight w:val="none"/>
              </w:rPr>
              <w:t>点位与项目位置关系见表</w:t>
            </w:r>
            <w:r>
              <w:rPr>
                <w:rFonts w:hint="eastAsia" w:cs="Times New Roman"/>
                <w:color w:val="auto"/>
                <w:sz w:val="24"/>
                <w:highlight w:val="none"/>
                <w:lang w:val="en-US" w:eastAsia="zh-CN"/>
              </w:rPr>
              <w:t>3-2</w:t>
            </w:r>
            <w:r>
              <w:rPr>
                <w:rFonts w:hint="default" w:ascii="Times New Roman" w:hAnsi="Times New Roman" w:cs="Times New Roman"/>
                <w:color w:val="auto"/>
                <w:sz w:val="24"/>
                <w:highlight w:val="none"/>
              </w:rPr>
              <w:t>，位置关系图见图</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w:t>
            </w:r>
          </w:p>
          <w:p w14:paraId="15600CD2">
            <w:pPr>
              <w:keepNext w:val="0"/>
              <w:keepLines w:val="0"/>
              <w:suppressLineNumbers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3-2</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default" w:eastAsia="黑体"/>
                <w:color w:val="auto"/>
                <w:sz w:val="21"/>
                <w:szCs w:val="21"/>
              </w:rPr>
              <w:t xml:space="preserve"> 地下水监测点位置关系一览表</w:t>
            </w:r>
          </w:p>
          <w:tbl>
            <w:tblPr>
              <w:tblStyle w:val="22"/>
              <w:tblW w:w="82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87"/>
              <w:gridCol w:w="2077"/>
              <w:gridCol w:w="2125"/>
              <w:gridCol w:w="1276"/>
              <w:gridCol w:w="760"/>
              <w:gridCol w:w="1251"/>
            </w:tblGrid>
            <w:tr w14:paraId="63BD85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87" w:type="dxa"/>
                  <w:vAlign w:val="center"/>
                </w:tcPr>
                <w:p w14:paraId="18181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点位</w:t>
                  </w:r>
                </w:p>
                <w:p w14:paraId="051FD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编号</w:t>
                  </w:r>
                </w:p>
              </w:tc>
              <w:tc>
                <w:tcPr>
                  <w:tcW w:w="2077" w:type="dxa"/>
                  <w:vAlign w:val="center"/>
                </w:tcPr>
                <w:p w14:paraId="16CAD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监测点位</w:t>
                  </w:r>
                </w:p>
              </w:tc>
              <w:tc>
                <w:tcPr>
                  <w:tcW w:w="2125" w:type="dxa"/>
                  <w:vAlign w:val="center"/>
                </w:tcPr>
                <w:p w14:paraId="63BC6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与本项目位置关系</w:t>
                  </w:r>
                </w:p>
              </w:tc>
              <w:tc>
                <w:tcPr>
                  <w:tcW w:w="1276" w:type="dxa"/>
                  <w:vAlign w:val="center"/>
                </w:tcPr>
                <w:p w14:paraId="4F13B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监测</w:t>
                  </w:r>
                </w:p>
                <w:p w14:paraId="1455F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对象</w:t>
                  </w:r>
                </w:p>
              </w:tc>
              <w:tc>
                <w:tcPr>
                  <w:tcW w:w="760" w:type="dxa"/>
                  <w:vAlign w:val="center"/>
                </w:tcPr>
                <w:p w14:paraId="083EA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井深</w:t>
                  </w:r>
                </w:p>
                <w:p w14:paraId="2DFC0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1251" w:type="dxa"/>
                  <w:vAlign w:val="center"/>
                </w:tcPr>
                <w:p w14:paraId="13041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所处</w:t>
                  </w:r>
                </w:p>
                <w:p w14:paraId="2E283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功能区</w:t>
                  </w:r>
                </w:p>
              </w:tc>
            </w:tr>
            <w:tr w14:paraId="55441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87" w:type="dxa"/>
                  <w:vAlign w:val="center"/>
                </w:tcPr>
                <w:p w14:paraId="3BABB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W1</w:t>
                  </w:r>
                </w:p>
              </w:tc>
              <w:tc>
                <w:tcPr>
                  <w:tcW w:w="2077" w:type="dxa"/>
                  <w:vAlign w:val="center"/>
                </w:tcPr>
                <w:p w14:paraId="70983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小罗家庄村6队</w:t>
                  </w:r>
                </w:p>
              </w:tc>
              <w:tc>
                <w:tcPr>
                  <w:tcW w:w="2125" w:type="dxa"/>
                  <w:vAlign w:val="center"/>
                </w:tcPr>
                <w:p w14:paraId="065AE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t>
                  </w:r>
                  <w:r>
                    <w:rPr>
                      <w:rFonts w:hint="eastAsia" w:ascii="Times New Roman" w:hAnsi="Times New Roman" w:cs="Times New Roman"/>
                      <w:color w:val="auto"/>
                      <w:kern w:val="0"/>
                      <w:sz w:val="21"/>
                      <w:szCs w:val="21"/>
                      <w:lang w:val="en-US" w:eastAsia="zh-CN"/>
                    </w:rPr>
                    <w:t>6140m</w:t>
                  </w:r>
                </w:p>
              </w:tc>
              <w:tc>
                <w:tcPr>
                  <w:tcW w:w="1276" w:type="dxa"/>
                  <w:vAlign w:val="center"/>
                </w:tcPr>
                <w:p w14:paraId="4D7CF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14:paraId="14F83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180</w:t>
                  </w:r>
                </w:p>
              </w:tc>
              <w:tc>
                <w:tcPr>
                  <w:tcW w:w="1251" w:type="dxa"/>
                  <w:vAlign w:val="center"/>
                </w:tcPr>
                <w:p w14:paraId="738D2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r w14:paraId="1E295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87" w:type="dxa"/>
                  <w:vAlign w:val="center"/>
                </w:tcPr>
                <w:p w14:paraId="52A04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W2</w:t>
                  </w:r>
                </w:p>
              </w:tc>
              <w:tc>
                <w:tcPr>
                  <w:tcW w:w="2077" w:type="dxa"/>
                  <w:vAlign w:val="center"/>
                </w:tcPr>
                <w:p w14:paraId="65EEC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孙家庄村</w:t>
                  </w:r>
                </w:p>
              </w:tc>
              <w:tc>
                <w:tcPr>
                  <w:tcW w:w="2125" w:type="dxa"/>
                  <w:vAlign w:val="center"/>
                </w:tcPr>
                <w:p w14:paraId="0FC21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N/4</w:t>
                  </w:r>
                  <w:r>
                    <w:rPr>
                      <w:rFonts w:hint="eastAsia" w:ascii="Times New Roman" w:hAnsi="Times New Roman" w:cs="Times New Roman"/>
                      <w:color w:val="auto"/>
                      <w:kern w:val="0"/>
                      <w:sz w:val="21"/>
                      <w:szCs w:val="21"/>
                      <w:lang w:val="en-US" w:eastAsia="zh-CN"/>
                    </w:rPr>
                    <w:t>000</w:t>
                  </w:r>
                  <w:r>
                    <w:rPr>
                      <w:rFonts w:hint="default" w:ascii="Times New Roman" w:hAnsi="Times New Roman" w:cs="Times New Roman"/>
                      <w:color w:val="auto"/>
                      <w:kern w:val="0"/>
                      <w:sz w:val="21"/>
                      <w:szCs w:val="21"/>
                    </w:rPr>
                    <w:t>m</w:t>
                  </w:r>
                </w:p>
              </w:tc>
              <w:tc>
                <w:tcPr>
                  <w:tcW w:w="1276" w:type="dxa"/>
                  <w:vAlign w:val="center"/>
                </w:tcPr>
                <w:p w14:paraId="1E0C7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14:paraId="7EF65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w:t>
                  </w:r>
                </w:p>
              </w:tc>
              <w:tc>
                <w:tcPr>
                  <w:tcW w:w="1251" w:type="dxa"/>
                  <w:vAlign w:val="center"/>
                </w:tcPr>
                <w:p w14:paraId="741FD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r w14:paraId="7A032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87" w:type="dxa"/>
                  <w:vAlign w:val="center"/>
                </w:tcPr>
                <w:p w14:paraId="3B419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W3</w:t>
                  </w:r>
                </w:p>
              </w:tc>
              <w:tc>
                <w:tcPr>
                  <w:tcW w:w="2077" w:type="dxa"/>
                  <w:vAlign w:val="center"/>
                </w:tcPr>
                <w:p w14:paraId="20CF2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西戈壁下村</w:t>
                  </w:r>
                </w:p>
              </w:tc>
              <w:tc>
                <w:tcPr>
                  <w:tcW w:w="2125" w:type="dxa"/>
                  <w:vAlign w:val="center"/>
                </w:tcPr>
                <w:p w14:paraId="6D92A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NW</w:t>
                  </w:r>
                  <w:r>
                    <w:rPr>
                      <w:rFonts w:hint="default" w:ascii="Times New Roman" w:hAnsi="Times New Roman" w:cs="Times New Roman"/>
                      <w:color w:val="auto"/>
                      <w:kern w:val="0"/>
                      <w:sz w:val="21"/>
                      <w:szCs w:val="21"/>
                    </w:rPr>
                    <w:t>/5</w:t>
                  </w:r>
                  <w:r>
                    <w:rPr>
                      <w:rFonts w:hint="eastAsia" w:ascii="Times New Roman" w:hAnsi="Times New Roman" w:cs="Times New Roman"/>
                      <w:color w:val="auto"/>
                      <w:kern w:val="0"/>
                      <w:sz w:val="21"/>
                      <w:szCs w:val="21"/>
                      <w:lang w:val="en-US" w:eastAsia="zh-CN"/>
                    </w:rPr>
                    <w:t>100</w:t>
                  </w:r>
                  <w:r>
                    <w:rPr>
                      <w:rFonts w:hint="default" w:ascii="Times New Roman" w:hAnsi="Times New Roman" w:cs="Times New Roman"/>
                      <w:color w:val="auto"/>
                      <w:kern w:val="0"/>
                      <w:sz w:val="21"/>
                      <w:szCs w:val="21"/>
                    </w:rPr>
                    <w:t>m</w:t>
                  </w:r>
                </w:p>
              </w:tc>
              <w:tc>
                <w:tcPr>
                  <w:tcW w:w="1276" w:type="dxa"/>
                  <w:vAlign w:val="center"/>
                </w:tcPr>
                <w:p w14:paraId="4EDCF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14:paraId="08685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60</w:t>
                  </w:r>
                </w:p>
              </w:tc>
              <w:tc>
                <w:tcPr>
                  <w:tcW w:w="1251" w:type="dxa"/>
                  <w:vAlign w:val="center"/>
                </w:tcPr>
                <w:p w14:paraId="0AD7B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bl>
          <w:p w14:paraId="27CA3645">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2、监测项目及分析方法</w:t>
            </w:r>
          </w:p>
          <w:p w14:paraId="332CBC43">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监测分析项目：pH值、溶解性总固体、总硬度、挥发酚、阴离子表面活性剂、氨氮、氰化物、硫化物、氟化物、氯离子、硫酸盐、硫酸根、硝酸盐、亚硝酸盐、碳酸根、碳酸氢根、总大肠菌群、六价铬、铝、铁、锰、铜、锌、汞、砷、硒、铅、镉、钾、钠、钙、镁等共计33项指标。</w:t>
            </w:r>
          </w:p>
          <w:p w14:paraId="607D7727">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分析方法：采样分析方法依照国家环保局《环境水质监测质量保证手册》与《水和废水监测分析方法》的规定进行。</w:t>
            </w:r>
          </w:p>
          <w:p w14:paraId="664965F6">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3、评价标准</w:t>
            </w:r>
          </w:p>
          <w:p w14:paraId="76EE1C70">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执行地下水质量执行《地下水质量标准》（GB/T14848-2017）中Ⅲ类标准。</w:t>
            </w:r>
          </w:p>
          <w:p w14:paraId="11A6CE5E">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4、评价方法</w:t>
            </w:r>
          </w:p>
          <w:p w14:paraId="4B1F578E">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color w:val="auto"/>
                <w:sz w:val="24"/>
              </w:rPr>
              <w:t>采用标准指数法对地下水现状进行评价。公式如下：</w:t>
            </w:r>
          </w:p>
          <w:p w14:paraId="27E50FC0">
            <w:pPr>
              <w:keepNext w:val="0"/>
              <w:keepLines w:val="0"/>
              <w:suppressLineNumbers w:val="0"/>
              <w:shd w:val="clear"/>
              <w:spacing w:before="0" w:beforeAutospacing="0" w:after="0" w:afterAutospacing="0" w:line="360" w:lineRule="auto"/>
              <w:ind w:left="0" w:right="0" w:firstLine="480" w:firstLineChars="200"/>
              <w:rPr>
                <w:rFonts w:hint="default"/>
                <w:color w:val="auto"/>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1 \* GB3 </w:instrText>
            </w:r>
            <w:r>
              <w:rPr>
                <w:rFonts w:hint="default" w:ascii="Times New Roman" w:hAnsi="Times New Roman" w:cs="Times New Roman"/>
                <w:color w:val="auto"/>
                <w:sz w:val="24"/>
                <w:highlight w:val="none"/>
              </w:rPr>
              <w:fldChar w:fldCharType="separate"/>
            </w:r>
            <w:r>
              <w:rPr>
                <w:rFonts w:hint="default" w:ascii="Times New Roman" w:hAnsi="宋体" w:cs="Times New Roman"/>
                <w:color w:val="auto"/>
                <w:sz w:val="24"/>
                <w:highlight w:val="none"/>
              </w:rPr>
              <w:t>①</w:t>
            </w:r>
            <w:r>
              <w:rPr>
                <w:rFonts w:hint="default" w:ascii="Times New Roman" w:hAnsi="Times New Roman" w:cs="Times New Roman"/>
                <w:color w:val="auto"/>
                <w:sz w:val="24"/>
                <w:highlight w:val="none"/>
              </w:rPr>
              <w:fldChar w:fldCharType="end"/>
            </w:r>
            <w:r>
              <w:rPr>
                <w:rFonts w:hint="default" w:ascii="Times New Roman" w:hAnsi="宋体" w:cs="Times New Roman"/>
                <w:color w:val="auto"/>
                <w:sz w:val="24"/>
                <w:highlight w:val="none"/>
              </w:rPr>
              <w:t>对于评价标准为定值的水质因子，其标准指数计算公式：</w:t>
            </w:r>
            <w:r>
              <w:rPr>
                <w:rFonts w:hint="default" w:ascii="Times New Roman" w:hAnsi="Times New Roman" w:cs="Times New Roman"/>
                <w:color w:val="auto"/>
                <w:sz w:val="24"/>
                <w:highlight w:val="none"/>
              </w:rPr>
              <w:t xml:space="preserve">                   </w:t>
            </w:r>
          </w:p>
          <w:p w14:paraId="39155D96">
            <w:pPr>
              <w:keepNext w:val="0"/>
              <w:keepLines w:val="0"/>
              <w:suppressLineNumbers w:val="0"/>
              <w:spacing w:before="0" w:beforeAutospacing="0" w:after="0" w:afterAutospacing="0" w:line="460" w:lineRule="exact"/>
              <w:ind w:left="0" w:right="0" w:firstLine="420" w:firstLineChars="200"/>
              <w:rPr>
                <w:rFonts w:hint="default"/>
                <w:color w:val="auto"/>
                <w:sz w:val="24"/>
              </w:rPr>
            </w:pPr>
            <w:r>
              <w:rPr>
                <w:rFonts w:hint="default"/>
                <w:color w:val="auto"/>
                <w:position w:val="-12"/>
              </w:rPr>
              <w:pict>
                <v:shape id="_x0000_s1033" o:spid="_x0000_s1033" o:spt="75" type="#_x0000_t75" style="position:absolute;left:0pt;margin-left:168.45pt;margin-top:10.8pt;height:21.75pt;width:65.2pt;mso-wrap-distance-bottom:0pt;mso-wrap-distance-top:0pt;z-index:251667456;mso-width-relative:page;mso-height-relative:page;" o:ole="t" filled="f" o:preferrelative="t" stroked="f" coordsize="21600,21600">
                  <v:path/>
                  <v:fill on="f" focussize="0,0"/>
                  <v:stroke on="f"/>
                  <v:imagedata r:id="rId26" o:title=""/>
                  <o:lock v:ext="edit" aspectratio="t"/>
                  <w10:wrap type="topAndBottom"/>
                </v:shape>
                <o:OLEObject Type="Embed" ProgID="Equation.3" ShapeID="_x0000_s1033" DrawAspect="Content" ObjectID="_1468075734" r:id="rId25">
                  <o:LockedField>false</o:LockedField>
                </o:OLEObject>
              </w:pict>
            </w:r>
            <w:r>
              <w:rPr>
                <w:rFonts w:hint="default"/>
                <w:color w:val="auto"/>
                <w:sz w:val="24"/>
              </w:rPr>
              <w:t>式中：</w:t>
            </w:r>
            <w:r>
              <w:rPr>
                <w:rFonts w:hint="default"/>
                <w:i/>
                <w:color w:val="auto"/>
                <w:sz w:val="24"/>
              </w:rPr>
              <w:t>S</w:t>
            </w:r>
            <w:r>
              <w:rPr>
                <w:rFonts w:hint="default"/>
                <w:i/>
                <w:color w:val="auto"/>
                <w:sz w:val="24"/>
                <w:vertAlign w:val="subscript"/>
              </w:rPr>
              <w:t>i</w:t>
            </w:r>
            <w:r>
              <w:rPr>
                <w:rFonts w:hint="default"/>
                <w:color w:val="auto"/>
                <w:sz w:val="24"/>
              </w:rPr>
              <w:t>—i污染物单因子污染指数；</w:t>
            </w:r>
          </w:p>
          <w:p w14:paraId="1B0E7A72">
            <w:pPr>
              <w:keepNext w:val="0"/>
              <w:keepLines w:val="0"/>
              <w:suppressLineNumbers w:val="0"/>
              <w:spacing w:before="0" w:beforeAutospacing="0" w:after="0" w:afterAutospacing="0" w:line="460" w:lineRule="exact"/>
              <w:ind w:left="0" w:right="0" w:firstLine="1200" w:firstLineChars="500"/>
              <w:rPr>
                <w:rFonts w:hint="default"/>
                <w:color w:val="auto"/>
                <w:sz w:val="24"/>
              </w:rPr>
            </w:pPr>
            <w:r>
              <w:rPr>
                <w:rFonts w:hint="default"/>
                <w:i/>
                <w:color w:val="auto"/>
                <w:sz w:val="24"/>
              </w:rPr>
              <w:t>C</w:t>
            </w:r>
            <w:r>
              <w:rPr>
                <w:rFonts w:hint="default"/>
                <w:i/>
                <w:color w:val="auto"/>
                <w:sz w:val="24"/>
                <w:vertAlign w:val="subscript"/>
              </w:rPr>
              <w:t>i</w:t>
            </w:r>
            <w:r>
              <w:rPr>
                <w:rFonts w:hint="default"/>
                <w:color w:val="auto"/>
                <w:sz w:val="24"/>
              </w:rPr>
              <w:t>—i污染物的实测浓度均值 mg/L；</w:t>
            </w:r>
          </w:p>
          <w:p w14:paraId="3EC3CFC9">
            <w:pPr>
              <w:keepNext w:val="0"/>
              <w:keepLines w:val="0"/>
              <w:suppressLineNumbers w:val="0"/>
              <w:spacing w:before="0" w:beforeAutospacing="0" w:after="0" w:afterAutospacing="0" w:line="460" w:lineRule="exact"/>
              <w:ind w:left="0" w:right="0" w:firstLine="1200" w:firstLineChars="500"/>
              <w:rPr>
                <w:rFonts w:hint="default" w:ascii="Times New Roman" w:hAnsi="Times New Roman" w:cs="Times New Roman"/>
                <w:color w:val="auto"/>
                <w:sz w:val="24"/>
                <w:highlight w:val="none"/>
              </w:rPr>
            </w:pPr>
            <w:r>
              <w:rPr>
                <w:rFonts w:hint="default"/>
                <w:i/>
                <w:color w:val="auto"/>
                <w:sz w:val="24"/>
              </w:rPr>
              <w:t>Csi</w:t>
            </w:r>
            <w:r>
              <w:rPr>
                <w:rFonts w:hint="default"/>
                <w:color w:val="auto"/>
                <w:sz w:val="24"/>
              </w:rPr>
              <w:t>—i污染物评价标准值 mg/L；</w:t>
            </w:r>
          </w:p>
          <w:p w14:paraId="446F826F">
            <w:pPr>
              <w:keepNext w:val="0"/>
              <w:keepLines w:val="0"/>
              <w:suppressLineNumbers w:val="0"/>
              <w:shd w:val="clear"/>
              <w:spacing w:before="0" w:beforeAutospacing="0" w:after="0" w:afterAutospacing="0" w:line="360" w:lineRule="auto"/>
              <w:ind w:left="0" w:leftChars="0" w:right="0" w:firstLine="0" w:firstLineChars="0"/>
              <w:rPr>
                <w:rFonts w:hint="default"/>
                <w:color w:val="auto"/>
                <w:sz w:val="24"/>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2 \* GB3 </w:instrText>
            </w:r>
            <w:r>
              <w:rPr>
                <w:rFonts w:hint="default" w:ascii="Times New Roman" w:hAnsi="Times New Roman" w:cs="Times New Roman"/>
                <w:color w:val="auto"/>
                <w:sz w:val="24"/>
                <w:highlight w:val="none"/>
              </w:rPr>
              <w:fldChar w:fldCharType="separate"/>
            </w:r>
            <w:r>
              <w:rPr>
                <w:rFonts w:hint="default" w:ascii="Times New Roman" w:hAnsi="宋体" w:cs="Times New Roman"/>
                <w:color w:val="auto"/>
                <w:sz w:val="24"/>
                <w:highlight w:val="none"/>
              </w:rPr>
              <w:t>②</w:t>
            </w:r>
            <w:r>
              <w:rPr>
                <w:rFonts w:hint="default" w:ascii="Times New Roman" w:hAnsi="Times New Roman" w:cs="Times New Roman"/>
                <w:color w:val="auto"/>
                <w:sz w:val="24"/>
                <w:highlight w:val="none"/>
              </w:rPr>
              <w:fldChar w:fldCharType="end"/>
            </w:r>
            <w:r>
              <w:rPr>
                <w:rFonts w:hint="default" w:ascii="Times New Roman" w:hAnsi="宋体" w:cs="Times New Roman"/>
                <w:color w:val="auto"/>
                <w:sz w:val="24"/>
                <w:highlight w:val="none"/>
              </w:rPr>
              <w:t>对于评价标准为区间值的水质因子</w:t>
            </w:r>
            <w:r>
              <w:rPr>
                <w:rFonts w:hint="default" w:ascii="Times New Roman" w:hAnsi="Times New Roman" w:cs="Times New Roman"/>
                <w:color w:val="auto"/>
                <w:sz w:val="24"/>
                <w:highlight w:val="none"/>
              </w:rPr>
              <w:t>(</w:t>
            </w:r>
            <w:r>
              <w:rPr>
                <w:rFonts w:hint="default" w:ascii="Times New Roman" w:hAnsi="宋体" w:cs="Times New Roman"/>
                <w:color w:val="auto"/>
                <w:sz w:val="24"/>
                <w:highlight w:val="none"/>
              </w:rPr>
              <w:t>如</w:t>
            </w:r>
            <w:r>
              <w:rPr>
                <w:rFonts w:hint="default" w:ascii="Times New Roman" w:hAnsi="Times New Roman" w:cs="Times New Roman"/>
                <w:color w:val="auto"/>
                <w:sz w:val="24"/>
                <w:highlight w:val="none"/>
              </w:rPr>
              <w:t>pH</w:t>
            </w:r>
            <w:r>
              <w:rPr>
                <w:rFonts w:hint="default" w:ascii="Times New Roman" w:hAnsi="宋体" w:cs="Times New Roman"/>
                <w:color w:val="auto"/>
                <w:sz w:val="24"/>
                <w:highlight w:val="none"/>
              </w:rPr>
              <w:t>值</w:t>
            </w:r>
            <w:r>
              <w:rPr>
                <w:rFonts w:hint="default" w:ascii="Times New Roman" w:hAnsi="Times New Roman" w:cs="Times New Roman"/>
                <w:color w:val="auto"/>
                <w:sz w:val="24"/>
                <w:highlight w:val="none"/>
              </w:rPr>
              <w:t>)</w:t>
            </w:r>
            <w:r>
              <w:rPr>
                <w:rFonts w:hint="default" w:ascii="Times New Roman" w:hAnsi="宋体" w:cs="Times New Roman"/>
                <w:color w:val="auto"/>
                <w:sz w:val="24"/>
                <w:highlight w:val="none"/>
              </w:rPr>
              <w:t>，其标准指数计算公式</w:t>
            </w:r>
            <w:r>
              <w:rPr>
                <w:rFonts w:hint="eastAsia" w:hAnsi="宋体" w:cs="Times New Roman"/>
                <w:color w:val="auto"/>
                <w:sz w:val="24"/>
                <w:highlight w:val="none"/>
                <w:lang w:eastAsia="zh-CN"/>
              </w:rPr>
              <w:t>：</w:t>
            </w:r>
          </w:p>
          <w:p w14:paraId="0F4F59D2">
            <w:pPr>
              <w:keepNext w:val="0"/>
              <w:keepLines w:val="0"/>
              <w:suppressLineNumbers w:val="0"/>
              <w:spacing w:before="0" w:beforeAutospacing="0" w:after="0" w:afterAutospacing="0" w:line="360" w:lineRule="auto"/>
              <w:ind w:left="0" w:right="0" w:firstLine="1680" w:firstLineChars="800"/>
              <w:rPr>
                <w:rFonts w:hint="default"/>
                <w:color w:val="auto"/>
              </w:rPr>
            </w:pPr>
            <w:r>
              <w:rPr>
                <w:rFonts w:hint="default"/>
                <w:color w:val="auto"/>
                <w:position w:val="-10"/>
              </w:rPr>
              <w:object>
                <v:shape id="_x0000_i1027" o:spt="75" type="#_x0000_t75" style="height:14.25pt;width:21.75pt;" o:ole="t" fillcolor="#000011"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35" r:id="rId27">
                  <o:LockedField>false</o:LockedField>
                </o:OLEObject>
              </w:object>
            </w:r>
            <w:r>
              <w:rPr>
                <w:rFonts w:hint="default"/>
                <w:color w:val="auto"/>
                <w:sz w:val="24"/>
              </w:rPr>
              <w:t>≤7.0时</w:t>
            </w:r>
            <w:r>
              <w:rPr>
                <w:rFonts w:hint="default"/>
                <w:color w:val="auto"/>
              </w:rPr>
              <w:t>：</w:t>
            </w:r>
            <w:r>
              <w:rPr>
                <w:rFonts w:hint="default"/>
                <w:color w:val="auto"/>
                <w:position w:val="-30"/>
              </w:rPr>
              <w:object>
                <v:shape id="_x0000_i1028" o:spt="75" type="#_x0000_t75" style="height:36.7pt;width:93.75pt;" o:ole="t" fillcolor="#000011"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36" r:id="rId29">
                  <o:LockedField>false</o:LockedField>
                </o:OLEObject>
              </w:object>
            </w:r>
          </w:p>
          <w:p w14:paraId="0336993E">
            <w:pPr>
              <w:keepNext w:val="0"/>
              <w:keepLines w:val="0"/>
              <w:suppressLineNumbers w:val="0"/>
              <w:spacing w:before="0" w:beforeAutospacing="0" w:after="0" w:afterAutospacing="0" w:line="360" w:lineRule="auto"/>
              <w:ind w:left="0" w:right="0" w:firstLine="1680" w:firstLineChars="800"/>
              <w:rPr>
                <w:rFonts w:hint="default"/>
                <w:color w:val="auto"/>
              </w:rPr>
            </w:pPr>
            <w:r>
              <w:rPr>
                <w:rFonts w:hint="default"/>
                <w:color w:val="auto"/>
                <w:position w:val="-10"/>
              </w:rPr>
              <w:object>
                <v:shape id="_x0000_i1029" o:spt="75" type="#_x0000_t75" style="height:14.25pt;width:21.75pt;" o:ole="t" fillcolor="#000011"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37" r:id="rId31">
                  <o:LockedField>false</o:LockedField>
                </o:OLEObject>
              </w:object>
            </w:r>
            <w:r>
              <w:rPr>
                <w:rFonts w:hint="default"/>
                <w:color w:val="auto"/>
                <w:sz w:val="24"/>
              </w:rPr>
              <w:t>＞7.0时</w:t>
            </w:r>
            <w:r>
              <w:rPr>
                <w:rFonts w:hint="default"/>
                <w:color w:val="auto"/>
              </w:rPr>
              <w:t>：</w:t>
            </w:r>
            <w:r>
              <w:rPr>
                <w:rFonts w:hint="default"/>
                <w:color w:val="auto"/>
                <w:position w:val="-30"/>
              </w:rPr>
              <w:object>
                <v:shape id="_x0000_i1030" o:spt="75" type="#_x0000_t75" style="height:35.3pt;width:93.75pt;" o:ole="t" fillcolor="#000011" filled="f" o:preferrelative="t" stroked="f" coordsize="21600,21600">
                  <v:path/>
                  <v:fill on="f" focussize="0,0"/>
                  <v:stroke on="f" joinstyle="miter"/>
                  <v:imagedata r:id="rId34" o:title=""/>
                  <o:lock v:ext="edit" aspectratio="t"/>
                  <w10:wrap type="none"/>
                  <w10:anchorlock/>
                </v:shape>
                <o:OLEObject Type="Embed" ProgID="Equation.3" ShapeID="_x0000_i1030" DrawAspect="Content" ObjectID="_1468075738" r:id="rId33">
                  <o:LockedField>false</o:LockedField>
                </o:OLEObject>
              </w:object>
            </w:r>
          </w:p>
          <w:p w14:paraId="28DC459F">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式中：</w:t>
            </w:r>
            <w:r>
              <w:rPr>
                <w:rFonts w:hint="default"/>
                <w:i/>
                <w:color w:val="auto"/>
                <w:sz w:val="24"/>
              </w:rPr>
              <w:t>S</w:t>
            </w:r>
            <w:r>
              <w:rPr>
                <w:rFonts w:hint="default"/>
                <w:i/>
                <w:color w:val="auto"/>
                <w:sz w:val="24"/>
                <w:vertAlign w:val="subscript"/>
              </w:rPr>
              <w:t>pH</w:t>
            </w:r>
            <w:r>
              <w:rPr>
                <w:rFonts w:hint="default"/>
                <w:color w:val="auto"/>
                <w:sz w:val="24"/>
              </w:rPr>
              <w:t>—pH值评价指数；</w:t>
            </w:r>
          </w:p>
          <w:p w14:paraId="4FA856D3">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i</w:t>
            </w:r>
            <w:r>
              <w:rPr>
                <w:rFonts w:hint="default"/>
                <w:color w:val="auto"/>
                <w:sz w:val="24"/>
              </w:rPr>
              <w:t>—i点实测pH值；</w:t>
            </w:r>
          </w:p>
          <w:p w14:paraId="08AB9501">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sd</w:t>
            </w:r>
            <w:r>
              <w:rPr>
                <w:rFonts w:hint="default"/>
                <w:color w:val="auto"/>
                <w:sz w:val="24"/>
              </w:rPr>
              <w:t>—标准中pH的下限值；</w:t>
            </w:r>
          </w:p>
          <w:p w14:paraId="7343BA03">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su</w:t>
            </w:r>
            <w:r>
              <w:rPr>
                <w:rFonts w:hint="default"/>
                <w:color w:val="auto"/>
                <w:sz w:val="24"/>
              </w:rPr>
              <w:t>—标准中pH的上限值。</w:t>
            </w:r>
          </w:p>
          <w:p w14:paraId="1828D57C">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5、监测数据和评价结果</w:t>
            </w:r>
          </w:p>
          <w:p w14:paraId="6E3CB480">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color w:val="auto"/>
                <w:sz w:val="24"/>
              </w:rPr>
              <w:t>区域地下水监测结果及评价结果见表</w:t>
            </w:r>
            <w:r>
              <w:rPr>
                <w:rFonts w:hint="eastAsia"/>
                <w:color w:val="auto"/>
                <w:sz w:val="24"/>
                <w:lang w:val="en-US" w:eastAsia="zh-CN"/>
              </w:rPr>
              <w:t>3-3。</w:t>
            </w:r>
          </w:p>
          <w:p w14:paraId="46BB4855">
            <w:pPr>
              <w:keepNext w:val="0"/>
              <w:keepLines w:val="0"/>
              <w:suppressLineNumbers w:val="0"/>
              <w:snapToGrid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3-3</w:t>
            </w:r>
            <w:r>
              <w:rPr>
                <w:rFonts w:hint="default" w:eastAsia="黑体"/>
                <w:color w:val="auto"/>
                <w:sz w:val="21"/>
                <w:szCs w:val="21"/>
              </w:rPr>
              <w:t xml:space="preserve">              地下水水质监测及评价结果         单位：mg/L，pH</w:t>
            </w:r>
            <w:r>
              <w:rPr>
                <w:rFonts w:hint="eastAsia" w:eastAsia="黑体"/>
                <w:color w:val="auto"/>
                <w:sz w:val="21"/>
                <w:szCs w:val="21"/>
                <w:lang w:eastAsia="zh-CN"/>
              </w:rPr>
              <w:t>为无量纲</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0"/>
              <w:gridCol w:w="1208"/>
              <w:gridCol w:w="994"/>
              <w:gridCol w:w="1091"/>
              <w:gridCol w:w="771"/>
              <w:gridCol w:w="1213"/>
              <w:gridCol w:w="898"/>
              <w:gridCol w:w="898"/>
              <w:gridCol w:w="869"/>
            </w:tblGrid>
            <w:tr w14:paraId="1C6933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Merge w:val="restart"/>
                  <w:vAlign w:val="center"/>
                </w:tcPr>
                <w:p w14:paraId="680E5D7B">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208" w:type="dxa"/>
                  <w:vMerge w:val="restart"/>
                  <w:vAlign w:val="center"/>
                </w:tcPr>
                <w:p w14:paraId="4AF29C44">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994" w:type="dxa"/>
                  <w:vMerge w:val="restart"/>
                  <w:vAlign w:val="center"/>
                </w:tcPr>
                <w:p w14:paraId="1A2D6602">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tc>
              <w:tc>
                <w:tcPr>
                  <w:tcW w:w="1862" w:type="dxa"/>
                  <w:gridSpan w:val="2"/>
                  <w:vAlign w:val="center"/>
                </w:tcPr>
                <w:p w14:paraId="5FB78D2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小罗家庄村6队</w:t>
                  </w:r>
                </w:p>
              </w:tc>
              <w:tc>
                <w:tcPr>
                  <w:tcW w:w="2111" w:type="dxa"/>
                  <w:gridSpan w:val="2"/>
                  <w:vAlign w:val="center"/>
                </w:tcPr>
                <w:p w14:paraId="44BEAB28">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孙家庄村</w:t>
                  </w:r>
                </w:p>
              </w:tc>
              <w:tc>
                <w:tcPr>
                  <w:tcW w:w="1767" w:type="dxa"/>
                  <w:gridSpan w:val="2"/>
                  <w:vAlign w:val="center"/>
                </w:tcPr>
                <w:p w14:paraId="04AD9F79">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西戈壁下村</w:t>
                  </w:r>
                </w:p>
              </w:tc>
            </w:tr>
            <w:tr w14:paraId="0D263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Merge w:val="continue"/>
                  <w:vAlign w:val="center"/>
                </w:tcPr>
                <w:p w14:paraId="5911C7EB">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208" w:type="dxa"/>
                  <w:vMerge w:val="continue"/>
                  <w:vAlign w:val="center"/>
                </w:tcPr>
                <w:p w14:paraId="7BCD222A">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994" w:type="dxa"/>
                  <w:vMerge w:val="continue"/>
                  <w:vAlign w:val="center"/>
                </w:tcPr>
                <w:p w14:paraId="152BF395">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091" w:type="dxa"/>
                  <w:vAlign w:val="center"/>
                </w:tcPr>
                <w:p w14:paraId="1639F434">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771" w:type="dxa"/>
                  <w:vAlign w:val="center"/>
                </w:tcPr>
                <w:p w14:paraId="3ADF3FC7">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c>
                <w:tcPr>
                  <w:tcW w:w="1213" w:type="dxa"/>
                  <w:vAlign w:val="center"/>
                </w:tcPr>
                <w:p w14:paraId="7B5E3F9C">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898" w:type="dxa"/>
                  <w:vAlign w:val="center"/>
                </w:tcPr>
                <w:p w14:paraId="332A1F38">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c>
                <w:tcPr>
                  <w:tcW w:w="898" w:type="dxa"/>
                  <w:vAlign w:val="center"/>
                </w:tcPr>
                <w:p w14:paraId="72881113">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869" w:type="dxa"/>
                  <w:vAlign w:val="center"/>
                </w:tcPr>
                <w:p w14:paraId="0B547F86">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r>
            <w:tr w14:paraId="280996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2B4DA9BA">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08" w:type="dxa"/>
                  <w:vAlign w:val="center"/>
                </w:tcPr>
                <w:p w14:paraId="3937690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pH值</w:t>
                  </w:r>
                </w:p>
              </w:tc>
              <w:tc>
                <w:tcPr>
                  <w:tcW w:w="994" w:type="dxa"/>
                  <w:vAlign w:val="center"/>
                </w:tcPr>
                <w:p w14:paraId="422596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≤6.5～8.5</w:t>
                  </w:r>
                </w:p>
              </w:tc>
              <w:tc>
                <w:tcPr>
                  <w:tcW w:w="1091" w:type="dxa"/>
                  <w:vAlign w:val="center"/>
                </w:tcPr>
                <w:p w14:paraId="1E0C560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8.18</w:t>
                  </w:r>
                </w:p>
              </w:tc>
              <w:tc>
                <w:tcPr>
                  <w:tcW w:w="771" w:type="dxa"/>
                  <w:vAlign w:val="center"/>
                </w:tcPr>
                <w:p w14:paraId="409D7EB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0.79</w:t>
                  </w:r>
                </w:p>
              </w:tc>
              <w:tc>
                <w:tcPr>
                  <w:tcW w:w="1213" w:type="dxa"/>
                  <w:vAlign w:val="center"/>
                </w:tcPr>
                <w:p w14:paraId="309DB0E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8.18</w:t>
                  </w:r>
                </w:p>
              </w:tc>
              <w:tc>
                <w:tcPr>
                  <w:tcW w:w="898" w:type="dxa"/>
                  <w:vAlign w:val="center"/>
                </w:tcPr>
                <w:p w14:paraId="61DBDB0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0.79</w:t>
                  </w:r>
                </w:p>
              </w:tc>
              <w:tc>
                <w:tcPr>
                  <w:tcW w:w="898" w:type="dxa"/>
                  <w:vAlign w:val="center"/>
                </w:tcPr>
                <w:p w14:paraId="12EA685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8.16</w:t>
                  </w:r>
                </w:p>
              </w:tc>
              <w:tc>
                <w:tcPr>
                  <w:tcW w:w="869" w:type="dxa"/>
                  <w:vAlign w:val="center"/>
                </w:tcPr>
                <w:p w14:paraId="49B74B05">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0.77</w:t>
                  </w:r>
                </w:p>
              </w:tc>
            </w:tr>
            <w:tr w14:paraId="4DA900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4AD0579">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08" w:type="dxa"/>
                  <w:vAlign w:val="center"/>
                </w:tcPr>
                <w:p w14:paraId="08A5F4E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溶解性总固体</w:t>
                  </w:r>
                </w:p>
              </w:tc>
              <w:tc>
                <w:tcPr>
                  <w:tcW w:w="994" w:type="dxa"/>
                  <w:vAlign w:val="center"/>
                </w:tcPr>
                <w:p w14:paraId="55FF7BC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w:t>
                  </w:r>
                </w:p>
              </w:tc>
              <w:tc>
                <w:tcPr>
                  <w:tcW w:w="1091" w:type="dxa"/>
                  <w:vAlign w:val="center"/>
                </w:tcPr>
                <w:p w14:paraId="0383A26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228</w:t>
                  </w:r>
                </w:p>
              </w:tc>
              <w:tc>
                <w:tcPr>
                  <w:tcW w:w="771" w:type="dxa"/>
                  <w:vAlign w:val="center"/>
                </w:tcPr>
                <w:p w14:paraId="5AC9795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0.228</w:t>
                  </w:r>
                </w:p>
              </w:tc>
              <w:tc>
                <w:tcPr>
                  <w:tcW w:w="1213" w:type="dxa"/>
                  <w:vAlign w:val="center"/>
                </w:tcPr>
                <w:p w14:paraId="5225B05E">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176</w:t>
                  </w:r>
                </w:p>
              </w:tc>
              <w:tc>
                <w:tcPr>
                  <w:tcW w:w="898" w:type="dxa"/>
                  <w:vAlign w:val="center"/>
                </w:tcPr>
                <w:p w14:paraId="0A59771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0.176</w:t>
                  </w:r>
                </w:p>
              </w:tc>
              <w:tc>
                <w:tcPr>
                  <w:tcW w:w="898" w:type="dxa"/>
                  <w:vAlign w:val="center"/>
                </w:tcPr>
                <w:p w14:paraId="18CBC7A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429</w:t>
                  </w:r>
                </w:p>
              </w:tc>
              <w:tc>
                <w:tcPr>
                  <w:tcW w:w="869" w:type="dxa"/>
                  <w:vAlign w:val="center"/>
                </w:tcPr>
                <w:p w14:paraId="5809BB8A">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0.429</w:t>
                  </w:r>
                </w:p>
              </w:tc>
            </w:tr>
            <w:tr w14:paraId="3E0E5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3C1151CC">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08" w:type="dxa"/>
                  <w:vAlign w:val="center"/>
                </w:tcPr>
                <w:p w14:paraId="2001E67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总硬度</w:t>
                  </w:r>
                </w:p>
              </w:tc>
              <w:tc>
                <w:tcPr>
                  <w:tcW w:w="994" w:type="dxa"/>
                  <w:vAlign w:val="center"/>
                </w:tcPr>
                <w:p w14:paraId="7438C51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≤450</w:t>
                  </w:r>
                </w:p>
              </w:tc>
              <w:tc>
                <w:tcPr>
                  <w:tcW w:w="1091" w:type="dxa"/>
                  <w:vAlign w:val="center"/>
                </w:tcPr>
                <w:p w14:paraId="37D0B6B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122</w:t>
                  </w:r>
                </w:p>
              </w:tc>
              <w:tc>
                <w:tcPr>
                  <w:tcW w:w="771" w:type="dxa"/>
                  <w:vAlign w:val="center"/>
                </w:tcPr>
                <w:p w14:paraId="1D915B5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0.27</w:t>
                  </w:r>
                </w:p>
              </w:tc>
              <w:tc>
                <w:tcPr>
                  <w:tcW w:w="1213" w:type="dxa"/>
                  <w:vAlign w:val="center"/>
                </w:tcPr>
                <w:p w14:paraId="0AE2936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74</w:t>
                  </w:r>
                </w:p>
              </w:tc>
              <w:tc>
                <w:tcPr>
                  <w:tcW w:w="898" w:type="dxa"/>
                  <w:vAlign w:val="center"/>
                </w:tcPr>
                <w:p w14:paraId="6C1F664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0.16</w:t>
                  </w:r>
                </w:p>
              </w:tc>
              <w:tc>
                <w:tcPr>
                  <w:tcW w:w="898" w:type="dxa"/>
                  <w:vAlign w:val="center"/>
                </w:tcPr>
                <w:p w14:paraId="32878E3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158</w:t>
                  </w:r>
                </w:p>
              </w:tc>
              <w:tc>
                <w:tcPr>
                  <w:tcW w:w="869" w:type="dxa"/>
                  <w:vAlign w:val="center"/>
                </w:tcPr>
                <w:p w14:paraId="341BF06F">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0.35</w:t>
                  </w:r>
                </w:p>
              </w:tc>
            </w:tr>
            <w:tr w14:paraId="181257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6632FAC5">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08" w:type="dxa"/>
                  <w:vAlign w:val="center"/>
                </w:tcPr>
                <w:p w14:paraId="2F27B02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挥发酚</w:t>
                  </w:r>
                </w:p>
              </w:tc>
              <w:tc>
                <w:tcPr>
                  <w:tcW w:w="994" w:type="dxa"/>
                  <w:vAlign w:val="center"/>
                </w:tcPr>
                <w:p w14:paraId="02451DA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w:t>
                  </w:r>
                </w:p>
              </w:tc>
              <w:tc>
                <w:tcPr>
                  <w:tcW w:w="1091" w:type="dxa"/>
                  <w:vAlign w:val="center"/>
                </w:tcPr>
                <w:p w14:paraId="77C7FA1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771" w:type="dxa"/>
                  <w:vAlign w:val="center"/>
                </w:tcPr>
                <w:p w14:paraId="253ED14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0.15</w:t>
                  </w:r>
                </w:p>
              </w:tc>
              <w:tc>
                <w:tcPr>
                  <w:tcW w:w="1213" w:type="dxa"/>
                  <w:vAlign w:val="center"/>
                </w:tcPr>
                <w:p w14:paraId="7EB5423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898" w:type="dxa"/>
                  <w:vAlign w:val="center"/>
                </w:tcPr>
                <w:p w14:paraId="5AC5DA5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0.15</w:t>
                  </w:r>
                </w:p>
              </w:tc>
              <w:tc>
                <w:tcPr>
                  <w:tcW w:w="898" w:type="dxa"/>
                  <w:vAlign w:val="center"/>
                </w:tcPr>
                <w:p w14:paraId="4201EA7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869" w:type="dxa"/>
                  <w:vAlign w:val="center"/>
                </w:tcPr>
                <w:p w14:paraId="59ED5872">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0.15</w:t>
                  </w:r>
                </w:p>
              </w:tc>
            </w:tr>
            <w:tr w14:paraId="7E5BB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2797820A">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08" w:type="dxa"/>
                  <w:vAlign w:val="center"/>
                </w:tcPr>
                <w:p w14:paraId="6B08EB8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阴离子表面活性剂</w:t>
                  </w:r>
                </w:p>
              </w:tc>
              <w:tc>
                <w:tcPr>
                  <w:tcW w:w="994" w:type="dxa"/>
                  <w:vAlign w:val="center"/>
                </w:tcPr>
                <w:p w14:paraId="4B1F875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w:t>
                  </w:r>
                </w:p>
              </w:tc>
              <w:tc>
                <w:tcPr>
                  <w:tcW w:w="1091" w:type="dxa"/>
                  <w:vAlign w:val="center"/>
                </w:tcPr>
                <w:p w14:paraId="1C7133F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771" w:type="dxa"/>
                  <w:vAlign w:val="center"/>
                </w:tcPr>
                <w:p w14:paraId="779373A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w:t>
                  </w:r>
                </w:p>
              </w:tc>
              <w:tc>
                <w:tcPr>
                  <w:tcW w:w="1213" w:type="dxa"/>
                  <w:vAlign w:val="center"/>
                </w:tcPr>
                <w:p w14:paraId="48E94AE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898" w:type="dxa"/>
                  <w:vAlign w:val="center"/>
                </w:tcPr>
                <w:p w14:paraId="5B13B67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w:t>
                  </w:r>
                </w:p>
              </w:tc>
              <w:tc>
                <w:tcPr>
                  <w:tcW w:w="898" w:type="dxa"/>
                  <w:vAlign w:val="center"/>
                </w:tcPr>
                <w:p w14:paraId="27D6070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869" w:type="dxa"/>
                  <w:vAlign w:val="center"/>
                </w:tcPr>
                <w:p w14:paraId="4478DDC8">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0.17</w:t>
                  </w:r>
                </w:p>
              </w:tc>
            </w:tr>
            <w:tr w14:paraId="7AA39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0FF260D7">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08" w:type="dxa"/>
                  <w:vAlign w:val="center"/>
                </w:tcPr>
                <w:p w14:paraId="27B11AE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氨氮</w:t>
                  </w:r>
                </w:p>
              </w:tc>
              <w:tc>
                <w:tcPr>
                  <w:tcW w:w="994" w:type="dxa"/>
                  <w:vAlign w:val="center"/>
                </w:tcPr>
                <w:p w14:paraId="6A5EC0D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≤0.5</w:t>
                  </w:r>
                </w:p>
              </w:tc>
              <w:tc>
                <w:tcPr>
                  <w:tcW w:w="1091" w:type="dxa"/>
                  <w:vAlign w:val="center"/>
                </w:tcPr>
                <w:p w14:paraId="1CB38A6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771" w:type="dxa"/>
                  <w:vAlign w:val="center"/>
                </w:tcPr>
                <w:p w14:paraId="3F9E92C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213" w:type="dxa"/>
                  <w:vAlign w:val="center"/>
                </w:tcPr>
                <w:p w14:paraId="05ADBB5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98" w:type="dxa"/>
                  <w:vAlign w:val="center"/>
                </w:tcPr>
                <w:p w14:paraId="671DC31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898" w:type="dxa"/>
                  <w:vAlign w:val="center"/>
                </w:tcPr>
                <w:p w14:paraId="1ED8FDB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69" w:type="dxa"/>
                  <w:vAlign w:val="center"/>
                </w:tcPr>
                <w:p w14:paraId="6702E6F6">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0.02</w:t>
                  </w:r>
                </w:p>
              </w:tc>
            </w:tr>
            <w:tr w14:paraId="708FB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4AD912E0">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208" w:type="dxa"/>
                  <w:vAlign w:val="center"/>
                </w:tcPr>
                <w:p w14:paraId="5C8E7CB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氰化物</w:t>
                  </w:r>
                </w:p>
              </w:tc>
              <w:tc>
                <w:tcPr>
                  <w:tcW w:w="994" w:type="dxa"/>
                  <w:vAlign w:val="center"/>
                </w:tcPr>
                <w:p w14:paraId="32D33FF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1091" w:type="dxa"/>
                  <w:vAlign w:val="center"/>
                </w:tcPr>
                <w:p w14:paraId="465F142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771" w:type="dxa"/>
                  <w:vAlign w:val="center"/>
                </w:tcPr>
                <w:p w14:paraId="7C12C5E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213" w:type="dxa"/>
                  <w:vAlign w:val="center"/>
                </w:tcPr>
                <w:p w14:paraId="087B243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14:paraId="1936E34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898" w:type="dxa"/>
                  <w:vAlign w:val="center"/>
                </w:tcPr>
                <w:p w14:paraId="7D24AD3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69" w:type="dxa"/>
                  <w:vAlign w:val="center"/>
                </w:tcPr>
                <w:p w14:paraId="3B6FB234">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0.02</w:t>
                  </w:r>
                </w:p>
              </w:tc>
            </w:tr>
            <w:tr w14:paraId="347AE8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34028FC4">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208" w:type="dxa"/>
                  <w:vAlign w:val="center"/>
                </w:tcPr>
                <w:p w14:paraId="2FE309C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硫化物</w:t>
                  </w:r>
                </w:p>
              </w:tc>
              <w:tc>
                <w:tcPr>
                  <w:tcW w:w="994" w:type="dxa"/>
                  <w:vAlign w:val="center"/>
                </w:tcPr>
                <w:p w14:paraId="75F7885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091" w:type="dxa"/>
                  <w:vAlign w:val="center"/>
                </w:tcPr>
                <w:p w14:paraId="08463FE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771" w:type="dxa"/>
                  <w:vAlign w:val="center"/>
                </w:tcPr>
                <w:p w14:paraId="1EECAD2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1213" w:type="dxa"/>
                  <w:vAlign w:val="center"/>
                </w:tcPr>
                <w:p w14:paraId="7713271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98" w:type="dxa"/>
                  <w:vAlign w:val="center"/>
                </w:tcPr>
                <w:p w14:paraId="4BC176D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898" w:type="dxa"/>
                  <w:vAlign w:val="center"/>
                </w:tcPr>
                <w:p w14:paraId="0CF8EA1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69" w:type="dxa"/>
                  <w:vAlign w:val="center"/>
                </w:tcPr>
                <w:p w14:paraId="514B2709">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0.25</w:t>
                  </w:r>
                </w:p>
              </w:tc>
            </w:tr>
            <w:tr w14:paraId="14489A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6F358E68">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208" w:type="dxa"/>
                  <w:vAlign w:val="center"/>
                </w:tcPr>
                <w:p w14:paraId="44C963D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氟化物</w:t>
                  </w:r>
                </w:p>
              </w:tc>
              <w:tc>
                <w:tcPr>
                  <w:tcW w:w="994" w:type="dxa"/>
                  <w:vAlign w:val="center"/>
                </w:tcPr>
                <w:p w14:paraId="331056D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91" w:type="dxa"/>
                  <w:vAlign w:val="center"/>
                </w:tcPr>
                <w:p w14:paraId="1404A6C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0.242</w:t>
                  </w:r>
                </w:p>
              </w:tc>
              <w:tc>
                <w:tcPr>
                  <w:tcW w:w="771" w:type="dxa"/>
                  <w:vAlign w:val="center"/>
                </w:tcPr>
                <w:p w14:paraId="2CF1694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0.242</w:t>
                  </w:r>
                </w:p>
              </w:tc>
              <w:tc>
                <w:tcPr>
                  <w:tcW w:w="1213" w:type="dxa"/>
                  <w:vAlign w:val="center"/>
                </w:tcPr>
                <w:p w14:paraId="436B459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0.362</w:t>
                  </w:r>
                </w:p>
              </w:tc>
              <w:tc>
                <w:tcPr>
                  <w:tcW w:w="898" w:type="dxa"/>
                  <w:vAlign w:val="center"/>
                </w:tcPr>
                <w:p w14:paraId="7460A13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0.362</w:t>
                  </w:r>
                </w:p>
              </w:tc>
              <w:tc>
                <w:tcPr>
                  <w:tcW w:w="898" w:type="dxa"/>
                  <w:vAlign w:val="center"/>
                </w:tcPr>
                <w:p w14:paraId="2623DB0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0.373</w:t>
                  </w:r>
                </w:p>
              </w:tc>
              <w:tc>
                <w:tcPr>
                  <w:tcW w:w="869" w:type="dxa"/>
                  <w:vAlign w:val="center"/>
                </w:tcPr>
                <w:p w14:paraId="29B014DF">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0.373</w:t>
                  </w:r>
                </w:p>
              </w:tc>
            </w:tr>
            <w:tr w14:paraId="69D2A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9471975">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208" w:type="dxa"/>
                  <w:vAlign w:val="center"/>
                </w:tcPr>
                <w:p w14:paraId="1B28305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氯化物</w:t>
                  </w:r>
                </w:p>
              </w:tc>
              <w:tc>
                <w:tcPr>
                  <w:tcW w:w="994" w:type="dxa"/>
                  <w:vAlign w:val="center"/>
                </w:tcPr>
                <w:p w14:paraId="632E2B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≤250</w:t>
                  </w:r>
                </w:p>
              </w:tc>
              <w:tc>
                <w:tcPr>
                  <w:tcW w:w="1091" w:type="dxa"/>
                  <w:vAlign w:val="center"/>
                </w:tcPr>
                <w:p w14:paraId="2D80336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17.3</w:t>
                  </w:r>
                </w:p>
              </w:tc>
              <w:tc>
                <w:tcPr>
                  <w:tcW w:w="771" w:type="dxa"/>
                  <w:vAlign w:val="center"/>
                </w:tcPr>
                <w:p w14:paraId="3B4E5B1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0.069</w:t>
                  </w:r>
                </w:p>
              </w:tc>
              <w:tc>
                <w:tcPr>
                  <w:tcW w:w="1213" w:type="dxa"/>
                  <w:vAlign w:val="center"/>
                </w:tcPr>
                <w:p w14:paraId="6C05EAF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10.9</w:t>
                  </w:r>
                </w:p>
              </w:tc>
              <w:tc>
                <w:tcPr>
                  <w:tcW w:w="898" w:type="dxa"/>
                  <w:vAlign w:val="center"/>
                </w:tcPr>
                <w:p w14:paraId="2F99150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0.044</w:t>
                  </w:r>
                </w:p>
              </w:tc>
              <w:tc>
                <w:tcPr>
                  <w:tcW w:w="898" w:type="dxa"/>
                  <w:vAlign w:val="center"/>
                </w:tcPr>
                <w:p w14:paraId="195287E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83.5</w:t>
                  </w:r>
                </w:p>
              </w:tc>
              <w:tc>
                <w:tcPr>
                  <w:tcW w:w="869" w:type="dxa"/>
                  <w:vAlign w:val="center"/>
                </w:tcPr>
                <w:p w14:paraId="41E7A22E">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0.334</w:t>
                  </w:r>
                </w:p>
              </w:tc>
            </w:tr>
            <w:tr w14:paraId="03F504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8CDAD8C">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208" w:type="dxa"/>
                  <w:vAlign w:val="center"/>
                </w:tcPr>
                <w:p w14:paraId="03E98F8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氯离子</w:t>
                  </w:r>
                </w:p>
              </w:tc>
              <w:tc>
                <w:tcPr>
                  <w:tcW w:w="994" w:type="dxa"/>
                  <w:vAlign w:val="center"/>
                </w:tcPr>
                <w:p w14:paraId="364AF7C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6A155D7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17.3</w:t>
                  </w:r>
                </w:p>
              </w:tc>
              <w:tc>
                <w:tcPr>
                  <w:tcW w:w="771" w:type="dxa"/>
                  <w:vAlign w:val="center"/>
                </w:tcPr>
                <w:p w14:paraId="121D0E6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2264BA9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10.9</w:t>
                  </w:r>
                </w:p>
              </w:tc>
              <w:tc>
                <w:tcPr>
                  <w:tcW w:w="898" w:type="dxa"/>
                  <w:vAlign w:val="center"/>
                </w:tcPr>
                <w:p w14:paraId="04BF787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6ABDE02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83.5</w:t>
                  </w:r>
                </w:p>
              </w:tc>
              <w:tc>
                <w:tcPr>
                  <w:tcW w:w="869" w:type="dxa"/>
                  <w:vAlign w:val="center"/>
                </w:tcPr>
                <w:p w14:paraId="36B12806">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16551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1D74D09">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208" w:type="dxa"/>
                  <w:vAlign w:val="center"/>
                </w:tcPr>
                <w:p w14:paraId="19906CC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硫酸盐</w:t>
                  </w:r>
                </w:p>
              </w:tc>
              <w:tc>
                <w:tcPr>
                  <w:tcW w:w="994" w:type="dxa"/>
                  <w:vAlign w:val="center"/>
                </w:tcPr>
                <w:p w14:paraId="4F7622B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≤250</w:t>
                  </w:r>
                </w:p>
              </w:tc>
              <w:tc>
                <w:tcPr>
                  <w:tcW w:w="1091" w:type="dxa"/>
                  <w:vAlign w:val="center"/>
                </w:tcPr>
                <w:p w14:paraId="130C00A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49.7</w:t>
                  </w:r>
                </w:p>
              </w:tc>
              <w:tc>
                <w:tcPr>
                  <w:tcW w:w="771" w:type="dxa"/>
                  <w:vAlign w:val="center"/>
                </w:tcPr>
                <w:p w14:paraId="42FA61E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0.199</w:t>
                  </w:r>
                </w:p>
              </w:tc>
              <w:tc>
                <w:tcPr>
                  <w:tcW w:w="1213" w:type="dxa"/>
                  <w:vAlign w:val="center"/>
                </w:tcPr>
                <w:p w14:paraId="024561A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35.2</w:t>
                  </w:r>
                </w:p>
              </w:tc>
              <w:tc>
                <w:tcPr>
                  <w:tcW w:w="898" w:type="dxa"/>
                  <w:vAlign w:val="center"/>
                </w:tcPr>
                <w:p w14:paraId="311E460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0.141</w:t>
                  </w:r>
                </w:p>
              </w:tc>
              <w:tc>
                <w:tcPr>
                  <w:tcW w:w="898" w:type="dxa"/>
                  <w:vAlign w:val="center"/>
                </w:tcPr>
                <w:p w14:paraId="1582892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115</w:t>
                  </w:r>
                </w:p>
              </w:tc>
              <w:tc>
                <w:tcPr>
                  <w:tcW w:w="869" w:type="dxa"/>
                  <w:vAlign w:val="center"/>
                </w:tcPr>
                <w:p w14:paraId="31472785">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0.46</w:t>
                  </w:r>
                </w:p>
              </w:tc>
            </w:tr>
            <w:tr w14:paraId="21FE1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BDADEF2">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208" w:type="dxa"/>
                  <w:vAlign w:val="center"/>
                </w:tcPr>
                <w:p w14:paraId="5102879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硫酸根</w:t>
                  </w:r>
                </w:p>
              </w:tc>
              <w:tc>
                <w:tcPr>
                  <w:tcW w:w="994" w:type="dxa"/>
                  <w:vAlign w:val="center"/>
                </w:tcPr>
                <w:p w14:paraId="652FC35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4799713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49.7</w:t>
                  </w:r>
                </w:p>
              </w:tc>
              <w:tc>
                <w:tcPr>
                  <w:tcW w:w="771" w:type="dxa"/>
                  <w:vAlign w:val="center"/>
                </w:tcPr>
                <w:p w14:paraId="1C311A2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2FF40F7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35.2</w:t>
                  </w:r>
                </w:p>
              </w:tc>
              <w:tc>
                <w:tcPr>
                  <w:tcW w:w="898" w:type="dxa"/>
                  <w:vAlign w:val="center"/>
                </w:tcPr>
                <w:p w14:paraId="7AB1AD6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792A337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115</w:t>
                  </w:r>
                </w:p>
              </w:tc>
              <w:tc>
                <w:tcPr>
                  <w:tcW w:w="869" w:type="dxa"/>
                  <w:vAlign w:val="center"/>
                </w:tcPr>
                <w:p w14:paraId="47C1D2D5">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611BD5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1C9B798">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208" w:type="dxa"/>
                  <w:vAlign w:val="center"/>
                </w:tcPr>
                <w:p w14:paraId="45283AD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硝酸盐氮</w:t>
                  </w:r>
                </w:p>
              </w:tc>
              <w:tc>
                <w:tcPr>
                  <w:tcW w:w="994" w:type="dxa"/>
                  <w:vAlign w:val="center"/>
                </w:tcPr>
                <w:p w14:paraId="0093714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w:t>
                  </w:r>
                </w:p>
              </w:tc>
              <w:tc>
                <w:tcPr>
                  <w:tcW w:w="1091" w:type="dxa"/>
                  <w:vAlign w:val="center"/>
                </w:tcPr>
                <w:p w14:paraId="7667384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1.12</w:t>
                  </w:r>
                </w:p>
              </w:tc>
              <w:tc>
                <w:tcPr>
                  <w:tcW w:w="771" w:type="dxa"/>
                  <w:vAlign w:val="center"/>
                </w:tcPr>
                <w:p w14:paraId="56E1AB2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0.056</w:t>
                  </w:r>
                </w:p>
              </w:tc>
              <w:tc>
                <w:tcPr>
                  <w:tcW w:w="1213" w:type="dxa"/>
                  <w:vAlign w:val="center"/>
                </w:tcPr>
                <w:p w14:paraId="179A736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0.566</w:t>
                  </w:r>
                </w:p>
              </w:tc>
              <w:tc>
                <w:tcPr>
                  <w:tcW w:w="898" w:type="dxa"/>
                  <w:vAlign w:val="center"/>
                </w:tcPr>
                <w:p w14:paraId="2B48462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0.028</w:t>
                  </w:r>
                </w:p>
              </w:tc>
              <w:tc>
                <w:tcPr>
                  <w:tcW w:w="898" w:type="dxa"/>
                  <w:vAlign w:val="center"/>
                </w:tcPr>
                <w:p w14:paraId="22571FF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0.058</w:t>
                  </w:r>
                </w:p>
              </w:tc>
              <w:tc>
                <w:tcPr>
                  <w:tcW w:w="869" w:type="dxa"/>
                  <w:vAlign w:val="center"/>
                </w:tcPr>
                <w:p w14:paraId="39C8F53B">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0.003</w:t>
                  </w:r>
                </w:p>
              </w:tc>
            </w:tr>
            <w:tr w14:paraId="3BCB4F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19CA1B7">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208" w:type="dxa"/>
                  <w:vAlign w:val="center"/>
                </w:tcPr>
                <w:p w14:paraId="235B676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亚硝酸盐氮</w:t>
                  </w:r>
                </w:p>
              </w:tc>
              <w:tc>
                <w:tcPr>
                  <w:tcW w:w="994" w:type="dxa"/>
                  <w:vAlign w:val="center"/>
                </w:tcPr>
                <w:p w14:paraId="4E381A9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91" w:type="dxa"/>
                  <w:vAlign w:val="center"/>
                </w:tcPr>
                <w:p w14:paraId="25D50CF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771" w:type="dxa"/>
                  <w:vAlign w:val="center"/>
                </w:tcPr>
                <w:p w14:paraId="19070B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1213" w:type="dxa"/>
                  <w:vAlign w:val="center"/>
                </w:tcPr>
                <w:p w14:paraId="500429C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14:paraId="5FFF0AE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14:paraId="2410A9C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69" w:type="dxa"/>
                  <w:vAlign w:val="center"/>
                </w:tcPr>
                <w:p w14:paraId="41250E55">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0.005</w:t>
                  </w:r>
                </w:p>
              </w:tc>
            </w:tr>
            <w:tr w14:paraId="4EB6E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04764425">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208" w:type="dxa"/>
                  <w:vAlign w:val="center"/>
                </w:tcPr>
                <w:p w14:paraId="64A6E32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碳酸根</w:t>
                  </w:r>
                </w:p>
              </w:tc>
              <w:tc>
                <w:tcPr>
                  <w:tcW w:w="994" w:type="dxa"/>
                  <w:vAlign w:val="center"/>
                </w:tcPr>
                <w:p w14:paraId="030EC1B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763C318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771" w:type="dxa"/>
                  <w:vAlign w:val="center"/>
                </w:tcPr>
                <w:p w14:paraId="654B868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2263091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898" w:type="dxa"/>
                  <w:vAlign w:val="center"/>
                </w:tcPr>
                <w:p w14:paraId="57E4A7F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6E9A453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869" w:type="dxa"/>
                  <w:vAlign w:val="center"/>
                </w:tcPr>
                <w:p w14:paraId="49C4C013">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61EDE8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366601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208" w:type="dxa"/>
                  <w:vAlign w:val="center"/>
                </w:tcPr>
                <w:p w14:paraId="44CE511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碳酸氰根</w:t>
                  </w:r>
                </w:p>
              </w:tc>
              <w:tc>
                <w:tcPr>
                  <w:tcW w:w="994" w:type="dxa"/>
                  <w:vAlign w:val="center"/>
                </w:tcPr>
                <w:p w14:paraId="20D2BB7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38EEC41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141</w:t>
                  </w:r>
                </w:p>
              </w:tc>
              <w:tc>
                <w:tcPr>
                  <w:tcW w:w="771" w:type="dxa"/>
                  <w:vAlign w:val="center"/>
                </w:tcPr>
                <w:p w14:paraId="06E5A44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79A8D70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127</w:t>
                  </w:r>
                </w:p>
              </w:tc>
              <w:tc>
                <w:tcPr>
                  <w:tcW w:w="898" w:type="dxa"/>
                  <w:vAlign w:val="center"/>
                </w:tcPr>
                <w:p w14:paraId="1DA9535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0ACE33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143</w:t>
                  </w:r>
                </w:p>
              </w:tc>
              <w:tc>
                <w:tcPr>
                  <w:tcW w:w="869" w:type="dxa"/>
                  <w:vAlign w:val="center"/>
                </w:tcPr>
                <w:p w14:paraId="1AC99408">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609E18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0963853">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208" w:type="dxa"/>
                  <w:vAlign w:val="center"/>
                </w:tcPr>
                <w:p w14:paraId="79F2195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总大肠菌群</w:t>
                  </w:r>
                </w:p>
              </w:tc>
              <w:tc>
                <w:tcPr>
                  <w:tcW w:w="994" w:type="dxa"/>
                  <w:vAlign w:val="center"/>
                </w:tcPr>
                <w:p w14:paraId="39EF9A8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091" w:type="dxa"/>
                  <w:vAlign w:val="center"/>
                </w:tcPr>
                <w:p w14:paraId="4A5DA47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771" w:type="dxa"/>
                  <w:vAlign w:val="center"/>
                </w:tcPr>
                <w:p w14:paraId="049198DE">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0.067</w:t>
                  </w:r>
                </w:p>
              </w:tc>
              <w:tc>
                <w:tcPr>
                  <w:tcW w:w="1213" w:type="dxa"/>
                  <w:vAlign w:val="center"/>
                </w:tcPr>
                <w:p w14:paraId="547E406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898" w:type="dxa"/>
                  <w:vAlign w:val="center"/>
                </w:tcPr>
                <w:p w14:paraId="2BD47E5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0.67</w:t>
                  </w:r>
                </w:p>
              </w:tc>
              <w:tc>
                <w:tcPr>
                  <w:tcW w:w="898" w:type="dxa"/>
                  <w:vAlign w:val="center"/>
                </w:tcPr>
                <w:p w14:paraId="4D51207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869" w:type="dxa"/>
                  <w:vAlign w:val="center"/>
                </w:tcPr>
                <w:p w14:paraId="5E63B7BE">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0.67</w:t>
                  </w:r>
                </w:p>
              </w:tc>
            </w:tr>
            <w:tr w14:paraId="6FF3F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E7FE24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208" w:type="dxa"/>
                  <w:vAlign w:val="center"/>
                </w:tcPr>
                <w:p w14:paraId="398C431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六价铬</w:t>
                  </w:r>
                </w:p>
              </w:tc>
              <w:tc>
                <w:tcPr>
                  <w:tcW w:w="994" w:type="dxa"/>
                  <w:vAlign w:val="center"/>
                </w:tcPr>
                <w:p w14:paraId="15035A5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1091" w:type="dxa"/>
                  <w:vAlign w:val="center"/>
                </w:tcPr>
                <w:p w14:paraId="674793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14:paraId="4B4DB8B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0.08</w:t>
                  </w:r>
                </w:p>
              </w:tc>
              <w:tc>
                <w:tcPr>
                  <w:tcW w:w="1213" w:type="dxa"/>
                  <w:vAlign w:val="center"/>
                </w:tcPr>
                <w:p w14:paraId="25A4C93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14:paraId="5C767FB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0.08</w:t>
                  </w:r>
                </w:p>
              </w:tc>
              <w:tc>
                <w:tcPr>
                  <w:tcW w:w="898" w:type="dxa"/>
                  <w:vAlign w:val="center"/>
                </w:tcPr>
                <w:p w14:paraId="678282F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14:paraId="6F67C0F2">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0.08</w:t>
                  </w:r>
                </w:p>
              </w:tc>
            </w:tr>
            <w:tr w14:paraId="55CD9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190CAD77">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208" w:type="dxa"/>
                  <w:vAlign w:val="center"/>
                </w:tcPr>
                <w:p w14:paraId="0BBA3BE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铝</w:t>
                  </w:r>
                </w:p>
              </w:tc>
              <w:tc>
                <w:tcPr>
                  <w:tcW w:w="994" w:type="dxa"/>
                  <w:vAlign w:val="center"/>
                </w:tcPr>
                <w:p w14:paraId="0D1AD2A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≤0.20</w:t>
                  </w:r>
                </w:p>
              </w:tc>
              <w:tc>
                <w:tcPr>
                  <w:tcW w:w="1091" w:type="dxa"/>
                  <w:vAlign w:val="center"/>
                </w:tcPr>
                <w:p w14:paraId="155459F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771" w:type="dxa"/>
                  <w:vAlign w:val="center"/>
                </w:tcPr>
                <w:p w14:paraId="7D3A3C8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0.045</w:t>
                  </w:r>
                </w:p>
              </w:tc>
              <w:tc>
                <w:tcPr>
                  <w:tcW w:w="1213" w:type="dxa"/>
                  <w:vAlign w:val="center"/>
                </w:tcPr>
                <w:p w14:paraId="3BE3926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898" w:type="dxa"/>
                  <w:vAlign w:val="center"/>
                </w:tcPr>
                <w:p w14:paraId="6172D1D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0.045</w:t>
                  </w:r>
                </w:p>
              </w:tc>
              <w:tc>
                <w:tcPr>
                  <w:tcW w:w="898" w:type="dxa"/>
                  <w:vAlign w:val="center"/>
                </w:tcPr>
                <w:p w14:paraId="0A78493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869" w:type="dxa"/>
                  <w:vAlign w:val="center"/>
                </w:tcPr>
                <w:p w14:paraId="21E2F1C4">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0.045</w:t>
                  </w:r>
                </w:p>
              </w:tc>
            </w:tr>
            <w:tr w14:paraId="6D540E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945CCAB">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208" w:type="dxa"/>
                  <w:vAlign w:val="center"/>
                </w:tcPr>
                <w:p w14:paraId="2B523F6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铁</w:t>
                  </w:r>
                </w:p>
              </w:tc>
              <w:tc>
                <w:tcPr>
                  <w:tcW w:w="994" w:type="dxa"/>
                  <w:vAlign w:val="center"/>
                </w:tcPr>
                <w:p w14:paraId="0B83EC0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w:t>
                  </w:r>
                </w:p>
              </w:tc>
              <w:tc>
                <w:tcPr>
                  <w:tcW w:w="1091" w:type="dxa"/>
                  <w:vAlign w:val="center"/>
                </w:tcPr>
                <w:p w14:paraId="15622BD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771" w:type="dxa"/>
                  <w:vAlign w:val="center"/>
                </w:tcPr>
                <w:p w14:paraId="283D9CC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0.033</w:t>
                  </w:r>
                </w:p>
              </w:tc>
              <w:tc>
                <w:tcPr>
                  <w:tcW w:w="1213" w:type="dxa"/>
                  <w:vAlign w:val="center"/>
                </w:tcPr>
                <w:p w14:paraId="6E31AF3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98" w:type="dxa"/>
                  <w:vAlign w:val="center"/>
                </w:tcPr>
                <w:p w14:paraId="1580DBF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0.033</w:t>
                  </w:r>
                </w:p>
              </w:tc>
              <w:tc>
                <w:tcPr>
                  <w:tcW w:w="898" w:type="dxa"/>
                  <w:vAlign w:val="center"/>
                </w:tcPr>
                <w:p w14:paraId="6360520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69" w:type="dxa"/>
                  <w:vAlign w:val="center"/>
                </w:tcPr>
                <w:p w14:paraId="1C157FAC">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0.033</w:t>
                  </w:r>
                </w:p>
              </w:tc>
            </w:tr>
            <w:tr w14:paraId="6C34F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469E124F">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208" w:type="dxa"/>
                  <w:vAlign w:val="center"/>
                </w:tcPr>
                <w:p w14:paraId="4A94010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锰</w:t>
                  </w:r>
                </w:p>
              </w:tc>
              <w:tc>
                <w:tcPr>
                  <w:tcW w:w="994" w:type="dxa"/>
                  <w:vAlign w:val="center"/>
                </w:tcPr>
                <w:p w14:paraId="75220F1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1091" w:type="dxa"/>
                  <w:vAlign w:val="center"/>
                </w:tcPr>
                <w:p w14:paraId="5B54D67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14:paraId="0FD89C2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1213" w:type="dxa"/>
                  <w:vAlign w:val="center"/>
                </w:tcPr>
                <w:p w14:paraId="3B00831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14:paraId="6C4FF2B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898" w:type="dxa"/>
                  <w:vAlign w:val="center"/>
                </w:tcPr>
                <w:p w14:paraId="185103D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14:paraId="0A587449">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w:t>
                  </w:r>
                </w:p>
              </w:tc>
            </w:tr>
            <w:tr w14:paraId="05BE5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1AA086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208" w:type="dxa"/>
                  <w:vAlign w:val="center"/>
                </w:tcPr>
                <w:p w14:paraId="21F02DF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铜</w:t>
                  </w:r>
                </w:p>
              </w:tc>
              <w:tc>
                <w:tcPr>
                  <w:tcW w:w="994" w:type="dxa"/>
                  <w:vAlign w:val="center"/>
                </w:tcPr>
                <w:p w14:paraId="162492E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w:t>
                  </w:r>
                </w:p>
              </w:tc>
              <w:tc>
                <w:tcPr>
                  <w:tcW w:w="1091" w:type="dxa"/>
                  <w:vAlign w:val="center"/>
                </w:tcPr>
                <w:p w14:paraId="0863E69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771" w:type="dxa"/>
                  <w:vAlign w:val="center"/>
                </w:tcPr>
                <w:p w14:paraId="13EE83F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1213" w:type="dxa"/>
                  <w:vAlign w:val="center"/>
                </w:tcPr>
                <w:p w14:paraId="3421A91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98" w:type="dxa"/>
                  <w:vAlign w:val="center"/>
                </w:tcPr>
                <w:p w14:paraId="6C6D71B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98" w:type="dxa"/>
                  <w:vAlign w:val="center"/>
                </w:tcPr>
                <w:p w14:paraId="0226355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69" w:type="dxa"/>
                  <w:vAlign w:val="center"/>
                </w:tcPr>
                <w:p w14:paraId="5BDA27DC">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0.006</w:t>
                  </w:r>
                </w:p>
              </w:tc>
            </w:tr>
            <w:tr w14:paraId="091391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0643A30">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208" w:type="dxa"/>
                  <w:vAlign w:val="center"/>
                </w:tcPr>
                <w:p w14:paraId="2863838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锌</w:t>
                  </w:r>
                </w:p>
              </w:tc>
              <w:tc>
                <w:tcPr>
                  <w:tcW w:w="994" w:type="dxa"/>
                  <w:vAlign w:val="center"/>
                </w:tcPr>
                <w:p w14:paraId="3190F56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w:t>
                  </w:r>
                </w:p>
              </w:tc>
              <w:tc>
                <w:tcPr>
                  <w:tcW w:w="1091" w:type="dxa"/>
                  <w:vAlign w:val="center"/>
                </w:tcPr>
                <w:p w14:paraId="4E0188B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14:paraId="7DDC516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1213" w:type="dxa"/>
                  <w:vAlign w:val="center"/>
                </w:tcPr>
                <w:p w14:paraId="36E9C97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14:paraId="0D8E5F6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14:paraId="6690B56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14:paraId="1D3F8F57">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0.004</w:t>
                  </w:r>
                </w:p>
              </w:tc>
            </w:tr>
            <w:tr w14:paraId="7AE1CA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27A86E0">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208" w:type="dxa"/>
                  <w:vAlign w:val="center"/>
                </w:tcPr>
                <w:p w14:paraId="7BFEDDC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汞</w:t>
                  </w:r>
                </w:p>
              </w:tc>
              <w:tc>
                <w:tcPr>
                  <w:tcW w:w="994" w:type="dxa"/>
                  <w:vAlign w:val="center"/>
                </w:tcPr>
                <w:p w14:paraId="6D7EC02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1091" w:type="dxa"/>
                  <w:vAlign w:val="center"/>
                </w:tcPr>
                <w:p w14:paraId="1720049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0.00007</w:t>
                  </w:r>
                </w:p>
              </w:tc>
              <w:tc>
                <w:tcPr>
                  <w:tcW w:w="771" w:type="dxa"/>
                  <w:vAlign w:val="center"/>
                </w:tcPr>
                <w:p w14:paraId="65905FA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0.07</w:t>
                  </w:r>
                </w:p>
              </w:tc>
              <w:tc>
                <w:tcPr>
                  <w:tcW w:w="1213" w:type="dxa"/>
                  <w:vAlign w:val="center"/>
                </w:tcPr>
                <w:p w14:paraId="2DB7BE1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0.00011</w:t>
                  </w:r>
                </w:p>
              </w:tc>
              <w:tc>
                <w:tcPr>
                  <w:tcW w:w="898" w:type="dxa"/>
                  <w:vAlign w:val="center"/>
                </w:tcPr>
                <w:p w14:paraId="6F7B68B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0.11</w:t>
                  </w:r>
                </w:p>
              </w:tc>
              <w:tc>
                <w:tcPr>
                  <w:tcW w:w="898" w:type="dxa"/>
                  <w:vAlign w:val="center"/>
                </w:tcPr>
                <w:p w14:paraId="63FDF36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0.00006</w:t>
                  </w:r>
                </w:p>
              </w:tc>
              <w:tc>
                <w:tcPr>
                  <w:tcW w:w="869" w:type="dxa"/>
                  <w:vAlign w:val="center"/>
                </w:tcPr>
                <w:p w14:paraId="607BF972">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0.06</w:t>
                  </w:r>
                </w:p>
              </w:tc>
            </w:tr>
            <w:tr w14:paraId="7A660B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A01ADE4">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208" w:type="dxa"/>
                  <w:vAlign w:val="center"/>
                </w:tcPr>
                <w:p w14:paraId="113D6F9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砷</w:t>
                  </w:r>
                </w:p>
              </w:tc>
              <w:tc>
                <w:tcPr>
                  <w:tcW w:w="994" w:type="dxa"/>
                  <w:vAlign w:val="center"/>
                </w:tcPr>
                <w:p w14:paraId="0CE1D2B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14:paraId="3A0B87B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0.0019</w:t>
                  </w:r>
                </w:p>
              </w:tc>
              <w:tc>
                <w:tcPr>
                  <w:tcW w:w="771" w:type="dxa"/>
                  <w:vAlign w:val="center"/>
                </w:tcPr>
                <w:p w14:paraId="2870561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w:t>
                  </w:r>
                </w:p>
              </w:tc>
              <w:tc>
                <w:tcPr>
                  <w:tcW w:w="1213" w:type="dxa"/>
                  <w:vAlign w:val="center"/>
                </w:tcPr>
                <w:p w14:paraId="66844CC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0.0052</w:t>
                  </w:r>
                </w:p>
              </w:tc>
              <w:tc>
                <w:tcPr>
                  <w:tcW w:w="898" w:type="dxa"/>
                  <w:vAlign w:val="center"/>
                </w:tcPr>
                <w:p w14:paraId="07CEEB8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w:t>
                  </w:r>
                </w:p>
              </w:tc>
              <w:tc>
                <w:tcPr>
                  <w:tcW w:w="898" w:type="dxa"/>
                  <w:vAlign w:val="center"/>
                </w:tcPr>
                <w:p w14:paraId="2D99A48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0.0049</w:t>
                  </w:r>
                </w:p>
              </w:tc>
              <w:tc>
                <w:tcPr>
                  <w:tcW w:w="869" w:type="dxa"/>
                  <w:vAlign w:val="center"/>
                </w:tcPr>
                <w:p w14:paraId="7E425D34">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0.19</w:t>
                  </w:r>
                </w:p>
              </w:tc>
            </w:tr>
            <w:tr w14:paraId="515203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5EA8913B">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208" w:type="dxa"/>
                  <w:vAlign w:val="center"/>
                </w:tcPr>
                <w:p w14:paraId="034B91B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硒</w:t>
                  </w:r>
                </w:p>
              </w:tc>
              <w:tc>
                <w:tcPr>
                  <w:tcW w:w="994" w:type="dxa"/>
                  <w:vAlign w:val="center"/>
                </w:tcPr>
                <w:p w14:paraId="6CB3222E">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14:paraId="3CFA374E">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771" w:type="dxa"/>
                  <w:vAlign w:val="center"/>
                </w:tcPr>
                <w:p w14:paraId="28EAA83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1213" w:type="dxa"/>
                  <w:vAlign w:val="center"/>
                </w:tcPr>
                <w:p w14:paraId="6FAC696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898" w:type="dxa"/>
                  <w:vAlign w:val="center"/>
                </w:tcPr>
                <w:p w14:paraId="3C18E6C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898" w:type="dxa"/>
                  <w:vAlign w:val="center"/>
                </w:tcPr>
                <w:p w14:paraId="09D955D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869" w:type="dxa"/>
                  <w:vAlign w:val="center"/>
                </w:tcPr>
                <w:p w14:paraId="68109ED2">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w:t>
                  </w:r>
                </w:p>
              </w:tc>
            </w:tr>
            <w:tr w14:paraId="74186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485F5C8E">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1208" w:type="dxa"/>
                  <w:vAlign w:val="center"/>
                </w:tcPr>
                <w:p w14:paraId="25EFD97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铅</w:t>
                  </w:r>
                </w:p>
              </w:tc>
              <w:tc>
                <w:tcPr>
                  <w:tcW w:w="994" w:type="dxa"/>
                  <w:vAlign w:val="center"/>
                </w:tcPr>
                <w:p w14:paraId="5260F51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14:paraId="1086FC0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771" w:type="dxa"/>
                  <w:vAlign w:val="center"/>
                </w:tcPr>
                <w:p w14:paraId="269764A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1213" w:type="dxa"/>
                  <w:vAlign w:val="center"/>
                </w:tcPr>
                <w:p w14:paraId="1C8ED69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898" w:type="dxa"/>
                  <w:vAlign w:val="center"/>
                </w:tcPr>
                <w:p w14:paraId="6F6FD1B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898" w:type="dxa"/>
                  <w:vAlign w:val="center"/>
                </w:tcPr>
                <w:p w14:paraId="53BEE9D1">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869" w:type="dxa"/>
                  <w:vAlign w:val="center"/>
                </w:tcPr>
                <w:p w14:paraId="0794434E">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0.25</w:t>
                  </w:r>
                </w:p>
              </w:tc>
            </w:tr>
            <w:tr w14:paraId="4ABD1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3267222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1208" w:type="dxa"/>
                  <w:vAlign w:val="center"/>
                </w:tcPr>
                <w:p w14:paraId="122C5A6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镉</w:t>
                  </w:r>
                </w:p>
              </w:tc>
              <w:tc>
                <w:tcPr>
                  <w:tcW w:w="994" w:type="dxa"/>
                  <w:vAlign w:val="center"/>
                </w:tcPr>
                <w:p w14:paraId="6A3B840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1091" w:type="dxa"/>
                  <w:vAlign w:val="center"/>
                </w:tcPr>
                <w:p w14:paraId="1530B0B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771" w:type="dxa"/>
                  <w:vAlign w:val="center"/>
                </w:tcPr>
                <w:p w14:paraId="7BB2FE7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1213" w:type="dxa"/>
                  <w:vAlign w:val="center"/>
                </w:tcPr>
                <w:p w14:paraId="58CD44E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898" w:type="dxa"/>
                  <w:vAlign w:val="center"/>
                </w:tcPr>
                <w:p w14:paraId="3005FFE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898" w:type="dxa"/>
                  <w:vAlign w:val="center"/>
                </w:tcPr>
                <w:p w14:paraId="6F2EDFC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869" w:type="dxa"/>
                  <w:vAlign w:val="center"/>
                </w:tcPr>
                <w:p w14:paraId="39F268DD">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w:t>
                  </w:r>
                </w:p>
              </w:tc>
            </w:tr>
            <w:tr w14:paraId="20850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46B643ED">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208" w:type="dxa"/>
                  <w:vAlign w:val="center"/>
                </w:tcPr>
                <w:p w14:paraId="4DF8DC9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钾</w:t>
                  </w:r>
                </w:p>
              </w:tc>
              <w:tc>
                <w:tcPr>
                  <w:tcW w:w="994" w:type="dxa"/>
                  <w:vAlign w:val="center"/>
                </w:tcPr>
                <w:p w14:paraId="665D3D5E">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7DC374E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1.33</w:t>
                  </w:r>
                </w:p>
              </w:tc>
              <w:tc>
                <w:tcPr>
                  <w:tcW w:w="771" w:type="dxa"/>
                  <w:vAlign w:val="center"/>
                </w:tcPr>
                <w:p w14:paraId="63CC24B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443FA67C">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0.96</w:t>
                  </w:r>
                </w:p>
              </w:tc>
              <w:tc>
                <w:tcPr>
                  <w:tcW w:w="898" w:type="dxa"/>
                  <w:vAlign w:val="center"/>
                </w:tcPr>
                <w:p w14:paraId="40B7280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5F4CB48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1.10</w:t>
                  </w:r>
                </w:p>
              </w:tc>
              <w:tc>
                <w:tcPr>
                  <w:tcW w:w="869" w:type="dxa"/>
                  <w:vAlign w:val="center"/>
                </w:tcPr>
                <w:p w14:paraId="11BB81C6">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6E716E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3B9E9E22">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208" w:type="dxa"/>
                  <w:vAlign w:val="center"/>
                </w:tcPr>
                <w:p w14:paraId="3C090EA0">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钠</w:t>
                  </w:r>
                </w:p>
              </w:tc>
              <w:tc>
                <w:tcPr>
                  <w:tcW w:w="994" w:type="dxa"/>
                  <w:vAlign w:val="center"/>
                </w:tcPr>
                <w:p w14:paraId="4573AC2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619A062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23.8</w:t>
                  </w:r>
                </w:p>
              </w:tc>
              <w:tc>
                <w:tcPr>
                  <w:tcW w:w="771" w:type="dxa"/>
                  <w:vAlign w:val="center"/>
                </w:tcPr>
                <w:p w14:paraId="12C3025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1309A3A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31.6</w:t>
                  </w:r>
                </w:p>
              </w:tc>
              <w:tc>
                <w:tcPr>
                  <w:tcW w:w="898" w:type="dxa"/>
                  <w:vAlign w:val="center"/>
                </w:tcPr>
                <w:p w14:paraId="4AEF7305">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51BF22E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66.4</w:t>
                  </w:r>
                </w:p>
              </w:tc>
              <w:tc>
                <w:tcPr>
                  <w:tcW w:w="869" w:type="dxa"/>
                  <w:vAlign w:val="center"/>
                </w:tcPr>
                <w:p w14:paraId="016ACD4C">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4ABA2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EA3A5A2">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208" w:type="dxa"/>
                  <w:vAlign w:val="center"/>
                </w:tcPr>
                <w:p w14:paraId="29AAD768">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钙</w:t>
                  </w:r>
                </w:p>
              </w:tc>
              <w:tc>
                <w:tcPr>
                  <w:tcW w:w="994" w:type="dxa"/>
                  <w:vAlign w:val="center"/>
                </w:tcPr>
                <w:p w14:paraId="0ADE909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2842F543">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37.9</w:t>
                  </w:r>
                </w:p>
              </w:tc>
              <w:tc>
                <w:tcPr>
                  <w:tcW w:w="771" w:type="dxa"/>
                  <w:vAlign w:val="center"/>
                </w:tcPr>
                <w:p w14:paraId="6A5C1DC2">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75DE581D">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22.1</w:t>
                  </w:r>
                </w:p>
              </w:tc>
              <w:tc>
                <w:tcPr>
                  <w:tcW w:w="898" w:type="dxa"/>
                  <w:vAlign w:val="center"/>
                </w:tcPr>
                <w:p w14:paraId="3016CC1A">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3F0AFBE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39.5</w:t>
                  </w:r>
                </w:p>
              </w:tc>
              <w:tc>
                <w:tcPr>
                  <w:tcW w:w="869" w:type="dxa"/>
                  <w:vAlign w:val="center"/>
                </w:tcPr>
                <w:p w14:paraId="705C8AE6">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14:paraId="3FAAD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70" w:type="dxa"/>
                  <w:vAlign w:val="center"/>
                </w:tcPr>
                <w:p w14:paraId="756CBCB2">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1208" w:type="dxa"/>
                  <w:vAlign w:val="center"/>
                </w:tcPr>
                <w:p w14:paraId="2B349464">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镁</w:t>
                  </w:r>
                </w:p>
              </w:tc>
              <w:tc>
                <w:tcPr>
                  <w:tcW w:w="994" w:type="dxa"/>
                  <w:vAlign w:val="center"/>
                </w:tcPr>
                <w:p w14:paraId="5BBB8AD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14:paraId="55F029C7">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6.31</w:t>
                  </w:r>
                </w:p>
              </w:tc>
              <w:tc>
                <w:tcPr>
                  <w:tcW w:w="771" w:type="dxa"/>
                  <w:vAlign w:val="center"/>
                </w:tcPr>
                <w:p w14:paraId="7189FE29">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14:paraId="0EC0980F">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4.46</w:t>
                  </w:r>
                </w:p>
              </w:tc>
              <w:tc>
                <w:tcPr>
                  <w:tcW w:w="898" w:type="dxa"/>
                  <w:vAlign w:val="center"/>
                </w:tcPr>
                <w:p w14:paraId="568F1A96">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14:paraId="29EB77FB">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12.1</w:t>
                  </w:r>
                </w:p>
              </w:tc>
              <w:tc>
                <w:tcPr>
                  <w:tcW w:w="869" w:type="dxa"/>
                  <w:vAlign w:val="center"/>
                </w:tcPr>
                <w:p w14:paraId="76D26E8C">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bl>
          <w:p w14:paraId="0A563B75">
            <w:pPr>
              <w:keepNext w:val="0"/>
              <w:keepLines w:val="0"/>
              <w:suppressLineNumbers w:val="0"/>
              <w:shd w:val="clear"/>
              <w:spacing w:before="0" w:beforeAutospacing="0" w:after="0" w:afterAutospacing="0" w:line="440" w:lineRule="exact"/>
              <w:ind w:left="0" w:right="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根据上述监测结果可知，项目所在区域三个地下水监测点位所有监测指标的标准指数均小于1，满足《地下水质量标准》（GB/T14848-2017）中的Ⅲ类标准要求</w:t>
            </w:r>
            <w:r>
              <w:rPr>
                <w:rFonts w:hint="default" w:ascii="Times New Roman" w:hAnsi="Times New Roman" w:eastAsia="宋体" w:cs="Times New Roman"/>
                <w:color w:val="auto"/>
                <w:sz w:val="24"/>
                <w:szCs w:val="24"/>
                <w:highlight w:val="none"/>
              </w:rPr>
              <w:t>。</w:t>
            </w:r>
          </w:p>
          <w:bookmarkEnd w:id="2"/>
          <w:bookmarkEnd w:id="3"/>
          <w:p w14:paraId="4FB90A9A">
            <w:pPr>
              <w:adjustRightInd w:val="0"/>
              <w:snapToGrid w:val="0"/>
              <w:spacing w:line="480" w:lineRule="exact"/>
              <w:ind w:firstLine="482" w:firstLineChars="200"/>
              <w:rPr>
                <w:b/>
                <w:bCs w:val="0"/>
                <w:color w:val="auto"/>
                <w:sz w:val="24"/>
              </w:rPr>
            </w:pPr>
            <w:r>
              <w:rPr>
                <w:rFonts w:hint="eastAsia"/>
                <w:b/>
                <w:bCs w:val="0"/>
                <w:color w:val="auto"/>
                <w:sz w:val="24"/>
                <w:lang w:eastAsia="zh-CN"/>
              </w:rPr>
              <w:t>三</w:t>
            </w:r>
            <w:r>
              <w:rPr>
                <w:rFonts w:hint="eastAsia"/>
                <w:b/>
                <w:bCs w:val="0"/>
                <w:color w:val="auto"/>
                <w:sz w:val="24"/>
              </w:rPr>
              <w:t>、声环境质量现状调查与评价</w:t>
            </w:r>
          </w:p>
          <w:p w14:paraId="5C8C41D9">
            <w:pPr>
              <w:widowControl/>
              <w:spacing w:line="480" w:lineRule="exact"/>
              <w:ind w:firstLine="480" w:firstLineChars="200"/>
              <w:jc w:val="left"/>
              <w:rPr>
                <w:rFonts w:hint="eastAsia"/>
                <w:color w:val="auto"/>
                <w:sz w:val="24"/>
              </w:rPr>
            </w:pPr>
            <w:r>
              <w:rPr>
                <w:rFonts w:hint="eastAsia"/>
                <w:color w:val="auto"/>
                <w:sz w:val="24"/>
              </w:rPr>
              <w:t>为了解项目所在地声环境质量现状，我公司于2020年11月委托新疆锡水金山环境科技有限公司项目区进行了声环境质量现状监测。</w:t>
            </w:r>
          </w:p>
          <w:p w14:paraId="186EEB94">
            <w:pPr>
              <w:widowControl/>
              <w:spacing w:line="480" w:lineRule="exact"/>
              <w:ind w:firstLine="480" w:firstLineChars="200"/>
              <w:jc w:val="left"/>
              <w:rPr>
                <w:rFonts w:hint="eastAsia"/>
                <w:color w:val="auto"/>
                <w:sz w:val="24"/>
              </w:rPr>
            </w:pPr>
            <w:r>
              <w:rPr>
                <w:rFonts w:hint="eastAsia"/>
                <w:color w:val="auto"/>
                <w:sz w:val="24"/>
              </w:rPr>
              <w:t>（1）监测点位布置</w:t>
            </w:r>
          </w:p>
          <w:p w14:paraId="0634797B">
            <w:pPr>
              <w:widowControl/>
              <w:spacing w:line="480" w:lineRule="exact"/>
              <w:ind w:firstLine="480" w:firstLineChars="200"/>
              <w:jc w:val="left"/>
              <w:rPr>
                <w:rFonts w:hint="eastAsia"/>
                <w:color w:val="auto"/>
                <w:sz w:val="24"/>
              </w:rPr>
            </w:pPr>
            <w:r>
              <w:rPr>
                <w:rFonts w:hint="eastAsia"/>
                <w:color w:val="auto"/>
                <w:sz w:val="24"/>
              </w:rPr>
              <w:t>分别在项目区东、南、西、北边界处各设1个监测点，分昼、夜两时段监</w:t>
            </w:r>
            <w:r>
              <w:rPr>
                <w:rFonts w:hint="default" w:ascii="Times New Roman" w:hAnsi="Times New Roman" w:cs="Times New Roman"/>
                <w:color w:val="auto"/>
                <w:highlight w:val="none"/>
              </w:rPr>
              <w:drawing>
                <wp:anchor distT="0" distB="0" distL="114300" distR="114300" simplePos="0" relativeHeight="251668480" behindDoc="0" locked="0" layoutInCell="1" allowOverlap="1">
                  <wp:simplePos x="0" y="0"/>
                  <wp:positionH relativeFrom="column">
                    <wp:posOffset>-12700</wp:posOffset>
                  </wp:positionH>
                  <wp:positionV relativeFrom="paragraph">
                    <wp:posOffset>673100</wp:posOffset>
                  </wp:positionV>
                  <wp:extent cx="5246370" cy="2256790"/>
                  <wp:effectExtent l="0" t="0" r="11430" b="13970"/>
                  <wp:wrapTopAndBottom/>
                  <wp:docPr id="2" name="图片 15" descr="C:\Users\Administrator\Desktop\Image 4.jpg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C:\Users\Administrator\Desktop\Image 4.jpgImage 4"/>
                          <pic:cNvPicPr>
                            <a:picLocks noChangeAspect="1"/>
                          </pic:cNvPicPr>
                        </pic:nvPicPr>
                        <pic:blipFill>
                          <a:blip r:embed="rId35"/>
                          <a:srcRect/>
                          <a:stretch>
                            <a:fillRect/>
                          </a:stretch>
                        </pic:blipFill>
                        <pic:spPr>
                          <a:xfrm>
                            <a:off x="0" y="0"/>
                            <a:ext cx="5246370" cy="2256790"/>
                          </a:xfrm>
                          <a:prstGeom prst="rect">
                            <a:avLst/>
                          </a:prstGeom>
                          <a:noFill/>
                          <a:ln w="9525">
                            <a:noFill/>
                          </a:ln>
                        </pic:spPr>
                      </pic:pic>
                    </a:graphicData>
                  </a:graphic>
                </wp:anchor>
              </w:drawing>
            </w:r>
            <w:r>
              <w:rPr>
                <w:rFonts w:hint="eastAsia"/>
                <w:color w:val="auto"/>
                <w:sz w:val="24"/>
              </w:rPr>
              <w:t>测。监测及分析方法按照《环境监测技术规范》中有关规定进行。监测布点见图</w:t>
            </w:r>
            <w:r>
              <w:rPr>
                <w:rFonts w:hint="eastAsia"/>
                <w:color w:val="auto"/>
                <w:sz w:val="24"/>
                <w:lang w:val="en-US" w:eastAsia="zh-CN"/>
              </w:rPr>
              <w:t>10</w:t>
            </w:r>
            <w:r>
              <w:rPr>
                <w:rFonts w:hint="eastAsia"/>
                <w:color w:val="auto"/>
                <w:sz w:val="24"/>
              </w:rPr>
              <w:t>。</w:t>
            </w:r>
          </w:p>
          <w:p w14:paraId="630CA810">
            <w:pPr>
              <w:keepNext w:val="0"/>
              <w:keepLines w:val="0"/>
              <w:suppressLineNumbers w:val="0"/>
              <w:shd w:val="clear"/>
              <w:spacing w:before="0" w:beforeAutospacing="0" w:after="0" w:afterAutospacing="0" w:line="360" w:lineRule="auto"/>
              <w:ind w:left="0" w:leftChars="0" w:right="0" w:firstLine="0" w:firstLineChars="0"/>
              <w:contextualSpacing/>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图</w:t>
            </w:r>
            <w:r>
              <w:rPr>
                <w:rFonts w:hint="eastAsia" w:ascii="黑体" w:hAnsi="黑体" w:eastAsia="黑体" w:cs="Times New Roman"/>
                <w:color w:val="auto"/>
                <w:sz w:val="21"/>
                <w:szCs w:val="21"/>
                <w:highlight w:val="none"/>
                <w:lang w:val="en-US" w:eastAsia="zh-CN"/>
              </w:rPr>
              <w:t>10</w:t>
            </w:r>
            <w:r>
              <w:rPr>
                <w:rFonts w:hint="default" w:ascii="黑体" w:hAnsi="黑体" w:eastAsia="黑体" w:cs="Times New Roman"/>
                <w:color w:val="auto"/>
                <w:sz w:val="21"/>
                <w:szCs w:val="21"/>
                <w:highlight w:val="none"/>
              </w:rPr>
              <w:t>项目区区域环境噪声监测布点图</w:t>
            </w:r>
          </w:p>
          <w:p w14:paraId="6586BEA3">
            <w:pPr>
              <w:keepNext w:val="0"/>
              <w:keepLines w:val="0"/>
              <w:suppressLineNumbers w:val="0"/>
              <w:shd w:val="clear"/>
              <w:spacing w:before="0" w:beforeAutospacing="0" w:after="0" w:afterAutospacing="0" w:line="360" w:lineRule="auto"/>
              <w:ind w:left="0" w:right="0"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（2）监测因子</w:t>
            </w:r>
          </w:p>
          <w:p w14:paraId="470FCCD8">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昼间、夜间的等效连续A声级。</w:t>
            </w:r>
          </w:p>
          <w:p w14:paraId="5BBE4BC5">
            <w:pPr>
              <w:keepNext w:val="0"/>
              <w:keepLines w:val="0"/>
              <w:suppressLineNumbers w:val="0"/>
              <w:shd w:val="clear"/>
              <w:spacing w:before="0" w:beforeAutospacing="0" w:after="0" w:afterAutospacing="0" w:line="360" w:lineRule="auto"/>
              <w:ind w:left="0" w:right="0"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（3）监测方法</w:t>
            </w:r>
          </w:p>
          <w:p w14:paraId="24A77BD5">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rPr>
              <w:t>依据《声环境质量标准》（GB3096-2008）和《环境监测技术规范》进行监测。采用AWA5680-3多功能噪声分析仪。在室外测量时，声级计的传声器加防风罩。</w:t>
            </w:r>
          </w:p>
          <w:p w14:paraId="618934D1">
            <w:pPr>
              <w:keepNext w:val="0"/>
              <w:keepLines w:val="0"/>
              <w:suppressLineNumbers w:val="0"/>
              <w:shd w:val="clear"/>
              <w:spacing w:before="0" w:beforeAutospacing="0" w:after="0" w:afterAutospacing="0" w:line="360" w:lineRule="auto"/>
              <w:ind w:left="0" w:right="0" w:firstLine="360" w:firstLineChars="150"/>
              <w:contextualSpacing/>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hint="default" w:ascii="Times New Roman" w:hAnsi="Times New Roman" w:cs="Times New Roman"/>
                <w:color w:val="auto"/>
                <w:sz w:val="24"/>
                <w:highlight w:val="none"/>
              </w:rPr>
              <w:t>评价标准与评价因子</w:t>
            </w:r>
          </w:p>
          <w:p w14:paraId="1ACE8862">
            <w:pPr>
              <w:keepNext w:val="0"/>
              <w:keepLines w:val="0"/>
              <w:suppressLineNumbers w:val="0"/>
              <w:shd w:val="clear"/>
              <w:spacing w:before="0" w:beforeAutospacing="0" w:after="0" w:afterAutospacing="0" w:line="360" w:lineRule="auto"/>
              <w:ind w:left="0" w:right="0" w:firstLine="480" w:firstLineChars="200"/>
              <w:contextualSpacing/>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rPr>
              <w:t>评价标准：本项目区执行《声环境质量标准》</w:t>
            </w:r>
            <w:r>
              <w:rPr>
                <w:rFonts w:hint="eastAsia" w:ascii="Times New Roman" w:hAnsi="Times New Roman" w:cs="Times New Roman"/>
                <w:color w:val="auto"/>
                <w:sz w:val="24"/>
                <w:highlight w:val="none"/>
              </w:rPr>
              <w:t>（</w:t>
            </w:r>
            <w:r>
              <w:rPr>
                <w:rFonts w:hint="default" w:ascii="Times New Roman" w:hAnsi="Times New Roman" w:cs="Times New Roman"/>
                <w:color w:val="auto"/>
                <w:sz w:val="24"/>
                <w:highlight w:val="none"/>
              </w:rPr>
              <w:t>GB3096－2008</w:t>
            </w:r>
            <w:r>
              <w:rPr>
                <w:rFonts w:hint="eastAsia" w:ascii="Times New Roman" w:hAnsi="Times New Roman" w:cs="Times New Roman"/>
                <w:color w:val="auto"/>
                <w:sz w:val="24"/>
                <w:highlight w:val="none"/>
              </w:rPr>
              <w:t>）中的</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类标准</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环境噪声标准值见表</w:t>
            </w:r>
            <w:r>
              <w:rPr>
                <w:rFonts w:hint="eastAsia" w:cs="Times New Roman"/>
                <w:color w:val="auto"/>
                <w:sz w:val="24"/>
                <w:highlight w:val="none"/>
                <w:lang w:val="en-US" w:eastAsia="zh-CN"/>
              </w:rPr>
              <w:t>3-4</w:t>
            </w:r>
            <w:r>
              <w:rPr>
                <w:rFonts w:hint="default" w:ascii="Times New Roman" w:hAnsi="Times New Roman" w:cs="Times New Roman"/>
                <w:color w:val="auto"/>
                <w:sz w:val="24"/>
                <w:highlight w:val="none"/>
              </w:rPr>
              <w:t>。</w:t>
            </w:r>
          </w:p>
          <w:p w14:paraId="0DDBFDA4">
            <w:pPr>
              <w:keepNext w:val="0"/>
              <w:keepLines w:val="0"/>
              <w:suppressLineNumbers w:val="0"/>
              <w:shd w:val="clear"/>
              <w:spacing w:before="0" w:beforeAutospacing="0" w:after="0" w:afterAutospacing="0"/>
              <w:ind w:left="0" w:right="0" w:firstLine="420" w:firstLineChars="200"/>
              <w:contextualSpacing/>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3-4</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w:t>
            </w:r>
            <w:r>
              <w:rPr>
                <w:rFonts w:hint="default" w:ascii="黑体" w:hAnsi="黑体" w:eastAsia="黑体" w:cs="Times New Roman"/>
                <w:color w:val="auto"/>
                <w:sz w:val="21"/>
                <w:szCs w:val="21"/>
                <w:highlight w:val="none"/>
              </w:rPr>
              <w:t>声环境质量标准</w:t>
            </w:r>
            <w:r>
              <w:rPr>
                <w:rFonts w:hint="eastAsia" w:ascii="黑体" w:hAnsi="黑体" w:eastAsia="黑体" w:cs="Times New Roman"/>
                <w:color w:val="auto"/>
                <w:sz w:val="21"/>
                <w:szCs w:val="21"/>
                <w:highlight w:val="none"/>
              </w:rPr>
              <w:t xml:space="preserve">                   </w:t>
            </w:r>
            <w:r>
              <w:rPr>
                <w:rFonts w:hint="default" w:ascii="黑体" w:hAnsi="黑体" w:eastAsia="黑体" w:cs="Times New Roman"/>
                <w:color w:val="auto"/>
                <w:sz w:val="21"/>
                <w:szCs w:val="21"/>
                <w:highlight w:val="none"/>
              </w:rPr>
              <w:t>单位：dB（A）</w:t>
            </w:r>
          </w:p>
          <w:tbl>
            <w:tblPr>
              <w:tblStyle w:val="22"/>
              <w:tblW w:w="828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760"/>
              <w:gridCol w:w="2760"/>
              <w:gridCol w:w="2762"/>
            </w:tblGrid>
            <w:tr w14:paraId="09045D8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760" w:type="dxa"/>
                  <w:vAlign w:val="center"/>
                </w:tcPr>
                <w:p w14:paraId="0733B8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760" w:type="dxa"/>
                  <w:vAlign w:val="center"/>
                </w:tcPr>
                <w:p w14:paraId="1E1051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昼间</w:t>
                  </w:r>
                </w:p>
              </w:tc>
              <w:tc>
                <w:tcPr>
                  <w:tcW w:w="2762" w:type="dxa"/>
                  <w:vAlign w:val="center"/>
                </w:tcPr>
                <w:p w14:paraId="27D71D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夜间</w:t>
                  </w:r>
                </w:p>
              </w:tc>
            </w:tr>
            <w:tr w14:paraId="140C8F7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760" w:type="dxa"/>
                  <w:vAlign w:val="center"/>
                </w:tcPr>
                <w:p w14:paraId="31F0F6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类</w:t>
                  </w:r>
                </w:p>
              </w:tc>
              <w:tc>
                <w:tcPr>
                  <w:tcW w:w="2760" w:type="dxa"/>
                  <w:vAlign w:val="center"/>
                </w:tcPr>
                <w:p w14:paraId="679260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65</w:t>
                  </w:r>
                </w:p>
              </w:tc>
              <w:tc>
                <w:tcPr>
                  <w:tcW w:w="2762" w:type="dxa"/>
                  <w:vAlign w:val="center"/>
                </w:tcPr>
                <w:p w14:paraId="6B27B44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55</w:t>
                  </w:r>
                </w:p>
              </w:tc>
            </w:tr>
          </w:tbl>
          <w:p w14:paraId="20366D5C">
            <w:pPr>
              <w:keepNext w:val="0"/>
              <w:keepLines w:val="0"/>
              <w:suppressLineNumbers w:val="0"/>
              <w:shd w:val="clear"/>
              <w:spacing w:before="0" w:beforeAutospacing="0" w:after="0" w:afterAutospacing="0" w:line="360" w:lineRule="auto"/>
              <w:ind w:left="0" w:right="0"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评价因子：等效连续A声级</w:t>
            </w:r>
          </w:p>
          <w:p w14:paraId="7F844065">
            <w:pPr>
              <w:keepNext w:val="0"/>
              <w:keepLines w:val="0"/>
              <w:suppressLineNumbers w:val="0"/>
              <w:shd w:val="clear"/>
              <w:spacing w:before="0" w:beforeAutospacing="0" w:after="0" w:afterAutospacing="0" w:line="360" w:lineRule="auto"/>
              <w:ind w:left="0" w:right="0" w:firstLine="360" w:firstLineChars="150"/>
              <w:contextualSpacing/>
              <w:rPr>
                <w:rFonts w:hint="default" w:ascii="Times New Roman" w:hAnsi="Times New Roman" w:cs="Times New Roman"/>
                <w:color w:val="auto"/>
                <w:sz w:val="24"/>
                <w:szCs w:val="24"/>
                <w:highlight w:val="none"/>
              </w:rPr>
            </w:pPr>
            <w:bookmarkStart w:id="4" w:name="_Toc175283864"/>
            <w:bookmarkStart w:id="5" w:name="_Toc178051000"/>
            <w:bookmarkStart w:id="6" w:name="_Toc131514091"/>
            <w:bookmarkStart w:id="7" w:name="_Toc176190356"/>
            <w:bookmarkStart w:id="8" w:name="_Toc159916112"/>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）监测结果及现状评价</w:t>
            </w:r>
            <w:bookmarkEnd w:id="4"/>
            <w:bookmarkEnd w:id="5"/>
            <w:bookmarkEnd w:id="6"/>
            <w:bookmarkEnd w:id="7"/>
            <w:bookmarkEnd w:id="8"/>
          </w:p>
          <w:p w14:paraId="0FBEAA91">
            <w:pPr>
              <w:keepNext w:val="0"/>
              <w:keepLines w:val="0"/>
              <w:suppressLineNumbers w:val="0"/>
              <w:shd w:val="clear"/>
              <w:spacing w:before="0" w:beforeAutospacing="0" w:after="0" w:afterAutospacing="0" w:line="360" w:lineRule="auto"/>
              <w:ind w:left="0" w:right="0" w:firstLine="480" w:firstLineChars="200"/>
              <w:contextualSpacing/>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声环境现状</w:t>
            </w:r>
            <w:r>
              <w:rPr>
                <w:rFonts w:hint="default" w:ascii="Times New Roman" w:hAnsi="Times New Roman" w:cs="Times New Roman"/>
                <w:color w:val="auto"/>
                <w:sz w:val="24"/>
                <w:szCs w:val="24"/>
                <w:highlight w:val="none"/>
              </w:rPr>
              <w:t>监测</w:t>
            </w:r>
            <w:r>
              <w:rPr>
                <w:rFonts w:hint="eastAsia" w:ascii="Times New Roman" w:hAnsi="Times New Roman" w:cs="Times New Roman"/>
                <w:color w:val="auto"/>
                <w:sz w:val="24"/>
                <w:szCs w:val="24"/>
                <w:highlight w:val="none"/>
              </w:rPr>
              <w:t>及评价</w:t>
            </w:r>
            <w:r>
              <w:rPr>
                <w:rFonts w:hint="default" w:ascii="Times New Roman" w:hAnsi="Times New Roman" w:cs="Times New Roman"/>
                <w:color w:val="auto"/>
                <w:sz w:val="24"/>
                <w:szCs w:val="24"/>
                <w:highlight w:val="none"/>
              </w:rPr>
              <w:t>结果见表</w:t>
            </w:r>
            <w:r>
              <w:rPr>
                <w:rFonts w:hint="eastAsia" w:cs="Times New Roman"/>
                <w:color w:val="auto"/>
                <w:sz w:val="24"/>
                <w:szCs w:val="24"/>
                <w:highlight w:val="none"/>
                <w:lang w:val="en-US" w:eastAsia="zh-CN"/>
              </w:rPr>
              <w:t>3-5</w:t>
            </w:r>
            <w:r>
              <w:rPr>
                <w:rFonts w:hint="default" w:ascii="Times New Roman" w:hAnsi="Times New Roman" w:cs="Times New Roman"/>
                <w:color w:val="auto"/>
                <w:sz w:val="24"/>
                <w:szCs w:val="24"/>
                <w:highlight w:val="none"/>
              </w:rPr>
              <w:t>。</w:t>
            </w:r>
          </w:p>
          <w:p w14:paraId="14B534E5">
            <w:pPr>
              <w:keepNext w:val="0"/>
              <w:keepLines w:val="0"/>
              <w:suppressLineNumbers w:val="0"/>
              <w:shd w:val="clear"/>
              <w:spacing w:before="0" w:beforeAutospacing="0" w:after="0" w:afterAutospacing="0"/>
              <w:ind w:left="0" w:right="0" w:firstLine="420" w:firstLineChars="200"/>
              <w:contextualSpacing/>
              <w:rPr>
                <w:rFonts w:hint="eastAsia"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表</w:t>
            </w:r>
            <w:r>
              <w:rPr>
                <w:rFonts w:hint="eastAsia" w:eastAsia="黑体" w:cs="Times New Roman"/>
                <w:color w:val="auto"/>
                <w:sz w:val="21"/>
                <w:szCs w:val="21"/>
                <w:highlight w:val="none"/>
                <w:lang w:val="en-US" w:eastAsia="zh-CN"/>
              </w:rPr>
              <w:t>3-5</w:t>
            </w:r>
            <w:r>
              <w:rPr>
                <w:rFonts w:hint="eastAsia" w:ascii="Times New Roman" w:hAnsi="Times New Roman" w:eastAsia="黑体" w:cs="Times New Roman"/>
                <w:color w:val="auto"/>
                <w:sz w:val="21"/>
                <w:szCs w:val="21"/>
                <w:highlight w:val="none"/>
              </w:rPr>
              <w:t xml:space="preserve">             </w:t>
            </w:r>
            <w:r>
              <w:rPr>
                <w:rFonts w:hint="eastAsia" w:ascii="Times New Roman" w:hAnsi="Times New Roman" w:eastAsia="黑体" w:cs="Times New Roman"/>
                <w:color w:val="auto"/>
                <w:sz w:val="21"/>
                <w:szCs w:val="21"/>
                <w:highlight w:val="none"/>
                <w:lang w:val="en-US" w:eastAsia="zh-CN"/>
              </w:rPr>
              <w:t xml:space="preserve">        </w:t>
            </w:r>
            <w:r>
              <w:rPr>
                <w:rFonts w:hint="eastAsia" w:ascii="Times New Roman" w:hAnsi="Times New Roman" w:eastAsia="黑体" w:cs="Times New Roman"/>
                <w:color w:val="auto"/>
                <w:sz w:val="21"/>
                <w:szCs w:val="21"/>
                <w:highlight w:val="none"/>
              </w:rPr>
              <w:t xml:space="preserve"> </w:t>
            </w:r>
            <w:r>
              <w:rPr>
                <w:rFonts w:hint="default" w:ascii="Times New Roman" w:hAnsi="Times New Roman" w:eastAsia="黑体" w:cs="Times New Roman"/>
                <w:color w:val="auto"/>
                <w:sz w:val="21"/>
                <w:szCs w:val="21"/>
                <w:highlight w:val="none"/>
              </w:rPr>
              <w:t>噪声</w:t>
            </w:r>
            <w:r>
              <w:rPr>
                <w:rFonts w:hint="eastAsia" w:ascii="Times New Roman" w:hAnsi="Times New Roman" w:eastAsia="黑体" w:cs="Times New Roman"/>
                <w:color w:val="auto"/>
                <w:sz w:val="21"/>
                <w:szCs w:val="21"/>
                <w:highlight w:val="none"/>
              </w:rPr>
              <w:t>现状</w:t>
            </w:r>
            <w:r>
              <w:rPr>
                <w:rFonts w:hint="default" w:ascii="Times New Roman" w:hAnsi="Times New Roman" w:eastAsia="黑体" w:cs="Times New Roman"/>
                <w:color w:val="auto"/>
                <w:sz w:val="21"/>
                <w:szCs w:val="21"/>
                <w:highlight w:val="none"/>
              </w:rPr>
              <w:t>监测结果</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w:t>
            </w:r>
            <w:r>
              <w:rPr>
                <w:rFonts w:hint="default" w:ascii="黑体" w:hAnsi="黑体" w:eastAsia="黑体" w:cs="Times New Roman"/>
                <w:color w:val="auto"/>
                <w:sz w:val="21"/>
                <w:szCs w:val="21"/>
                <w:highlight w:val="none"/>
              </w:rPr>
              <w:t>单位：dB（A）</w:t>
            </w:r>
          </w:p>
          <w:tbl>
            <w:tblPr>
              <w:tblStyle w:val="22"/>
              <w:tblW w:w="828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113"/>
              <w:gridCol w:w="1244"/>
              <w:gridCol w:w="1437"/>
              <w:gridCol w:w="1683"/>
              <w:gridCol w:w="1313"/>
              <w:gridCol w:w="1492"/>
            </w:tblGrid>
            <w:tr w14:paraId="78F56FC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13" w:type="dxa"/>
                  <w:vAlign w:val="center"/>
                </w:tcPr>
                <w:p w14:paraId="5B4DE669">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测点编号</w:t>
                  </w:r>
                </w:p>
              </w:tc>
              <w:tc>
                <w:tcPr>
                  <w:tcW w:w="1244" w:type="dxa"/>
                  <w:vAlign w:val="center"/>
                </w:tcPr>
                <w:p w14:paraId="7AA892F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项目区</w:t>
                  </w:r>
                </w:p>
              </w:tc>
              <w:tc>
                <w:tcPr>
                  <w:tcW w:w="1437" w:type="dxa"/>
                  <w:vAlign w:val="center"/>
                </w:tcPr>
                <w:p w14:paraId="35192258">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时段</w:t>
                  </w:r>
                </w:p>
              </w:tc>
              <w:tc>
                <w:tcPr>
                  <w:tcW w:w="1683" w:type="dxa"/>
                  <w:vAlign w:val="center"/>
                </w:tcPr>
                <w:p w14:paraId="0E26292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监测结果</w:t>
                  </w:r>
                </w:p>
              </w:tc>
              <w:tc>
                <w:tcPr>
                  <w:tcW w:w="1313" w:type="dxa"/>
                  <w:vAlign w:val="center"/>
                </w:tcPr>
                <w:p w14:paraId="769DE856">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标准值</w:t>
                  </w:r>
                </w:p>
              </w:tc>
              <w:tc>
                <w:tcPr>
                  <w:tcW w:w="1492" w:type="dxa"/>
                  <w:vAlign w:val="center"/>
                </w:tcPr>
                <w:p w14:paraId="398A611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评价</w:t>
                  </w:r>
                </w:p>
              </w:tc>
            </w:tr>
            <w:tr w14:paraId="2D6B2C7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restart"/>
                  <w:vAlign w:val="center"/>
                </w:tcPr>
                <w:p w14:paraId="216F210E">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244" w:type="dxa"/>
                  <w:vMerge w:val="restart"/>
                  <w:vAlign w:val="center"/>
                </w:tcPr>
                <w:p w14:paraId="032A487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东</w:t>
                  </w:r>
                  <w:r>
                    <w:rPr>
                      <w:rFonts w:hint="default" w:ascii="Times New Roman" w:hAnsi="Times New Roman" w:cs="Times New Roman"/>
                      <w:color w:val="auto"/>
                      <w:sz w:val="21"/>
                      <w:szCs w:val="21"/>
                      <w:highlight w:val="none"/>
                    </w:rPr>
                    <w:t>侧</w:t>
                  </w:r>
                </w:p>
              </w:tc>
              <w:tc>
                <w:tcPr>
                  <w:tcW w:w="1437" w:type="dxa"/>
                  <w:vAlign w:val="center"/>
                </w:tcPr>
                <w:p w14:paraId="76328F7C">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14:paraId="1F665320">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1313" w:type="dxa"/>
                  <w:vAlign w:val="center"/>
                </w:tcPr>
                <w:p w14:paraId="432274BD">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14:paraId="13A0BBD8">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76F3A86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continue"/>
                  <w:vAlign w:val="center"/>
                </w:tcPr>
                <w:p w14:paraId="1123B0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14:paraId="057822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14:paraId="7F7C396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14:paraId="733E47E5">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1313" w:type="dxa"/>
                  <w:vAlign w:val="center"/>
                </w:tcPr>
                <w:p w14:paraId="6A8F2BEC">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14:paraId="64D91DA9">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3310CCA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restart"/>
                  <w:vAlign w:val="center"/>
                </w:tcPr>
                <w:p w14:paraId="19102AE5">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44" w:type="dxa"/>
                  <w:vMerge w:val="restart"/>
                  <w:vAlign w:val="center"/>
                </w:tcPr>
                <w:p w14:paraId="046449E0">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南</w:t>
                  </w:r>
                  <w:r>
                    <w:rPr>
                      <w:rFonts w:hint="default" w:ascii="Times New Roman" w:hAnsi="Times New Roman" w:cs="Times New Roman"/>
                      <w:color w:val="auto"/>
                      <w:sz w:val="21"/>
                      <w:szCs w:val="21"/>
                      <w:highlight w:val="none"/>
                    </w:rPr>
                    <w:t>侧</w:t>
                  </w:r>
                </w:p>
              </w:tc>
              <w:tc>
                <w:tcPr>
                  <w:tcW w:w="1437" w:type="dxa"/>
                  <w:vAlign w:val="center"/>
                </w:tcPr>
                <w:p w14:paraId="66CD3875">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14:paraId="03F68306">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1313" w:type="dxa"/>
                  <w:vAlign w:val="center"/>
                </w:tcPr>
                <w:p w14:paraId="684D3058">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14:paraId="0EBBC361">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6CD7172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continue"/>
                  <w:vAlign w:val="center"/>
                </w:tcPr>
                <w:p w14:paraId="50760A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14:paraId="1A9669C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14:paraId="42898F4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14:paraId="45DF2F6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14:paraId="4394B81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14:paraId="0A562326">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49920B3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restart"/>
                  <w:vAlign w:val="center"/>
                </w:tcPr>
                <w:p w14:paraId="1025509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244" w:type="dxa"/>
                  <w:vMerge w:val="restart"/>
                  <w:vAlign w:val="center"/>
                </w:tcPr>
                <w:p w14:paraId="24A42B3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西</w:t>
                  </w:r>
                  <w:r>
                    <w:rPr>
                      <w:rFonts w:hint="default" w:ascii="Times New Roman" w:hAnsi="Times New Roman" w:cs="Times New Roman"/>
                      <w:color w:val="auto"/>
                      <w:sz w:val="21"/>
                      <w:szCs w:val="21"/>
                      <w:highlight w:val="none"/>
                    </w:rPr>
                    <w:t>侧</w:t>
                  </w:r>
                </w:p>
              </w:tc>
              <w:tc>
                <w:tcPr>
                  <w:tcW w:w="1437" w:type="dxa"/>
                  <w:vAlign w:val="center"/>
                </w:tcPr>
                <w:p w14:paraId="71C1EC30">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14:paraId="79C8C9F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13" w:type="dxa"/>
                  <w:vAlign w:val="center"/>
                </w:tcPr>
                <w:p w14:paraId="5C0ED9A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14:paraId="12EF325C">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700AA0D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continue"/>
                  <w:vAlign w:val="center"/>
                </w:tcPr>
                <w:p w14:paraId="738500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14:paraId="4DA150C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14:paraId="1B3AF680">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14:paraId="0B76790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14:paraId="7C21B1C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14:paraId="08F39AD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10B1ACD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restart"/>
                  <w:vAlign w:val="center"/>
                </w:tcPr>
                <w:p w14:paraId="2CB3FF9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244" w:type="dxa"/>
                  <w:vMerge w:val="restart"/>
                  <w:vAlign w:val="center"/>
                </w:tcPr>
                <w:p w14:paraId="6B5B78C9">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北</w:t>
                  </w:r>
                  <w:r>
                    <w:rPr>
                      <w:rFonts w:hint="default" w:ascii="Times New Roman" w:hAnsi="Times New Roman" w:cs="Times New Roman"/>
                      <w:color w:val="auto"/>
                      <w:sz w:val="21"/>
                      <w:szCs w:val="21"/>
                      <w:highlight w:val="none"/>
                    </w:rPr>
                    <w:t>侧</w:t>
                  </w:r>
                </w:p>
              </w:tc>
              <w:tc>
                <w:tcPr>
                  <w:tcW w:w="1437" w:type="dxa"/>
                  <w:vAlign w:val="center"/>
                </w:tcPr>
                <w:p w14:paraId="11385EF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14:paraId="533B286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13" w:type="dxa"/>
                  <w:vAlign w:val="center"/>
                </w:tcPr>
                <w:p w14:paraId="267A2CDA">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14:paraId="38683E7E">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23AD951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113" w:type="dxa"/>
                  <w:vMerge w:val="continue"/>
                  <w:vAlign w:val="center"/>
                </w:tcPr>
                <w:p w14:paraId="0AC713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14:paraId="5666C6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14:paraId="21A746AF">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14:paraId="09A871BD">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14:paraId="5403D81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14:paraId="3CF7199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14:paraId="2414C25A">
            <w:pPr>
              <w:keepNext w:val="0"/>
              <w:keepLines w:val="0"/>
              <w:suppressLineNumbers w:val="0"/>
              <w:shd w:val="clear"/>
              <w:spacing w:before="0" w:beforeAutospacing="0" w:after="0" w:afterAutospacing="0" w:line="360" w:lineRule="auto"/>
              <w:ind w:left="0" w:right="0" w:firstLine="480" w:firstLineChars="200"/>
              <w:contextualSpacing/>
              <w:rPr>
                <w:rFonts w:hint="eastAsia" w:cs="Times New Roman"/>
                <w:color w:val="auto"/>
                <w:sz w:val="24"/>
                <w:szCs w:val="24"/>
                <w:highlight w:val="none"/>
                <w:lang w:eastAsia="zh-CN"/>
              </w:rPr>
            </w:pPr>
            <w:r>
              <w:rPr>
                <w:rFonts w:hint="default" w:ascii="Times New Roman" w:hAnsi="Times New Roman" w:cs="Times New Roman"/>
                <w:color w:val="auto"/>
                <w:sz w:val="24"/>
                <w:szCs w:val="24"/>
                <w:highlight w:val="none"/>
              </w:rPr>
              <w:t>根据监测结果分析可知，</w:t>
            </w:r>
            <w:r>
              <w:rPr>
                <w:rFonts w:hint="eastAsia" w:ascii="Times New Roman" w:hAnsi="Times New Roman" w:cs="Times New Roman"/>
                <w:color w:val="auto"/>
                <w:sz w:val="24"/>
                <w:szCs w:val="24"/>
                <w:highlight w:val="none"/>
              </w:rPr>
              <w:t>项目区厂界4个监测点的昼、夜间噪声值均满足《声环境质量标准》（GB3096-2008）中</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类标准的要求，</w:t>
            </w:r>
            <w:r>
              <w:rPr>
                <w:rFonts w:hint="eastAsia" w:cs="Times New Roman"/>
                <w:color w:val="auto"/>
                <w:sz w:val="24"/>
                <w:szCs w:val="24"/>
                <w:highlight w:val="none"/>
                <w:lang w:eastAsia="zh-CN"/>
              </w:rPr>
              <w:t>因此项目区声环境质量现状较好。</w:t>
            </w:r>
          </w:p>
          <w:p w14:paraId="129F97A5">
            <w:pPr>
              <w:pStyle w:val="49"/>
              <w:spacing w:line="360" w:lineRule="auto"/>
              <w:rPr>
                <w:rFonts w:ascii="宋体" w:hAnsi="宋体" w:cs="宋体"/>
                <w:color w:val="auto"/>
                <w:kern w:val="0"/>
                <w:szCs w:val="21"/>
              </w:rPr>
            </w:pPr>
          </w:p>
        </w:tc>
      </w:tr>
      <w:tr w14:paraId="377EB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99" w:type="dxa"/>
            <w:vAlign w:val="center"/>
          </w:tcPr>
          <w:p w14:paraId="58376F60">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环境</w:t>
            </w:r>
          </w:p>
          <w:p w14:paraId="42C3924D">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保护</w:t>
            </w:r>
          </w:p>
          <w:p w14:paraId="018F5644">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目标</w:t>
            </w:r>
          </w:p>
        </w:tc>
        <w:tc>
          <w:tcPr>
            <w:tcW w:w="8491" w:type="dxa"/>
            <w:vAlign w:val="center"/>
          </w:tcPr>
          <w:p w14:paraId="53C9CF55">
            <w:pPr>
              <w:spacing w:line="480" w:lineRule="exact"/>
              <w:ind w:firstLine="480" w:firstLineChars="200"/>
              <w:rPr>
                <w:rFonts w:hint="eastAsia"/>
                <w:color w:val="auto"/>
                <w:sz w:val="24"/>
              </w:rPr>
            </w:pPr>
            <w:r>
              <w:rPr>
                <w:rFonts w:hint="eastAsia"/>
                <w:color w:val="auto"/>
                <w:sz w:val="24"/>
              </w:rPr>
              <w:t>本项目位于本项目位于新疆昌吉州玛纳斯县塔西河工业园区北区，场区边界东侧为园区经三路，南侧为玛纳斯县玉心源市政建筑工程有限公司，西侧600m处为新疆嘉润资源控股有限公司厂区，北侧现状为空地。</w:t>
            </w:r>
          </w:p>
          <w:p w14:paraId="6C65C16A">
            <w:pPr>
              <w:spacing w:line="480" w:lineRule="exact"/>
              <w:ind w:firstLine="480" w:firstLineChars="200"/>
              <w:rPr>
                <w:color w:val="auto"/>
                <w:sz w:val="24"/>
              </w:rPr>
            </w:pPr>
            <w:r>
              <w:rPr>
                <w:rFonts w:hint="eastAsia"/>
                <w:color w:val="auto"/>
                <w:sz w:val="24"/>
              </w:rPr>
              <w:t>根据现场调查，</w:t>
            </w:r>
            <w:r>
              <w:rPr>
                <w:rFonts w:hint="eastAsia"/>
                <w:color w:val="auto"/>
                <w:sz w:val="24"/>
                <w:lang w:eastAsia="zh-CN"/>
              </w:rPr>
              <w:t>确定项目周边无明显地表水体，厂界外</w:t>
            </w:r>
            <w:r>
              <w:rPr>
                <w:rFonts w:hint="eastAsia"/>
                <w:color w:val="auto"/>
                <w:sz w:val="24"/>
                <w:lang w:val="en-US" w:eastAsia="zh-CN"/>
              </w:rPr>
              <w:t>500m范围内不含有自然保护区、风景名胜区、居住区、文化区和农村地区中人群较集中的区域，亦不包括地下水集中式饮用水水源、热水、矿泉水、温泉等特殊地下水资源</w:t>
            </w:r>
            <w:r>
              <w:rPr>
                <w:rFonts w:hint="eastAsia"/>
                <w:color w:val="auto"/>
                <w:sz w:val="24"/>
                <w:lang w:eastAsia="zh-CN"/>
              </w:rPr>
              <w:t>；厂界</w:t>
            </w:r>
            <w:r>
              <w:rPr>
                <w:rFonts w:hint="eastAsia"/>
                <w:color w:val="auto"/>
                <w:sz w:val="24"/>
                <w:lang w:val="en-US" w:eastAsia="zh-CN"/>
              </w:rPr>
              <w:t>50m范围内亦无声环境敏感目标；项目建设区域全部为园区规划工业用地，不在产业园区外新增用地，故确定本项目的环境保护目标为</w:t>
            </w:r>
            <w:r>
              <w:rPr>
                <w:rFonts w:hint="eastAsia"/>
                <w:color w:val="auto"/>
                <w:sz w:val="24"/>
              </w:rPr>
              <w:t>：</w:t>
            </w:r>
          </w:p>
          <w:p w14:paraId="048F9316">
            <w:pPr>
              <w:spacing w:line="48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）空气环境：保护项目区所在的区域环境空气质量，保持在现有水平；不因该项目的建设而降低空气质量级别；</w:t>
            </w:r>
          </w:p>
          <w:p w14:paraId="397C2C1B">
            <w:pPr>
              <w:spacing w:line="48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）水环境：保护评价区域的水环境。根据项目主要的污染物特征和该区域的自然环境条件分析，保证不因项目建设而污染项目区地下水环境。确保地下水控制在《地下水质量标准》（</w:t>
            </w:r>
            <w:r>
              <w:rPr>
                <w:color w:val="auto"/>
                <w:sz w:val="24"/>
              </w:rPr>
              <w:t>GB/T14848-2017</w:t>
            </w:r>
            <w:r>
              <w:rPr>
                <w:rFonts w:hint="eastAsia"/>
                <w:color w:val="auto"/>
                <w:sz w:val="24"/>
              </w:rPr>
              <w:t>）中的Ⅲ类标准内</w:t>
            </w:r>
            <w:r>
              <w:rPr>
                <w:rFonts w:hint="eastAsia"/>
                <w:color w:val="auto"/>
                <w:sz w:val="24"/>
                <w:lang w:eastAsia="zh-CN"/>
              </w:rPr>
              <w:t>。</w:t>
            </w:r>
          </w:p>
          <w:p w14:paraId="4723B7AC">
            <w:pPr>
              <w:spacing w:line="480" w:lineRule="exact"/>
              <w:ind w:firstLine="480" w:firstLineChars="200"/>
              <w:rPr>
                <w:color w:val="auto"/>
                <w:sz w:val="24"/>
              </w:rPr>
            </w:pPr>
            <w:r>
              <w:rPr>
                <w:rFonts w:hint="eastAsia"/>
                <w:color w:val="auto"/>
                <w:sz w:val="24"/>
              </w:rPr>
              <w:t>（</w:t>
            </w:r>
            <w:r>
              <w:rPr>
                <w:color w:val="auto"/>
                <w:sz w:val="24"/>
              </w:rPr>
              <w:t>3</w:t>
            </w:r>
            <w:r>
              <w:rPr>
                <w:rFonts w:hint="eastAsia"/>
                <w:color w:val="auto"/>
                <w:sz w:val="24"/>
              </w:rPr>
              <w:t>）声环境：重点控制运营期间噪声，确保噪声控制在《声环境质量标准》（</w:t>
            </w:r>
            <w:r>
              <w:rPr>
                <w:color w:val="auto"/>
                <w:sz w:val="24"/>
              </w:rPr>
              <w:t>GB3096-2008</w:t>
            </w:r>
            <w:r>
              <w:rPr>
                <w:rFonts w:hint="eastAsia"/>
                <w:color w:val="auto"/>
                <w:sz w:val="24"/>
              </w:rPr>
              <w:t>）的</w:t>
            </w:r>
            <w:r>
              <w:rPr>
                <w:rFonts w:hint="eastAsia"/>
                <w:color w:val="auto"/>
                <w:sz w:val="24"/>
                <w:lang w:val="en-US" w:eastAsia="zh-CN"/>
              </w:rPr>
              <w:t>3</w:t>
            </w:r>
            <w:r>
              <w:rPr>
                <w:rFonts w:hint="eastAsia"/>
                <w:color w:val="auto"/>
                <w:sz w:val="24"/>
              </w:rPr>
              <w:t>类标准，不降低周围声环境质量；</w:t>
            </w:r>
          </w:p>
          <w:p w14:paraId="47F84497">
            <w:pPr>
              <w:spacing w:line="480" w:lineRule="exact"/>
              <w:ind w:firstLine="480" w:firstLineChars="200"/>
              <w:rPr>
                <w:color w:val="auto"/>
                <w:sz w:val="24"/>
              </w:rPr>
            </w:pPr>
            <w:r>
              <w:rPr>
                <w:rFonts w:hint="eastAsia"/>
                <w:color w:val="auto"/>
                <w:sz w:val="24"/>
              </w:rPr>
              <w:t>（</w:t>
            </w:r>
            <w:r>
              <w:rPr>
                <w:color w:val="auto"/>
                <w:sz w:val="24"/>
              </w:rPr>
              <w:t>4</w:t>
            </w:r>
            <w:r>
              <w:rPr>
                <w:rFonts w:hint="eastAsia"/>
                <w:color w:val="auto"/>
                <w:sz w:val="24"/>
              </w:rPr>
              <w:t>）固体废物：确保项目所产生的固体废物均得到妥善处置，最大限度地减小固体废物对周围环境的影响，避免二次污染。</w:t>
            </w:r>
          </w:p>
          <w:p w14:paraId="139232BC">
            <w:pPr>
              <w:pStyle w:val="49"/>
              <w:spacing w:line="480" w:lineRule="exact"/>
              <w:rPr>
                <w:rFonts w:ascii="宋体" w:hAnsi="宋体" w:cs="宋体"/>
                <w:color w:val="auto"/>
                <w:kern w:val="0"/>
                <w:szCs w:val="21"/>
              </w:rPr>
            </w:pPr>
            <w:r>
              <w:rPr>
                <w:rFonts w:hint="eastAsia"/>
                <w:color w:val="auto"/>
              </w:rPr>
              <w:t>（</w:t>
            </w:r>
            <w:r>
              <w:rPr>
                <w:color w:val="auto"/>
              </w:rPr>
              <w:t>5</w:t>
            </w:r>
            <w:r>
              <w:rPr>
                <w:rFonts w:hint="eastAsia"/>
                <w:color w:val="auto"/>
              </w:rPr>
              <w:t>）景观、生态环境：保护区域自然生态系统的稳定性不受破坏，保证开发后生态系统基本稳定并呈良性循环。</w:t>
            </w:r>
          </w:p>
        </w:tc>
      </w:tr>
      <w:tr w14:paraId="25702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99" w:type="dxa"/>
            <w:tcMar>
              <w:left w:w="28" w:type="dxa"/>
              <w:right w:w="28" w:type="dxa"/>
            </w:tcMar>
            <w:vAlign w:val="center"/>
          </w:tcPr>
          <w:p w14:paraId="76AD086C">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污染</w:t>
            </w:r>
          </w:p>
          <w:p w14:paraId="228A2CF1">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物排</w:t>
            </w:r>
          </w:p>
          <w:p w14:paraId="6972D3F5">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放控</w:t>
            </w:r>
          </w:p>
          <w:p w14:paraId="2C809D7C">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制标</w:t>
            </w:r>
          </w:p>
          <w:p w14:paraId="1ACB85C7">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准</w:t>
            </w:r>
          </w:p>
        </w:tc>
        <w:tc>
          <w:tcPr>
            <w:tcW w:w="8491" w:type="dxa"/>
            <w:vAlign w:val="center"/>
          </w:tcPr>
          <w:p w14:paraId="1A30667A">
            <w:pPr>
              <w:numPr>
                <w:ilvl w:val="0"/>
                <w:numId w:val="2"/>
              </w:numPr>
              <w:spacing w:line="480" w:lineRule="exact"/>
              <w:ind w:firstLine="480" w:firstLineChars="200"/>
              <w:rPr>
                <w:rFonts w:hint="eastAsia"/>
                <w:color w:val="auto"/>
                <w:sz w:val="24"/>
                <w:lang w:val="en-US" w:eastAsia="zh-CN"/>
              </w:rPr>
            </w:pPr>
            <w:r>
              <w:rPr>
                <w:rFonts w:hint="eastAsia"/>
                <w:color w:val="auto"/>
                <w:sz w:val="24"/>
                <w:lang w:eastAsia="zh-CN"/>
              </w:rPr>
              <w:t>项目炭化尾气执行《关于印发</w:t>
            </w:r>
            <w:r>
              <w:rPr>
                <w:rFonts w:hint="eastAsia"/>
                <w:color w:val="auto"/>
                <w:sz w:val="24"/>
                <w:lang w:val="en-US" w:eastAsia="zh-CN"/>
              </w:rPr>
              <w:t>&lt;</w:t>
            </w:r>
            <w:r>
              <w:rPr>
                <w:rFonts w:hint="eastAsia"/>
                <w:color w:val="auto"/>
                <w:sz w:val="24"/>
                <w:lang w:eastAsia="zh-CN"/>
              </w:rPr>
              <w:t>新疆维吾尔自治区工业炉窑大气污染综合治理方案</w:t>
            </w:r>
            <w:r>
              <w:rPr>
                <w:rFonts w:hint="eastAsia"/>
                <w:color w:val="auto"/>
                <w:sz w:val="24"/>
                <w:lang w:val="en-US" w:eastAsia="zh-CN"/>
              </w:rPr>
              <w:t>&gt;的通知</w:t>
            </w:r>
            <w:r>
              <w:rPr>
                <w:rFonts w:hint="eastAsia"/>
                <w:color w:val="auto"/>
                <w:sz w:val="24"/>
                <w:lang w:eastAsia="zh-CN"/>
              </w:rPr>
              <w:t>》（新大气发〔</w:t>
            </w:r>
            <w:r>
              <w:rPr>
                <w:rFonts w:hint="eastAsia"/>
                <w:color w:val="auto"/>
                <w:sz w:val="24"/>
                <w:lang w:val="en-US" w:eastAsia="zh-CN"/>
              </w:rPr>
              <w:t>2019</w:t>
            </w:r>
            <w:r>
              <w:rPr>
                <w:rFonts w:hint="eastAsia"/>
                <w:color w:val="auto"/>
                <w:sz w:val="24"/>
                <w:lang w:eastAsia="zh-CN"/>
              </w:rPr>
              <w:t>〕</w:t>
            </w:r>
            <w:r>
              <w:rPr>
                <w:rFonts w:hint="eastAsia"/>
                <w:color w:val="auto"/>
                <w:sz w:val="24"/>
                <w:lang w:val="en-US" w:eastAsia="zh-CN"/>
              </w:rPr>
              <w:t>127号</w:t>
            </w:r>
            <w:r>
              <w:rPr>
                <w:rFonts w:hint="eastAsia"/>
                <w:color w:val="auto"/>
                <w:sz w:val="24"/>
                <w:lang w:eastAsia="zh-CN"/>
              </w:rPr>
              <w:t>）中第三条“重点区域原则上按照颗粒物、二氧化硫、氮氧化物排放限值分别不高于</w:t>
            </w:r>
            <w:r>
              <w:rPr>
                <w:rFonts w:hint="eastAsia"/>
                <w:color w:val="auto"/>
                <w:sz w:val="24"/>
                <w:lang w:val="en-US" w:eastAsia="zh-CN"/>
              </w:rPr>
              <w:t>30、200、300毫克/立方米</w:t>
            </w:r>
            <w:r>
              <w:rPr>
                <w:rFonts w:hint="eastAsia"/>
                <w:color w:val="auto"/>
                <w:sz w:val="24"/>
                <w:lang w:eastAsia="zh-CN"/>
              </w:rPr>
              <w:t>”；机制炭废气颗粒物执行《大气污染物综合排放标准》（GB16297-1996）表2二级标准；厂界无组织颗粒物执行《大气污染物综合排放标准》（GB16297-1996）表2限值；食堂油烟执行《饮食业油烟排放标准》（GB18483-2001）中小型餐饮企业油烟最高允许浓度限值，具体标准值见表</w:t>
            </w:r>
            <w:r>
              <w:rPr>
                <w:rFonts w:hint="eastAsia"/>
                <w:color w:val="auto"/>
                <w:sz w:val="24"/>
                <w:lang w:val="en-US" w:eastAsia="zh-CN"/>
              </w:rPr>
              <w:t>3-8。</w:t>
            </w:r>
          </w:p>
          <w:p w14:paraId="793CBE21">
            <w:pPr>
              <w:adjustRightInd w:val="0"/>
              <w:snapToGrid w:val="0"/>
              <w:ind w:firstLine="420" w:firstLineChars="200"/>
              <w:rPr>
                <w:rFonts w:eastAsia="黑体"/>
                <w:color w:val="auto"/>
              </w:rPr>
            </w:pPr>
            <w:r>
              <w:rPr>
                <w:rFonts w:hint="eastAsia" w:eastAsia="黑体"/>
                <w:color w:val="auto"/>
              </w:rPr>
              <w:t>表3-8</w:t>
            </w:r>
            <w:r>
              <w:rPr>
                <w:rFonts w:eastAsia="黑体"/>
                <w:color w:val="auto"/>
              </w:rPr>
              <w:t xml:space="preserve">                  </w:t>
            </w:r>
            <w:r>
              <w:rPr>
                <w:rFonts w:hint="eastAsia" w:eastAsia="黑体"/>
                <w:color w:val="auto"/>
              </w:rPr>
              <w:t>废气污染物排放浓度限值</w:t>
            </w:r>
          </w:p>
          <w:tbl>
            <w:tblPr>
              <w:tblStyle w:val="22"/>
              <w:tblW w:w="82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003"/>
              <w:gridCol w:w="2003"/>
              <w:gridCol w:w="2873"/>
            </w:tblGrid>
            <w:tr w14:paraId="4DF40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tcBorders>
                    <w:top w:val="single" w:color="auto" w:sz="12" w:space="0"/>
                    <w:left w:val="nil"/>
                    <w:bottom w:val="single" w:color="auto" w:sz="4" w:space="0"/>
                    <w:right w:val="single" w:color="auto" w:sz="4" w:space="0"/>
                  </w:tcBorders>
                  <w:vAlign w:val="center"/>
                </w:tcPr>
                <w:p w14:paraId="2BD40A58">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污染源</w:t>
                  </w:r>
                </w:p>
              </w:tc>
              <w:tc>
                <w:tcPr>
                  <w:tcW w:w="2003" w:type="dxa"/>
                  <w:tcBorders>
                    <w:top w:val="single" w:color="auto" w:sz="12" w:space="0"/>
                    <w:left w:val="single" w:color="auto" w:sz="4" w:space="0"/>
                    <w:bottom w:val="single" w:color="auto" w:sz="4" w:space="0"/>
                    <w:right w:val="single" w:color="auto" w:sz="4" w:space="0"/>
                  </w:tcBorders>
                  <w:vAlign w:val="center"/>
                </w:tcPr>
                <w:p w14:paraId="4EB28836">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2003" w:type="dxa"/>
                  <w:tcBorders>
                    <w:top w:val="single" w:color="auto" w:sz="12" w:space="0"/>
                    <w:left w:val="single" w:color="auto" w:sz="4" w:space="0"/>
                    <w:bottom w:val="single" w:color="auto" w:sz="4" w:space="0"/>
                    <w:right w:val="single" w:color="auto" w:sz="4" w:space="0"/>
                  </w:tcBorders>
                  <w:vAlign w:val="center"/>
                </w:tcPr>
                <w:p w14:paraId="1C61F208">
                  <w:pPr>
                    <w:overflowPunct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最高允许排放浓度（mg/m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2873" w:type="dxa"/>
                  <w:tcBorders>
                    <w:top w:val="single" w:color="auto" w:sz="12" w:space="0"/>
                    <w:left w:val="single" w:color="auto" w:sz="4" w:space="0"/>
                    <w:bottom w:val="single" w:color="auto" w:sz="4" w:space="0"/>
                    <w:right w:val="nil"/>
                  </w:tcBorders>
                  <w:vAlign w:val="center"/>
                </w:tcPr>
                <w:p w14:paraId="74DA737D">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标准来源</w:t>
                  </w:r>
                </w:p>
              </w:tc>
            </w:tr>
            <w:tr w14:paraId="544D5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vMerge w:val="restart"/>
                  <w:tcBorders>
                    <w:top w:val="single" w:color="auto" w:sz="4" w:space="0"/>
                    <w:left w:val="nil"/>
                    <w:right w:val="single" w:color="auto" w:sz="4" w:space="0"/>
                  </w:tcBorders>
                  <w:vAlign w:val="center"/>
                </w:tcPr>
                <w:p w14:paraId="0986B5C9">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炭化烟气</w:t>
                  </w:r>
                </w:p>
              </w:tc>
              <w:tc>
                <w:tcPr>
                  <w:tcW w:w="2003" w:type="dxa"/>
                  <w:tcBorders>
                    <w:top w:val="single" w:color="auto" w:sz="4" w:space="0"/>
                    <w:left w:val="single" w:color="auto" w:sz="4" w:space="0"/>
                    <w:bottom w:val="single" w:color="auto" w:sz="4" w:space="0"/>
                    <w:right w:val="single" w:color="auto" w:sz="4" w:space="0"/>
                  </w:tcBorders>
                  <w:vAlign w:val="center"/>
                </w:tcPr>
                <w:p w14:paraId="750B717F">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p>
              </w:tc>
              <w:tc>
                <w:tcPr>
                  <w:tcW w:w="2003" w:type="dxa"/>
                  <w:tcBorders>
                    <w:top w:val="single" w:color="auto" w:sz="4" w:space="0"/>
                    <w:left w:val="single" w:color="auto" w:sz="4" w:space="0"/>
                    <w:bottom w:val="single" w:color="auto" w:sz="4" w:space="0"/>
                    <w:right w:val="single" w:color="auto" w:sz="4" w:space="0"/>
                  </w:tcBorders>
                  <w:vAlign w:val="center"/>
                </w:tcPr>
                <w:p w14:paraId="741B504A">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2873" w:type="dxa"/>
                  <w:vMerge w:val="restart"/>
                  <w:tcBorders>
                    <w:top w:val="single" w:color="auto" w:sz="4" w:space="0"/>
                    <w:left w:val="single" w:color="auto" w:sz="4" w:space="0"/>
                    <w:bottom w:val="single" w:color="auto" w:sz="4" w:space="0"/>
                    <w:right w:val="nil"/>
                  </w:tcBorders>
                  <w:vAlign w:val="center"/>
                </w:tcPr>
                <w:p w14:paraId="64398203">
                  <w:pPr>
                    <w:pStyle w:val="2"/>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《关于印发&lt;新疆维吾尔自治区工业炉窑大气污染综合治理方案&gt;的通知》（新大气发〔2019〕127号）</w:t>
                  </w:r>
                </w:p>
              </w:tc>
            </w:tr>
            <w:tr w14:paraId="4D93FF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vMerge w:val="continue"/>
                  <w:tcBorders>
                    <w:left w:val="nil"/>
                    <w:right w:val="single" w:color="auto" w:sz="4" w:space="0"/>
                  </w:tcBorders>
                  <w:vAlign w:val="center"/>
                </w:tcPr>
                <w:p w14:paraId="6BEBF92D">
                  <w:pPr>
                    <w:overflowPunct w:val="0"/>
                    <w:jc w:val="center"/>
                    <w:rPr>
                      <w:rFonts w:hint="default" w:ascii="Times New Roman" w:hAnsi="Times New Roman" w:cs="Times New Roman"/>
                      <w:color w:val="auto"/>
                      <w:kern w:val="0"/>
                      <w:sz w:val="21"/>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7A49B16B">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NOx</w:t>
                  </w:r>
                </w:p>
              </w:tc>
              <w:tc>
                <w:tcPr>
                  <w:tcW w:w="2003" w:type="dxa"/>
                  <w:tcBorders>
                    <w:top w:val="single" w:color="auto" w:sz="4" w:space="0"/>
                    <w:left w:val="single" w:color="auto" w:sz="4" w:space="0"/>
                    <w:bottom w:val="single" w:color="auto" w:sz="4" w:space="0"/>
                    <w:right w:val="single" w:color="auto" w:sz="4" w:space="0"/>
                  </w:tcBorders>
                  <w:vAlign w:val="center"/>
                </w:tcPr>
                <w:p w14:paraId="7648A995">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2873" w:type="dxa"/>
                  <w:vMerge w:val="continue"/>
                  <w:tcBorders>
                    <w:top w:val="single" w:color="auto" w:sz="4" w:space="0"/>
                    <w:left w:val="single" w:color="auto" w:sz="4" w:space="0"/>
                    <w:bottom w:val="single" w:color="auto" w:sz="4" w:space="0"/>
                    <w:right w:val="nil"/>
                  </w:tcBorders>
                  <w:vAlign w:val="center"/>
                </w:tcPr>
                <w:p w14:paraId="3E679262">
                  <w:pPr>
                    <w:pStyle w:val="2"/>
                    <w:jc w:val="center"/>
                    <w:rPr>
                      <w:rFonts w:hint="default" w:ascii="Times New Roman" w:hAnsi="Times New Roman" w:cs="Times New Roman"/>
                      <w:color w:val="auto"/>
                      <w:kern w:val="2"/>
                      <w:sz w:val="21"/>
                      <w:szCs w:val="21"/>
                    </w:rPr>
                  </w:pPr>
                </w:p>
              </w:tc>
            </w:tr>
            <w:tr w14:paraId="51088F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vMerge w:val="continue"/>
                  <w:tcBorders>
                    <w:left w:val="nil"/>
                    <w:bottom w:val="single" w:color="auto" w:sz="4" w:space="0"/>
                    <w:right w:val="single" w:color="auto" w:sz="4" w:space="0"/>
                  </w:tcBorders>
                  <w:vAlign w:val="center"/>
                </w:tcPr>
                <w:p w14:paraId="1A634AFF">
                  <w:pPr>
                    <w:overflowPunct w:val="0"/>
                    <w:jc w:val="center"/>
                    <w:rPr>
                      <w:rFonts w:hint="default" w:ascii="Times New Roman" w:hAnsi="Times New Roman" w:cs="Times New Roman"/>
                      <w:color w:val="auto"/>
                      <w:kern w:val="0"/>
                      <w:sz w:val="21"/>
                      <w:szCs w:val="21"/>
                    </w:rPr>
                  </w:pPr>
                </w:p>
              </w:tc>
              <w:tc>
                <w:tcPr>
                  <w:tcW w:w="2003" w:type="dxa"/>
                  <w:tcBorders>
                    <w:top w:val="single" w:color="auto" w:sz="4" w:space="0"/>
                    <w:left w:val="single" w:color="auto" w:sz="4" w:space="0"/>
                    <w:bottom w:val="single" w:color="auto" w:sz="4" w:space="0"/>
                    <w:right w:val="single" w:color="auto" w:sz="4" w:space="0"/>
                  </w:tcBorders>
                  <w:vAlign w:val="center"/>
                </w:tcPr>
                <w:p w14:paraId="189027AE">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颗粒物</w:t>
                  </w:r>
                </w:p>
              </w:tc>
              <w:tc>
                <w:tcPr>
                  <w:tcW w:w="2003" w:type="dxa"/>
                  <w:tcBorders>
                    <w:top w:val="single" w:color="auto" w:sz="4" w:space="0"/>
                    <w:left w:val="single" w:color="auto" w:sz="4" w:space="0"/>
                    <w:bottom w:val="single" w:color="auto" w:sz="4" w:space="0"/>
                    <w:right w:val="single" w:color="auto" w:sz="4" w:space="0"/>
                  </w:tcBorders>
                  <w:vAlign w:val="center"/>
                </w:tcPr>
                <w:p w14:paraId="4223397E">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2873" w:type="dxa"/>
                  <w:vMerge w:val="continue"/>
                  <w:tcBorders>
                    <w:top w:val="single" w:color="auto" w:sz="4" w:space="0"/>
                    <w:left w:val="single" w:color="auto" w:sz="4" w:space="0"/>
                    <w:bottom w:val="single" w:color="auto" w:sz="4" w:space="0"/>
                    <w:right w:val="nil"/>
                  </w:tcBorders>
                  <w:vAlign w:val="center"/>
                </w:tcPr>
                <w:p w14:paraId="5CA2E00A">
                  <w:pPr>
                    <w:widowControl/>
                    <w:jc w:val="left"/>
                    <w:rPr>
                      <w:rFonts w:hint="default" w:ascii="Times New Roman" w:hAnsi="Times New Roman" w:cs="Times New Roman"/>
                      <w:color w:val="auto"/>
                      <w:kern w:val="0"/>
                      <w:sz w:val="21"/>
                      <w:szCs w:val="21"/>
                    </w:rPr>
                  </w:pPr>
                </w:p>
              </w:tc>
            </w:tr>
            <w:tr w14:paraId="57273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tcBorders>
                    <w:top w:val="single" w:color="auto" w:sz="4" w:space="0"/>
                    <w:left w:val="nil"/>
                    <w:bottom w:val="single" w:color="auto" w:sz="4" w:space="0"/>
                    <w:right w:val="single" w:color="auto" w:sz="4" w:space="0"/>
                  </w:tcBorders>
                  <w:vAlign w:val="center"/>
                </w:tcPr>
                <w:p w14:paraId="5CD41A08">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机制炭废气</w:t>
                  </w:r>
                </w:p>
              </w:tc>
              <w:tc>
                <w:tcPr>
                  <w:tcW w:w="2003" w:type="dxa"/>
                  <w:tcBorders>
                    <w:top w:val="single" w:color="auto" w:sz="4" w:space="0"/>
                    <w:left w:val="single" w:color="auto" w:sz="4" w:space="0"/>
                    <w:bottom w:val="single" w:color="auto" w:sz="4" w:space="0"/>
                    <w:right w:val="single" w:color="auto" w:sz="4" w:space="0"/>
                  </w:tcBorders>
                  <w:vAlign w:val="center"/>
                </w:tcPr>
                <w:p w14:paraId="6D9C0208">
                  <w:pPr>
                    <w:adjustRightInd w:val="0"/>
                    <w:snapToGrid w:val="0"/>
                    <w:jc w:val="center"/>
                    <w:rPr>
                      <w:rFonts w:hint="eastAsia" w:ascii="Times New Roman" w:hAnsi="Times New Roman" w:cs="Times New Roman" w:eastAsiaTheme="minorEastAsia"/>
                      <w:color w:val="auto"/>
                      <w:spacing w:val="-6"/>
                      <w:sz w:val="21"/>
                      <w:szCs w:val="21"/>
                      <w:lang w:eastAsia="zh-CN"/>
                    </w:rPr>
                  </w:pPr>
                  <w:r>
                    <w:rPr>
                      <w:rFonts w:hint="eastAsia" w:ascii="Times New Roman" w:hAnsi="Times New Roman" w:cs="Times New Roman" w:eastAsiaTheme="minorEastAsia"/>
                      <w:color w:val="auto"/>
                      <w:spacing w:val="-6"/>
                      <w:sz w:val="21"/>
                      <w:szCs w:val="21"/>
                      <w:lang w:eastAsia="zh-CN"/>
                    </w:rPr>
                    <w:t>颗粒物</w:t>
                  </w:r>
                </w:p>
              </w:tc>
              <w:tc>
                <w:tcPr>
                  <w:tcW w:w="2003" w:type="dxa"/>
                  <w:tcBorders>
                    <w:top w:val="single" w:color="auto" w:sz="4" w:space="0"/>
                    <w:left w:val="single" w:color="auto" w:sz="4" w:space="0"/>
                    <w:bottom w:val="single" w:color="auto" w:sz="4" w:space="0"/>
                    <w:right w:val="single" w:color="auto" w:sz="4" w:space="0"/>
                  </w:tcBorders>
                  <w:vAlign w:val="center"/>
                </w:tcPr>
                <w:p w14:paraId="1A735FB2">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120</w:t>
                  </w:r>
                </w:p>
              </w:tc>
              <w:tc>
                <w:tcPr>
                  <w:tcW w:w="2873" w:type="dxa"/>
                  <w:vMerge w:val="restart"/>
                  <w:tcBorders>
                    <w:top w:val="single" w:color="auto" w:sz="4" w:space="0"/>
                    <w:left w:val="single" w:color="auto" w:sz="4" w:space="0"/>
                    <w:right w:val="nil"/>
                  </w:tcBorders>
                  <w:vAlign w:val="center"/>
                </w:tcPr>
                <w:p w14:paraId="19548839">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《大气污染物综合排放标准》（GB16297-1996）表2</w:t>
                  </w:r>
                  <w:r>
                    <w:rPr>
                      <w:rFonts w:hint="eastAsia" w:ascii="Times New Roman" w:hAnsi="Times New Roman" w:cs="Times New Roman"/>
                      <w:color w:val="auto"/>
                      <w:kern w:val="0"/>
                      <w:sz w:val="21"/>
                      <w:szCs w:val="21"/>
                      <w:lang w:eastAsia="zh-CN"/>
                    </w:rPr>
                    <w:t>二级标准</w:t>
                  </w:r>
                </w:p>
              </w:tc>
            </w:tr>
            <w:tr w14:paraId="393360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tcBorders>
                    <w:top w:val="single" w:color="auto" w:sz="4" w:space="0"/>
                    <w:left w:val="nil"/>
                    <w:bottom w:val="single" w:color="auto" w:sz="4" w:space="0"/>
                    <w:right w:val="single" w:color="auto" w:sz="4" w:space="0"/>
                  </w:tcBorders>
                  <w:vAlign w:val="center"/>
                </w:tcPr>
                <w:p w14:paraId="7BA27A1D">
                  <w:pPr>
                    <w:overflowPunct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企业边界</w:t>
                  </w:r>
                </w:p>
              </w:tc>
              <w:tc>
                <w:tcPr>
                  <w:tcW w:w="2003" w:type="dxa"/>
                  <w:tcBorders>
                    <w:top w:val="single" w:color="auto" w:sz="4" w:space="0"/>
                    <w:left w:val="single" w:color="auto" w:sz="4" w:space="0"/>
                    <w:bottom w:val="single" w:color="auto" w:sz="4" w:space="0"/>
                    <w:right w:val="single" w:color="auto" w:sz="4" w:space="0"/>
                  </w:tcBorders>
                  <w:vAlign w:val="center"/>
                </w:tcPr>
                <w:p w14:paraId="26E8F2BA">
                  <w:pPr>
                    <w:adjustRightInd w:val="0"/>
                    <w:snapToGrid w:val="0"/>
                    <w:jc w:val="center"/>
                    <w:rPr>
                      <w:rFonts w:hint="default" w:ascii="Times New Roman" w:hAnsi="Times New Roman" w:cs="Times New Roman" w:eastAsiaTheme="minorEastAsia"/>
                      <w:color w:val="auto"/>
                      <w:spacing w:val="-6"/>
                      <w:sz w:val="21"/>
                      <w:szCs w:val="21"/>
                      <w:lang w:eastAsia="zh-CN"/>
                    </w:rPr>
                  </w:pPr>
                  <w:r>
                    <w:rPr>
                      <w:rFonts w:hint="default" w:ascii="Times New Roman" w:hAnsi="Times New Roman" w:cs="Times New Roman" w:eastAsiaTheme="minorEastAsia"/>
                      <w:color w:val="auto"/>
                      <w:spacing w:val="-6"/>
                      <w:sz w:val="21"/>
                      <w:szCs w:val="21"/>
                      <w:lang w:eastAsia="zh-CN"/>
                    </w:rPr>
                    <w:t>颗粒物</w:t>
                  </w:r>
                </w:p>
              </w:tc>
              <w:tc>
                <w:tcPr>
                  <w:tcW w:w="2003" w:type="dxa"/>
                  <w:tcBorders>
                    <w:top w:val="single" w:color="auto" w:sz="4" w:space="0"/>
                    <w:left w:val="single" w:color="auto" w:sz="4" w:space="0"/>
                    <w:bottom w:val="single" w:color="auto" w:sz="4" w:space="0"/>
                    <w:right w:val="single" w:color="auto" w:sz="4" w:space="0"/>
                  </w:tcBorders>
                  <w:vAlign w:val="center"/>
                </w:tcPr>
                <w:p w14:paraId="79CEE6DD">
                  <w:pPr>
                    <w:adjustRightInd w:val="0"/>
                    <w:snapToGrid w:val="0"/>
                    <w:jc w:val="center"/>
                    <w:rPr>
                      <w:rFonts w:hint="eastAsia" w:ascii="Times New Roman" w:hAnsi="Times New Roman" w:cs="Times New Roman" w:eastAsiaTheme="minorEastAsia"/>
                      <w:color w:val="auto"/>
                      <w:spacing w:val="-6"/>
                      <w:sz w:val="21"/>
                      <w:szCs w:val="21"/>
                      <w:lang w:val="en-US" w:eastAsia="zh-CN"/>
                    </w:rPr>
                  </w:pPr>
                  <w:r>
                    <w:rPr>
                      <w:rFonts w:hint="eastAsia" w:ascii="Times New Roman" w:hAnsi="Times New Roman" w:cs="Times New Roman" w:eastAsiaTheme="minorEastAsia"/>
                      <w:color w:val="auto"/>
                      <w:spacing w:val="-6"/>
                      <w:sz w:val="21"/>
                      <w:szCs w:val="21"/>
                      <w:lang w:val="en-US" w:eastAsia="zh-CN"/>
                    </w:rPr>
                    <w:t>1.0（企业边界）</w:t>
                  </w:r>
                </w:p>
              </w:tc>
              <w:tc>
                <w:tcPr>
                  <w:tcW w:w="2873" w:type="dxa"/>
                  <w:vMerge w:val="continue"/>
                  <w:tcBorders>
                    <w:left w:val="single" w:color="auto" w:sz="4" w:space="0"/>
                    <w:right w:val="nil"/>
                  </w:tcBorders>
                  <w:vAlign w:val="center"/>
                </w:tcPr>
                <w:p w14:paraId="2D98607E">
                  <w:pPr>
                    <w:overflowPunct w:val="0"/>
                    <w:jc w:val="center"/>
                    <w:rPr>
                      <w:rFonts w:hint="default" w:ascii="Times New Roman" w:hAnsi="Times New Roman" w:cs="Times New Roman"/>
                      <w:color w:val="auto"/>
                      <w:kern w:val="0"/>
                      <w:sz w:val="21"/>
                      <w:szCs w:val="21"/>
                    </w:rPr>
                  </w:pPr>
                </w:p>
              </w:tc>
            </w:tr>
            <w:tr w14:paraId="4BCFD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6" w:type="dxa"/>
                  <w:tcBorders>
                    <w:top w:val="single" w:color="auto" w:sz="4" w:space="0"/>
                    <w:left w:val="nil"/>
                    <w:right w:val="single" w:color="auto" w:sz="4" w:space="0"/>
                  </w:tcBorders>
                  <w:vAlign w:val="center"/>
                </w:tcPr>
                <w:p w14:paraId="2F1AFD1A">
                  <w:pPr>
                    <w:overflowPunct w:val="0"/>
                    <w:jc w:val="center"/>
                    <w:rPr>
                      <w:rFonts w:hint="default" w:ascii="Times New Roman" w:hAnsi="Times New Roman" w:cs="Times New Roman"/>
                      <w:color w:val="auto"/>
                      <w:kern w:val="0"/>
                      <w:sz w:val="21"/>
                      <w:szCs w:val="21"/>
                      <w:lang w:eastAsia="zh-CN"/>
                    </w:rPr>
                  </w:pPr>
                  <w:r>
                    <w:rPr>
                      <w:rFonts w:hint="eastAsia" w:cs="Times New Roman"/>
                      <w:color w:val="auto"/>
                      <w:kern w:val="0"/>
                      <w:sz w:val="21"/>
                      <w:szCs w:val="21"/>
                      <w:lang w:eastAsia="zh-CN"/>
                    </w:rPr>
                    <w:t>职工食堂</w:t>
                  </w:r>
                </w:p>
              </w:tc>
              <w:tc>
                <w:tcPr>
                  <w:tcW w:w="2003" w:type="dxa"/>
                  <w:tcBorders>
                    <w:top w:val="single" w:color="auto" w:sz="4" w:space="0"/>
                    <w:left w:val="single" w:color="auto" w:sz="4" w:space="0"/>
                    <w:right w:val="single" w:color="auto" w:sz="4" w:space="0"/>
                  </w:tcBorders>
                  <w:vAlign w:val="center"/>
                </w:tcPr>
                <w:p w14:paraId="3A85D3F4">
                  <w:pPr>
                    <w:adjustRightInd w:val="0"/>
                    <w:snapToGrid w:val="0"/>
                    <w:jc w:val="center"/>
                    <w:rPr>
                      <w:rFonts w:hint="default" w:ascii="Times New Roman" w:hAnsi="Times New Roman" w:cs="Times New Roman" w:eastAsiaTheme="minorEastAsia"/>
                      <w:color w:val="auto"/>
                      <w:spacing w:val="-6"/>
                      <w:sz w:val="21"/>
                      <w:szCs w:val="21"/>
                      <w:lang w:eastAsia="zh-CN"/>
                    </w:rPr>
                  </w:pPr>
                  <w:r>
                    <w:rPr>
                      <w:rFonts w:hint="eastAsia" w:cs="Times New Roman" w:eastAsiaTheme="minorEastAsia"/>
                      <w:color w:val="auto"/>
                      <w:spacing w:val="-6"/>
                      <w:sz w:val="21"/>
                      <w:szCs w:val="21"/>
                      <w:lang w:eastAsia="zh-CN"/>
                    </w:rPr>
                    <w:t>油烟</w:t>
                  </w:r>
                </w:p>
              </w:tc>
              <w:tc>
                <w:tcPr>
                  <w:tcW w:w="2003" w:type="dxa"/>
                  <w:tcBorders>
                    <w:top w:val="single" w:color="auto" w:sz="4" w:space="0"/>
                    <w:left w:val="single" w:color="auto" w:sz="4" w:space="0"/>
                    <w:right w:val="single" w:color="auto" w:sz="4" w:space="0"/>
                  </w:tcBorders>
                  <w:vAlign w:val="center"/>
                </w:tcPr>
                <w:p w14:paraId="686C4D2A">
                  <w:pPr>
                    <w:adjustRightInd w:val="0"/>
                    <w:snapToGrid w:val="0"/>
                    <w:jc w:val="center"/>
                    <w:rPr>
                      <w:rFonts w:hint="eastAsia" w:ascii="Times New Roman" w:hAnsi="Times New Roman" w:cs="Times New Roman" w:eastAsiaTheme="minorEastAsia"/>
                      <w:color w:val="auto"/>
                      <w:spacing w:val="-6"/>
                      <w:sz w:val="21"/>
                      <w:szCs w:val="21"/>
                      <w:lang w:val="en-US" w:eastAsia="zh-CN"/>
                    </w:rPr>
                  </w:pPr>
                  <w:r>
                    <w:rPr>
                      <w:rFonts w:hint="eastAsia" w:cs="Times New Roman" w:eastAsiaTheme="minorEastAsia"/>
                      <w:color w:val="auto"/>
                      <w:spacing w:val="-6"/>
                      <w:sz w:val="21"/>
                      <w:szCs w:val="21"/>
                      <w:lang w:val="en-US" w:eastAsia="zh-CN"/>
                    </w:rPr>
                    <w:t>2.0</w:t>
                  </w:r>
                </w:p>
              </w:tc>
              <w:tc>
                <w:tcPr>
                  <w:tcW w:w="2873" w:type="dxa"/>
                  <w:tcBorders>
                    <w:left w:val="single" w:color="auto" w:sz="4" w:space="0"/>
                    <w:right w:val="nil"/>
                  </w:tcBorders>
                  <w:vAlign w:val="center"/>
                </w:tcPr>
                <w:p w14:paraId="309E589F">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《饮食业油烟排放标准》（GB18483-2001）</w:t>
                  </w:r>
                </w:p>
              </w:tc>
            </w:tr>
          </w:tbl>
          <w:p w14:paraId="2F3BB177">
            <w:pPr>
              <w:numPr>
                <w:ilvl w:val="0"/>
                <w:numId w:val="2"/>
              </w:numPr>
              <w:spacing w:line="480" w:lineRule="exact"/>
              <w:ind w:firstLine="480" w:firstLineChars="200"/>
              <w:rPr>
                <w:color w:val="auto"/>
                <w:sz w:val="24"/>
              </w:rPr>
            </w:pPr>
            <w:r>
              <w:rPr>
                <w:rFonts w:hint="eastAsia"/>
                <w:color w:val="auto"/>
                <w:sz w:val="24"/>
              </w:rPr>
              <w:t>项目废水排放执行园区污水处理厂进水标准《污水综合排放标准》（GB8978-1996）中三级标准限值</w:t>
            </w:r>
            <w:r>
              <w:rPr>
                <w:rFonts w:hint="eastAsia"/>
                <w:color w:val="auto"/>
                <w:sz w:val="24"/>
                <w:lang w:eastAsia="zh-CN"/>
              </w:rPr>
              <w:t>，具体标准值见表</w:t>
            </w:r>
            <w:r>
              <w:rPr>
                <w:rFonts w:hint="eastAsia"/>
                <w:color w:val="auto"/>
                <w:sz w:val="24"/>
                <w:lang w:val="en-US" w:eastAsia="zh-CN"/>
              </w:rPr>
              <w:t>3-9。</w:t>
            </w:r>
          </w:p>
          <w:p w14:paraId="57A0CFC1">
            <w:pPr>
              <w:autoSpaceDE w:val="0"/>
              <w:autoSpaceDN w:val="0"/>
              <w:ind w:firstLine="420" w:firstLineChars="200"/>
              <w:rPr>
                <w:rFonts w:eastAsia="黑体"/>
                <w:color w:val="auto"/>
                <w:szCs w:val="21"/>
                <w:highlight w:val="none"/>
              </w:rPr>
            </w:pPr>
            <w:r>
              <w:rPr>
                <w:rFonts w:eastAsia="黑体"/>
                <w:color w:val="auto"/>
                <w:szCs w:val="21"/>
                <w:highlight w:val="none"/>
              </w:rPr>
              <w:t>表</w:t>
            </w:r>
            <w:r>
              <w:rPr>
                <w:rFonts w:hint="eastAsia" w:eastAsia="黑体"/>
                <w:color w:val="auto"/>
                <w:szCs w:val="21"/>
                <w:highlight w:val="none"/>
                <w:lang w:val="en-US" w:eastAsia="zh-CN"/>
              </w:rPr>
              <w:t>3-9</w:t>
            </w:r>
            <w:r>
              <w:rPr>
                <w:rFonts w:eastAsia="黑体"/>
                <w:color w:val="auto"/>
                <w:szCs w:val="21"/>
                <w:highlight w:val="none"/>
              </w:rPr>
              <w:t xml:space="preserve">           </w:t>
            </w:r>
            <w:r>
              <w:rPr>
                <w:rFonts w:hint="eastAsia" w:eastAsia="黑体"/>
                <w:color w:val="auto"/>
                <w:szCs w:val="21"/>
                <w:highlight w:val="none"/>
                <w:lang w:val="en-US" w:eastAsia="zh-CN"/>
              </w:rPr>
              <w:t xml:space="preserve">      </w:t>
            </w:r>
            <w:r>
              <w:rPr>
                <w:rFonts w:hint="eastAsia" w:eastAsia="黑体"/>
                <w:color w:val="auto"/>
                <w:szCs w:val="21"/>
                <w:highlight w:val="none"/>
                <w:lang w:eastAsia="zh-CN"/>
              </w:rPr>
              <w:t>项目水</w:t>
            </w:r>
            <w:r>
              <w:rPr>
                <w:rFonts w:eastAsia="黑体"/>
                <w:color w:val="auto"/>
                <w:szCs w:val="21"/>
                <w:highlight w:val="none"/>
              </w:rPr>
              <w:t xml:space="preserve">污染物排放标准          </w:t>
            </w:r>
            <w:r>
              <w:rPr>
                <w:rFonts w:hint="eastAsia" w:eastAsia="黑体"/>
                <w:color w:val="auto"/>
                <w:szCs w:val="21"/>
                <w:highlight w:val="none"/>
                <w:lang w:val="en-US" w:eastAsia="zh-CN"/>
              </w:rPr>
              <w:t xml:space="preserve">             </w:t>
            </w:r>
            <w:r>
              <w:rPr>
                <w:rFonts w:eastAsia="黑体"/>
                <w:color w:val="auto"/>
                <w:szCs w:val="21"/>
                <w:highlight w:val="none"/>
              </w:rPr>
              <w:t>mg/L</w:t>
            </w:r>
          </w:p>
          <w:tbl>
            <w:tblPr>
              <w:tblStyle w:val="22"/>
              <w:tblW w:w="827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3771"/>
              <w:gridCol w:w="3373"/>
            </w:tblGrid>
            <w:tr w14:paraId="54D3A6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427E39A0">
                  <w:pPr>
                    <w:widowControl/>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序号</w:t>
                  </w:r>
                </w:p>
              </w:tc>
              <w:tc>
                <w:tcPr>
                  <w:tcW w:w="3771" w:type="dxa"/>
                  <w:vAlign w:val="center"/>
                </w:tcPr>
                <w:p w14:paraId="1E16CF98">
                  <w:pPr>
                    <w:widowControl/>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污染物项目</w:t>
                  </w:r>
                </w:p>
              </w:tc>
              <w:tc>
                <w:tcPr>
                  <w:tcW w:w="3373" w:type="dxa"/>
                  <w:vAlign w:val="center"/>
                </w:tcPr>
                <w:p w14:paraId="3E9027B2">
                  <w:pPr>
                    <w:widowControl/>
                    <w:jc w:val="center"/>
                    <w:rPr>
                      <w:rFonts w:hint="default"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lang w:eastAsia="zh-CN"/>
                    </w:rPr>
                    <w:t>限值</w:t>
                  </w:r>
                </w:p>
              </w:tc>
            </w:tr>
            <w:tr w14:paraId="467252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2C550145">
                  <w:pPr>
                    <w:widowControl/>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3771" w:type="dxa"/>
                  <w:vAlign w:val="center"/>
                </w:tcPr>
                <w:p w14:paraId="49E35F7B">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pH</w:t>
                  </w:r>
                </w:p>
              </w:tc>
              <w:tc>
                <w:tcPr>
                  <w:tcW w:w="3373" w:type="dxa"/>
                  <w:vAlign w:val="center"/>
                </w:tcPr>
                <w:p w14:paraId="633F539D">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6~9</w:t>
                  </w:r>
                </w:p>
              </w:tc>
            </w:tr>
            <w:tr w14:paraId="2B222C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2A54AC46">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3771" w:type="dxa"/>
                  <w:vAlign w:val="center"/>
                </w:tcPr>
                <w:p w14:paraId="6EF07C15">
                  <w:pPr>
                    <w:widowControl/>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SS</w:t>
                  </w:r>
                </w:p>
              </w:tc>
              <w:tc>
                <w:tcPr>
                  <w:tcW w:w="3373" w:type="dxa"/>
                  <w:vAlign w:val="center"/>
                </w:tcPr>
                <w:p w14:paraId="221BA85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400</w:t>
                  </w:r>
                </w:p>
              </w:tc>
            </w:tr>
            <w:tr w14:paraId="22D97E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37B6F1FD">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3771" w:type="dxa"/>
                  <w:vAlign w:val="center"/>
                </w:tcPr>
                <w:p w14:paraId="15E07BED">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CODcr</w:t>
                  </w:r>
                </w:p>
              </w:tc>
              <w:tc>
                <w:tcPr>
                  <w:tcW w:w="3373" w:type="dxa"/>
                  <w:vAlign w:val="center"/>
                </w:tcPr>
                <w:p w14:paraId="4C0B4F8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500</w:t>
                  </w:r>
                </w:p>
              </w:tc>
            </w:tr>
            <w:tr w14:paraId="4F0A67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542EEACB">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w:t>
                  </w:r>
                </w:p>
              </w:tc>
              <w:tc>
                <w:tcPr>
                  <w:tcW w:w="3771" w:type="dxa"/>
                  <w:vAlign w:val="center"/>
                </w:tcPr>
                <w:p w14:paraId="5BDA10F9">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BOD</w:t>
                  </w:r>
                  <w:r>
                    <w:rPr>
                      <w:rFonts w:hint="default" w:ascii="Times New Roman" w:hAnsi="Times New Roman" w:eastAsia="宋体" w:cs="Times New Roman"/>
                      <w:color w:val="auto"/>
                      <w:kern w:val="0"/>
                      <w:szCs w:val="21"/>
                      <w:highlight w:val="none"/>
                      <w:vertAlign w:val="subscript"/>
                      <w:lang w:val="en-US" w:eastAsia="zh-CN"/>
                    </w:rPr>
                    <w:t>5</w:t>
                  </w:r>
                </w:p>
              </w:tc>
              <w:tc>
                <w:tcPr>
                  <w:tcW w:w="3373" w:type="dxa"/>
                  <w:vAlign w:val="center"/>
                </w:tcPr>
                <w:p w14:paraId="4B461899">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300</w:t>
                  </w:r>
                </w:p>
              </w:tc>
            </w:tr>
            <w:tr w14:paraId="53A975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1" w:type="dxa"/>
                  <w:vAlign w:val="center"/>
                </w:tcPr>
                <w:p w14:paraId="53E560A2">
                  <w:pPr>
                    <w:widowControl/>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5</w:t>
                  </w:r>
                </w:p>
              </w:tc>
              <w:tc>
                <w:tcPr>
                  <w:tcW w:w="3771" w:type="dxa"/>
                  <w:vAlign w:val="center"/>
                </w:tcPr>
                <w:p w14:paraId="26EA818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氨氮</w:t>
                  </w:r>
                </w:p>
              </w:tc>
              <w:tc>
                <w:tcPr>
                  <w:tcW w:w="3373" w:type="dxa"/>
                  <w:vAlign w:val="center"/>
                </w:tcPr>
                <w:p w14:paraId="48F9C344">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w:t>
                  </w:r>
                </w:p>
              </w:tc>
            </w:tr>
          </w:tbl>
          <w:p w14:paraId="6FA9F60C">
            <w:pPr>
              <w:numPr>
                <w:ilvl w:val="0"/>
                <w:numId w:val="2"/>
              </w:numPr>
              <w:spacing w:line="480" w:lineRule="exact"/>
              <w:ind w:firstLine="480" w:firstLineChars="200"/>
              <w:rPr>
                <w:color w:val="auto"/>
                <w:sz w:val="24"/>
              </w:rPr>
            </w:pPr>
            <w:r>
              <w:rPr>
                <w:rFonts w:hint="eastAsia"/>
                <w:color w:val="auto"/>
                <w:sz w:val="24"/>
              </w:rPr>
              <w:t>项目期营运期噪声执行《工业企业厂界环境噪声排放标准》（GB12348-2008）3类标准，施工期噪声执行《建筑施工厂界环境噪声排放标准》（GB12523-2011）</w:t>
            </w:r>
            <w:r>
              <w:rPr>
                <w:rFonts w:hint="eastAsia"/>
                <w:color w:val="auto"/>
                <w:sz w:val="24"/>
                <w:lang w:eastAsia="zh-CN"/>
              </w:rPr>
              <w:t>，</w:t>
            </w:r>
            <w:r>
              <w:rPr>
                <w:rFonts w:hint="eastAsia"/>
                <w:color w:val="auto"/>
                <w:sz w:val="24"/>
              </w:rPr>
              <w:t>具体标准值见表3-</w:t>
            </w:r>
            <w:r>
              <w:rPr>
                <w:rFonts w:hint="eastAsia"/>
                <w:color w:val="auto"/>
                <w:sz w:val="24"/>
                <w:lang w:val="en-US" w:eastAsia="zh-CN"/>
              </w:rPr>
              <w:t>10</w:t>
            </w:r>
            <w:r>
              <w:rPr>
                <w:rFonts w:hint="eastAsia"/>
                <w:color w:val="auto"/>
                <w:sz w:val="24"/>
              </w:rPr>
              <w:t>。</w:t>
            </w:r>
          </w:p>
          <w:p w14:paraId="5BC9F951">
            <w:pPr>
              <w:adjustRightInd w:val="0"/>
              <w:snapToGrid w:val="0"/>
              <w:ind w:firstLine="420" w:firstLineChars="200"/>
              <w:rPr>
                <w:rFonts w:eastAsia="黑体"/>
                <w:color w:val="auto"/>
              </w:rPr>
            </w:pPr>
            <w:r>
              <w:rPr>
                <w:rFonts w:hint="eastAsia" w:eastAsia="黑体"/>
                <w:color w:val="auto"/>
              </w:rPr>
              <w:t>表3-</w:t>
            </w:r>
            <w:r>
              <w:rPr>
                <w:rFonts w:hint="eastAsia" w:eastAsia="黑体"/>
                <w:color w:val="auto"/>
                <w:lang w:val="en-US" w:eastAsia="zh-CN"/>
              </w:rPr>
              <w:t>10</w:t>
            </w:r>
            <w:r>
              <w:rPr>
                <w:rFonts w:eastAsia="黑体"/>
                <w:color w:val="auto"/>
              </w:rPr>
              <w:t xml:space="preserve">                  </w:t>
            </w:r>
            <w:r>
              <w:rPr>
                <w:rFonts w:hint="eastAsia" w:eastAsia="黑体"/>
                <w:color w:val="auto"/>
                <w:lang w:eastAsia="zh-CN"/>
              </w:rPr>
              <w:t>项目</w:t>
            </w:r>
            <w:r>
              <w:rPr>
                <w:rFonts w:hint="eastAsia" w:eastAsia="黑体"/>
                <w:color w:val="auto"/>
              </w:rPr>
              <w:t>厂界环境噪声排放标准</w:t>
            </w:r>
          </w:p>
          <w:tbl>
            <w:tblPr>
              <w:tblStyle w:val="22"/>
              <w:tblW w:w="82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93"/>
              <w:gridCol w:w="2800"/>
              <w:gridCol w:w="2282"/>
            </w:tblGrid>
            <w:tr w14:paraId="0D6270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047FE8C">
                  <w:pPr>
                    <w:jc w:val="center"/>
                    <w:rPr>
                      <w:rFonts w:hint="eastAsia" w:eastAsia="宋体"/>
                      <w:color w:val="auto"/>
                      <w:szCs w:val="21"/>
                      <w:highlight w:val="none"/>
                      <w:lang w:eastAsia="zh-CN"/>
                    </w:rPr>
                  </w:pPr>
                  <w:r>
                    <w:rPr>
                      <w:rFonts w:hint="eastAsia"/>
                      <w:color w:val="auto"/>
                      <w:szCs w:val="21"/>
                      <w:highlight w:val="none"/>
                      <w:lang w:eastAsia="zh-CN"/>
                    </w:rPr>
                    <w:t>标准名称</w:t>
                  </w:r>
                </w:p>
              </w:tc>
              <w:tc>
                <w:tcPr>
                  <w:tcW w:w="2800" w:type="dxa"/>
                  <w:vAlign w:val="center"/>
                </w:tcPr>
                <w:p w14:paraId="5DD65595">
                  <w:pPr>
                    <w:jc w:val="center"/>
                    <w:rPr>
                      <w:color w:val="auto"/>
                      <w:szCs w:val="21"/>
                      <w:highlight w:val="none"/>
                    </w:rPr>
                  </w:pPr>
                  <w:r>
                    <w:rPr>
                      <w:bCs/>
                      <w:color w:val="auto"/>
                      <w:kern w:val="0"/>
                      <w:szCs w:val="21"/>
                      <w:highlight w:val="none"/>
                    </w:rPr>
                    <w:t>昼间/dB（A）</w:t>
                  </w:r>
                </w:p>
              </w:tc>
              <w:tc>
                <w:tcPr>
                  <w:tcW w:w="2282" w:type="dxa"/>
                  <w:vAlign w:val="center"/>
                </w:tcPr>
                <w:p w14:paraId="09F65B8F">
                  <w:pPr>
                    <w:jc w:val="center"/>
                    <w:rPr>
                      <w:color w:val="auto"/>
                      <w:szCs w:val="21"/>
                      <w:highlight w:val="none"/>
                    </w:rPr>
                  </w:pPr>
                  <w:r>
                    <w:rPr>
                      <w:bCs/>
                      <w:color w:val="auto"/>
                      <w:kern w:val="0"/>
                      <w:szCs w:val="21"/>
                      <w:highlight w:val="none"/>
                    </w:rPr>
                    <w:t>夜间/dB（A）</w:t>
                  </w:r>
                </w:p>
              </w:tc>
            </w:tr>
            <w:tr w14:paraId="6F6DF4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4753CBD5">
                  <w:pPr>
                    <w:jc w:val="center"/>
                    <w:rPr>
                      <w:color w:val="auto"/>
                      <w:szCs w:val="21"/>
                      <w:highlight w:val="none"/>
                    </w:rPr>
                  </w:pPr>
                  <w:r>
                    <w:rPr>
                      <w:rFonts w:hint="eastAsia"/>
                      <w:color w:val="auto"/>
                      <w:szCs w:val="21"/>
                      <w:highlight w:val="none"/>
                    </w:rPr>
                    <w:t>《工业企业厂界环境噪声排放标准》（GB12348-2008）</w:t>
                  </w:r>
                  <w:r>
                    <w:rPr>
                      <w:rFonts w:hint="eastAsia"/>
                      <w:color w:val="auto"/>
                      <w:szCs w:val="21"/>
                      <w:highlight w:val="none"/>
                      <w:lang w:val="en-US" w:eastAsia="zh-CN"/>
                    </w:rPr>
                    <w:t>3</w:t>
                  </w:r>
                  <w:r>
                    <w:rPr>
                      <w:rFonts w:hint="eastAsia"/>
                      <w:color w:val="auto"/>
                      <w:szCs w:val="21"/>
                      <w:highlight w:val="none"/>
                    </w:rPr>
                    <w:t>类标准</w:t>
                  </w:r>
                </w:p>
              </w:tc>
              <w:tc>
                <w:tcPr>
                  <w:tcW w:w="2800" w:type="dxa"/>
                  <w:vAlign w:val="center"/>
                </w:tcPr>
                <w:p w14:paraId="564F83BD">
                  <w:pPr>
                    <w:jc w:val="center"/>
                    <w:rPr>
                      <w:color w:val="auto"/>
                      <w:szCs w:val="21"/>
                      <w:highlight w:val="none"/>
                    </w:rPr>
                  </w:pPr>
                  <w:r>
                    <w:rPr>
                      <w:color w:val="auto"/>
                      <w:szCs w:val="21"/>
                      <w:highlight w:val="none"/>
                    </w:rPr>
                    <w:t>6</w:t>
                  </w:r>
                  <w:r>
                    <w:rPr>
                      <w:rFonts w:hint="eastAsia"/>
                      <w:color w:val="auto"/>
                      <w:szCs w:val="21"/>
                      <w:highlight w:val="none"/>
                      <w:lang w:val="en-US" w:eastAsia="zh-CN"/>
                    </w:rPr>
                    <w:t>5</w:t>
                  </w:r>
                </w:p>
              </w:tc>
              <w:tc>
                <w:tcPr>
                  <w:tcW w:w="2282" w:type="dxa"/>
                  <w:vAlign w:val="center"/>
                </w:tcPr>
                <w:p w14:paraId="009AE189">
                  <w:pPr>
                    <w:jc w:val="center"/>
                    <w:rPr>
                      <w:color w:val="auto"/>
                      <w:szCs w:val="21"/>
                      <w:highlight w:val="none"/>
                    </w:rPr>
                  </w:pPr>
                  <w:r>
                    <w:rPr>
                      <w:color w:val="auto"/>
                      <w:szCs w:val="21"/>
                      <w:highlight w:val="none"/>
                    </w:rPr>
                    <w:t>5</w:t>
                  </w:r>
                  <w:r>
                    <w:rPr>
                      <w:rFonts w:hint="eastAsia"/>
                      <w:color w:val="auto"/>
                      <w:szCs w:val="21"/>
                      <w:highlight w:val="none"/>
                      <w:lang w:val="en-US" w:eastAsia="zh-CN"/>
                    </w:rPr>
                    <w:t>5</w:t>
                  </w:r>
                </w:p>
              </w:tc>
            </w:tr>
            <w:tr w14:paraId="1FDC9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93" w:type="dxa"/>
                  <w:vAlign w:val="center"/>
                </w:tcPr>
                <w:p w14:paraId="67AEC4E3">
                  <w:pPr>
                    <w:jc w:val="center"/>
                    <w:rPr>
                      <w:color w:val="auto"/>
                      <w:szCs w:val="21"/>
                      <w:highlight w:val="none"/>
                    </w:rPr>
                  </w:pPr>
                  <w:r>
                    <w:rPr>
                      <w:rFonts w:hint="eastAsia"/>
                      <w:color w:val="auto"/>
                      <w:szCs w:val="21"/>
                      <w:highlight w:val="none"/>
                    </w:rPr>
                    <w:t>《建筑施工场界环境噪声排放标准》（GB 12523-2011）</w:t>
                  </w:r>
                </w:p>
              </w:tc>
              <w:tc>
                <w:tcPr>
                  <w:tcW w:w="2800" w:type="dxa"/>
                  <w:vAlign w:val="center"/>
                </w:tcPr>
                <w:p w14:paraId="4263A226">
                  <w:pPr>
                    <w:jc w:val="center"/>
                    <w:rPr>
                      <w:rFonts w:hint="eastAsia" w:eastAsia="宋体"/>
                      <w:color w:val="auto"/>
                      <w:szCs w:val="21"/>
                      <w:highlight w:val="none"/>
                      <w:lang w:val="en-US" w:eastAsia="zh-CN"/>
                    </w:rPr>
                  </w:pPr>
                  <w:r>
                    <w:rPr>
                      <w:rFonts w:hint="eastAsia"/>
                      <w:color w:val="auto"/>
                      <w:szCs w:val="21"/>
                      <w:highlight w:val="none"/>
                      <w:lang w:val="en-US" w:eastAsia="zh-CN"/>
                    </w:rPr>
                    <w:t>70</w:t>
                  </w:r>
                </w:p>
              </w:tc>
              <w:tc>
                <w:tcPr>
                  <w:tcW w:w="2282" w:type="dxa"/>
                  <w:vAlign w:val="center"/>
                </w:tcPr>
                <w:p w14:paraId="152E7E7C">
                  <w:pPr>
                    <w:jc w:val="center"/>
                    <w:rPr>
                      <w:rFonts w:hint="eastAsia" w:eastAsia="宋体"/>
                      <w:color w:val="auto"/>
                      <w:szCs w:val="21"/>
                      <w:highlight w:val="none"/>
                      <w:lang w:val="en-US" w:eastAsia="zh-CN"/>
                    </w:rPr>
                  </w:pPr>
                  <w:r>
                    <w:rPr>
                      <w:rFonts w:hint="eastAsia"/>
                      <w:color w:val="auto"/>
                      <w:szCs w:val="21"/>
                      <w:highlight w:val="none"/>
                      <w:lang w:val="en-US" w:eastAsia="zh-CN"/>
                    </w:rPr>
                    <w:t>55</w:t>
                  </w:r>
                </w:p>
              </w:tc>
            </w:tr>
          </w:tbl>
          <w:p w14:paraId="18C15B0F">
            <w:pPr>
              <w:spacing w:line="480" w:lineRule="exact"/>
              <w:ind w:firstLine="480" w:firstLineChars="200"/>
              <w:rPr>
                <w:color w:val="auto"/>
                <w:sz w:val="24"/>
              </w:rPr>
            </w:pPr>
            <w:r>
              <w:rPr>
                <w:rFonts w:hint="eastAsia"/>
                <w:color w:val="auto"/>
                <w:sz w:val="24"/>
                <w:lang w:val="en-US" w:eastAsia="zh-CN"/>
              </w:rPr>
              <w:t>4</w:t>
            </w:r>
            <w:r>
              <w:rPr>
                <w:rFonts w:hint="eastAsia"/>
                <w:color w:val="auto"/>
                <w:sz w:val="24"/>
              </w:rPr>
              <w:t>、一般工业固体废物执行《一般工业固体废物贮存、处置场污染控制标准》及（</w:t>
            </w:r>
            <w:r>
              <w:rPr>
                <w:color w:val="auto"/>
                <w:sz w:val="24"/>
              </w:rPr>
              <w:t>GB18599-20</w:t>
            </w:r>
            <w:r>
              <w:rPr>
                <w:rFonts w:hint="eastAsia"/>
                <w:color w:val="auto"/>
                <w:sz w:val="24"/>
                <w:lang w:val="en-US" w:eastAsia="zh-CN"/>
              </w:rPr>
              <w:t>20</w:t>
            </w:r>
            <w:r>
              <w:rPr>
                <w:rFonts w:hint="eastAsia"/>
                <w:color w:val="auto"/>
                <w:sz w:val="24"/>
              </w:rPr>
              <w:t>）；危险废物执行《危险废物贮存污染控制标准》（</w:t>
            </w:r>
            <w:r>
              <w:rPr>
                <w:color w:val="auto"/>
                <w:sz w:val="24"/>
              </w:rPr>
              <w:t>GB18596-2001</w:t>
            </w:r>
            <w:r>
              <w:rPr>
                <w:rFonts w:hint="eastAsia"/>
                <w:color w:val="auto"/>
                <w:sz w:val="24"/>
              </w:rPr>
              <w:t>）及关于发布《一般工业固体废物贮存、处置场污染控制标准》及（</w:t>
            </w:r>
            <w:r>
              <w:rPr>
                <w:color w:val="auto"/>
                <w:sz w:val="24"/>
              </w:rPr>
              <w:t>GB18599-2001</w:t>
            </w:r>
            <w:r>
              <w:rPr>
                <w:rFonts w:hint="eastAsia"/>
                <w:color w:val="auto"/>
                <w:sz w:val="24"/>
              </w:rPr>
              <w:t>）等</w:t>
            </w:r>
            <w:r>
              <w:rPr>
                <w:color w:val="auto"/>
                <w:sz w:val="24"/>
              </w:rPr>
              <w:t>3</w:t>
            </w:r>
            <w:r>
              <w:rPr>
                <w:rFonts w:hint="eastAsia"/>
                <w:color w:val="auto"/>
                <w:sz w:val="24"/>
              </w:rPr>
              <w:t>项国家污染物控制标准修改单的公告（环保部公告</w:t>
            </w:r>
            <w:r>
              <w:rPr>
                <w:color w:val="auto"/>
                <w:sz w:val="24"/>
              </w:rPr>
              <w:t>2013</w:t>
            </w:r>
            <w:r>
              <w:rPr>
                <w:rFonts w:hint="eastAsia"/>
                <w:color w:val="auto"/>
                <w:sz w:val="24"/>
              </w:rPr>
              <w:t>年第</w:t>
            </w:r>
            <w:r>
              <w:rPr>
                <w:color w:val="auto"/>
                <w:sz w:val="24"/>
              </w:rPr>
              <w:t>36</w:t>
            </w:r>
            <w:r>
              <w:rPr>
                <w:rFonts w:hint="eastAsia"/>
                <w:color w:val="auto"/>
                <w:sz w:val="24"/>
              </w:rPr>
              <w:t>号）。</w:t>
            </w:r>
          </w:p>
          <w:p w14:paraId="5F7E27E8">
            <w:pPr>
              <w:pStyle w:val="49"/>
              <w:spacing w:line="480" w:lineRule="exact"/>
              <w:rPr>
                <w:rFonts w:ascii="宋体" w:hAnsi="宋体" w:cs="宋体"/>
                <w:color w:val="auto"/>
                <w:kern w:val="0"/>
                <w:szCs w:val="21"/>
              </w:rPr>
            </w:pPr>
          </w:p>
        </w:tc>
      </w:tr>
      <w:tr w14:paraId="5F58A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99" w:type="dxa"/>
            <w:vAlign w:val="center"/>
          </w:tcPr>
          <w:p w14:paraId="7F7E2C4B">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总量</w:t>
            </w:r>
          </w:p>
          <w:p w14:paraId="2A7CD959">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控制</w:t>
            </w:r>
          </w:p>
          <w:p w14:paraId="41A6BF9F">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指标</w:t>
            </w:r>
          </w:p>
        </w:tc>
        <w:tc>
          <w:tcPr>
            <w:tcW w:w="8491" w:type="dxa"/>
            <w:vAlign w:val="center"/>
          </w:tcPr>
          <w:p w14:paraId="13E07A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cs="Times New Roman"/>
                <w:color w:val="auto"/>
                <w:sz w:val="24"/>
                <w:szCs w:val="24"/>
                <w:highlight w:val="none"/>
              </w:rPr>
            </w:pPr>
            <w:r>
              <w:rPr>
                <w:rFonts w:hint="eastAsia"/>
                <w:color w:val="auto"/>
                <w:highlight w:val="none"/>
              </w:rPr>
              <w:t xml:space="preserve"> </w:t>
            </w:r>
            <w:r>
              <w:rPr>
                <w:rFonts w:hint="default" w:ascii="Times New Roman" w:hAnsi="Times New Roman" w:cs="Times New Roman"/>
                <w:color w:val="auto"/>
                <w:sz w:val="24"/>
                <w:szCs w:val="24"/>
                <w:highlight w:val="none"/>
              </w:rPr>
              <w:t>根据“十三五”规定的总量控制污染物种类：COD、NH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-N、SO</w:t>
            </w:r>
            <w:r>
              <w:rPr>
                <w:rFonts w:hint="default" w:ascii="Times New Roman" w:hAnsi="Times New Roman" w:cs="Times New Roman"/>
                <w:color w:val="auto"/>
                <w:sz w:val="24"/>
                <w:szCs w:val="24"/>
                <w:highlight w:val="none"/>
                <w:vertAlign w:val="subscript"/>
              </w:rPr>
              <w:t>2</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eastAsia" w:ascii="Times New Roman" w:hAnsi="Times New Roman" w:cs="Times New Roman"/>
                <w:color w:val="auto"/>
                <w:sz w:val="24"/>
                <w:szCs w:val="24"/>
                <w:highlight w:val="none"/>
                <w:vertAlign w:val="baseline"/>
                <w:lang w:eastAsia="zh-CN"/>
              </w:rPr>
              <w:t>及颗粒物</w:t>
            </w:r>
            <w:r>
              <w:rPr>
                <w:rFonts w:hint="default" w:ascii="Times New Roman" w:hAnsi="Times New Roman" w:cs="Times New Roman"/>
                <w:color w:val="auto"/>
                <w:sz w:val="24"/>
                <w:szCs w:val="24"/>
                <w:highlight w:val="none"/>
              </w:rPr>
              <w:t>。</w:t>
            </w:r>
          </w:p>
          <w:p w14:paraId="29D4D470">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本项目建议总量控制指标为</w:t>
            </w:r>
            <w:r>
              <w:rPr>
                <w:rFonts w:hint="eastAsia" w:ascii="Times New Roman" w:hAnsi="Times New Roman" w:cs="Times New Roman"/>
                <w:color w:val="auto"/>
                <w:sz w:val="24"/>
                <w:szCs w:val="24"/>
                <w:highlight w:val="none"/>
                <w:lang w:eastAsia="zh-CN"/>
              </w:rPr>
              <w:t>：</w:t>
            </w:r>
          </w:p>
          <w:p w14:paraId="06F9152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废气：</w:t>
            </w:r>
            <w:r>
              <w:rPr>
                <w:rFonts w:hint="default" w:ascii="Times New Roman" w:hAnsi="Times New Roman" w:cs="Times New Roman"/>
                <w:color w:val="auto"/>
                <w:sz w:val="24"/>
                <w:szCs w:val="24"/>
                <w:highlight w:val="none"/>
                <w:lang w:val="en-US" w:eastAsia="zh-CN"/>
              </w:rPr>
              <w:t>SO</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48.384</w:t>
            </w:r>
            <w:r>
              <w:rPr>
                <w:rFonts w:hint="default" w:ascii="Times New Roman" w:hAnsi="Times New Roman" w:cs="Times New Roman"/>
                <w:color w:val="auto"/>
                <w:sz w:val="24"/>
                <w:szCs w:val="24"/>
                <w:highlight w:val="none"/>
                <w:lang w:val="en-US" w:eastAsia="zh-CN"/>
              </w:rPr>
              <w:t>t/a；NOx：</w:t>
            </w:r>
            <w:r>
              <w:rPr>
                <w:rFonts w:hint="eastAsia" w:cs="Times New Roman"/>
                <w:color w:val="auto"/>
                <w:sz w:val="24"/>
                <w:szCs w:val="24"/>
                <w:highlight w:val="none"/>
                <w:lang w:val="en-US" w:eastAsia="zh-CN"/>
              </w:rPr>
              <w:t>133.146</w:t>
            </w:r>
            <w:r>
              <w:rPr>
                <w:rFonts w:hint="default" w:ascii="Times New Roman" w:hAnsi="Times New Roman" w:cs="Times New Roman"/>
                <w:color w:val="auto"/>
                <w:sz w:val="24"/>
                <w:szCs w:val="24"/>
                <w:highlight w:val="none"/>
                <w:lang w:val="en-US" w:eastAsia="zh-CN"/>
              </w:rPr>
              <w:t>t/a</w:t>
            </w:r>
            <w:r>
              <w:rPr>
                <w:rFonts w:hint="eastAsia" w:ascii="Times New Roman" w:hAnsi="Times New Roman" w:cs="Times New Roman"/>
                <w:color w:val="auto"/>
                <w:sz w:val="24"/>
                <w:szCs w:val="24"/>
                <w:highlight w:val="none"/>
                <w:lang w:val="en-US" w:eastAsia="zh-CN"/>
              </w:rPr>
              <w:t>；颗粒物：</w:t>
            </w:r>
            <w:r>
              <w:rPr>
                <w:rFonts w:hint="eastAsia" w:cs="Times New Roman"/>
                <w:color w:val="auto"/>
                <w:sz w:val="24"/>
                <w:szCs w:val="24"/>
                <w:highlight w:val="none"/>
                <w:lang w:val="en-US" w:eastAsia="zh-CN"/>
              </w:rPr>
              <w:t>5.953</w:t>
            </w:r>
            <w:r>
              <w:rPr>
                <w:rFonts w:hint="eastAsia"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w:t>
            </w:r>
          </w:p>
          <w:p w14:paraId="5D4094F0">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bidi="ar"/>
              </w:rPr>
            </w:pPr>
            <w:r>
              <w:rPr>
                <w:rFonts w:hint="default" w:ascii="Times New Roman" w:hAnsi="Times New Roman" w:cs="Times New Roman"/>
                <w:color w:val="auto"/>
                <w:sz w:val="24"/>
                <w:szCs w:val="24"/>
                <w:highlight w:val="none"/>
                <w:lang w:eastAsia="zh-CN"/>
              </w:rPr>
              <w:t>废水：</w:t>
            </w:r>
            <w:r>
              <w:rPr>
                <w:rFonts w:hint="default" w:ascii="Times New Roman" w:hAnsi="Times New Roman" w:cs="Times New Roman"/>
                <w:color w:val="auto"/>
                <w:sz w:val="24"/>
                <w:szCs w:val="24"/>
                <w:highlight w:val="none"/>
              </w:rPr>
              <w:t>CODcr：</w:t>
            </w:r>
            <w:r>
              <w:rPr>
                <w:rFonts w:hint="default" w:ascii="Times New Roman" w:hAnsi="Times New Roman" w:cs="Times New Roman"/>
                <w:color w:val="auto"/>
                <w:sz w:val="24"/>
                <w:szCs w:val="24"/>
                <w:highlight w:val="none"/>
                <w:lang w:val="en-US" w:eastAsia="zh-CN" w:bidi="ar"/>
              </w:rPr>
              <w:t>0.672</w:t>
            </w:r>
            <w:r>
              <w:rPr>
                <w:rFonts w:hint="default" w:ascii="Times New Roman" w:hAnsi="Times New Roman" w:cs="Times New Roman"/>
                <w:color w:val="auto"/>
                <w:sz w:val="24"/>
                <w:szCs w:val="24"/>
                <w:highlight w:val="none"/>
                <w:lang w:bidi="ar"/>
              </w:rPr>
              <w:t>t/a</w:t>
            </w:r>
            <w:r>
              <w:rPr>
                <w:rFonts w:hint="default" w:ascii="Times New Roman" w:hAnsi="Times New Roman" w:cs="Times New Roman"/>
                <w:color w:val="auto"/>
                <w:sz w:val="24"/>
                <w:szCs w:val="24"/>
                <w:highlight w:val="none"/>
                <w:lang w:eastAsia="zh-CN" w:bidi="ar"/>
              </w:rPr>
              <w:t>；</w:t>
            </w:r>
            <w:r>
              <w:rPr>
                <w:rFonts w:hint="default" w:ascii="Times New Roman" w:hAnsi="Times New Roman" w:cs="Times New Roman"/>
                <w:color w:val="auto"/>
                <w:sz w:val="24"/>
                <w:szCs w:val="24"/>
                <w:highlight w:val="none"/>
                <w:lang w:bidi="ar"/>
              </w:rPr>
              <w:t>NH</w:t>
            </w:r>
            <w:r>
              <w:rPr>
                <w:rFonts w:hint="default" w:ascii="Times New Roman" w:hAnsi="Times New Roman" w:cs="Times New Roman"/>
                <w:color w:val="auto"/>
                <w:sz w:val="24"/>
                <w:szCs w:val="24"/>
                <w:highlight w:val="none"/>
                <w:vertAlign w:val="subscript"/>
                <w:lang w:bidi="ar"/>
              </w:rPr>
              <w:t>3</w:t>
            </w:r>
            <w:r>
              <w:rPr>
                <w:rFonts w:hint="default" w:ascii="Times New Roman" w:hAnsi="Times New Roman" w:cs="Times New Roman"/>
                <w:color w:val="auto"/>
                <w:sz w:val="24"/>
                <w:szCs w:val="24"/>
                <w:highlight w:val="none"/>
                <w:lang w:bidi="ar"/>
              </w:rPr>
              <w:t>-N：</w:t>
            </w:r>
            <w:r>
              <w:rPr>
                <w:rFonts w:hint="default" w:ascii="Times New Roman" w:hAnsi="Times New Roman" w:cs="Times New Roman"/>
                <w:color w:val="auto"/>
                <w:sz w:val="24"/>
                <w:szCs w:val="24"/>
                <w:highlight w:val="none"/>
                <w:lang w:val="en-US" w:eastAsia="zh-CN" w:bidi="ar"/>
              </w:rPr>
              <w:t>0.048</w:t>
            </w:r>
            <w:r>
              <w:rPr>
                <w:rFonts w:hint="default" w:ascii="Times New Roman" w:hAnsi="Times New Roman" w:cs="Times New Roman"/>
                <w:color w:val="auto"/>
                <w:sz w:val="24"/>
                <w:szCs w:val="24"/>
                <w:highlight w:val="none"/>
                <w:lang w:bidi="ar"/>
              </w:rPr>
              <w:t xml:space="preserve"> t/a</w:t>
            </w:r>
            <w:r>
              <w:rPr>
                <w:rFonts w:hint="eastAsia" w:cs="Times New Roman"/>
                <w:color w:val="auto"/>
                <w:sz w:val="24"/>
                <w:szCs w:val="24"/>
                <w:highlight w:val="none"/>
                <w:lang w:eastAsia="zh-CN" w:bidi="ar"/>
              </w:rPr>
              <w:t>。</w:t>
            </w:r>
          </w:p>
          <w:p w14:paraId="25B75BCA">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项目位于“乌-昌-石”重点区域，须严格落实大气污染物SO</w:t>
            </w:r>
            <w:r>
              <w:rPr>
                <w:rFonts w:hint="eastAsia" w:ascii="Times New Roman" w:hAnsi="Times New Roman" w:cs="Times New Roman"/>
                <w:color w:val="auto"/>
                <w:sz w:val="24"/>
                <w:vertAlign w:val="subscript"/>
                <w:lang w:val="en-US" w:eastAsia="zh-CN"/>
              </w:rPr>
              <w:t>2</w:t>
            </w:r>
            <w:r>
              <w:rPr>
                <w:rFonts w:hint="eastAsia" w:ascii="Times New Roman" w:hAnsi="Times New Roman" w:cs="Times New Roman"/>
                <w:color w:val="auto"/>
                <w:sz w:val="24"/>
                <w:lang w:val="en-US" w:eastAsia="zh-CN"/>
              </w:rPr>
              <w:t>、NO</w:t>
            </w:r>
            <w:r>
              <w:rPr>
                <w:rFonts w:hint="eastAsia" w:ascii="Times New Roman" w:hAnsi="Times New Roman" w:cs="Times New Roman"/>
                <w:color w:val="auto"/>
                <w:sz w:val="24"/>
                <w:vertAlign w:val="subscript"/>
                <w:lang w:val="en-US" w:eastAsia="zh-CN"/>
              </w:rPr>
              <w:t>x</w:t>
            </w:r>
            <w:r>
              <w:rPr>
                <w:rFonts w:hint="eastAsia" w:ascii="Times New Roman" w:hAnsi="Times New Roman" w:cs="Times New Roman"/>
                <w:color w:val="auto"/>
                <w:sz w:val="24"/>
                <w:lang w:val="en-US" w:eastAsia="zh-CN"/>
              </w:rPr>
              <w:t>、烟粉尘总量指标倍量替代措施。在企业与当地生态环境部门沟通后确定，项目大气总量控制指标倍量替代指标由新疆嘉润资源控股有限公司3#机组超低排放改造项目提供。</w:t>
            </w:r>
          </w:p>
          <w:p w14:paraId="41ED5E9B">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eastAsia="zh-CN"/>
              </w:rPr>
              <w:t>新疆嘉润资源控股有限公司3#机组超低排放改造项目</w:t>
            </w:r>
            <w:r>
              <w:rPr>
                <w:rFonts w:hint="eastAsia" w:ascii="Times New Roman" w:hAnsi="Times New Roman" w:cs="Times New Roman"/>
                <w:color w:val="auto"/>
                <w:sz w:val="24"/>
                <w:lang w:val="en-US" w:eastAsia="zh-CN"/>
              </w:rPr>
              <w:t>现余总量控制指标为：</w:t>
            </w:r>
          </w:p>
          <w:p w14:paraId="768D4A6E">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SO</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906.1</w:t>
            </w:r>
            <w:r>
              <w:rPr>
                <w:rFonts w:hint="default" w:ascii="Times New Roman" w:hAnsi="Times New Roman" w:cs="Times New Roman"/>
                <w:color w:val="auto"/>
                <w:sz w:val="24"/>
                <w:szCs w:val="24"/>
                <w:highlight w:val="none"/>
                <w:lang w:val="en-US" w:eastAsia="zh-CN"/>
              </w:rPr>
              <w:t>t/a；NOx：</w:t>
            </w:r>
            <w:r>
              <w:rPr>
                <w:rFonts w:hint="eastAsia" w:cs="Times New Roman"/>
                <w:color w:val="auto"/>
                <w:sz w:val="24"/>
                <w:szCs w:val="24"/>
                <w:highlight w:val="none"/>
                <w:lang w:val="en-US" w:eastAsia="zh-CN"/>
              </w:rPr>
              <w:t>1189.77</w:t>
            </w:r>
            <w:r>
              <w:rPr>
                <w:rFonts w:hint="default" w:ascii="Times New Roman" w:hAnsi="Times New Roman" w:cs="Times New Roman"/>
                <w:color w:val="auto"/>
                <w:sz w:val="24"/>
                <w:szCs w:val="24"/>
                <w:highlight w:val="none"/>
                <w:lang w:val="en-US" w:eastAsia="zh-CN"/>
              </w:rPr>
              <w:t>t/a</w:t>
            </w:r>
            <w:r>
              <w:rPr>
                <w:rFonts w:hint="eastAsia" w:ascii="Times New Roman" w:hAnsi="Times New Roman" w:cs="Times New Roman"/>
                <w:color w:val="auto"/>
                <w:sz w:val="24"/>
                <w:szCs w:val="24"/>
                <w:highlight w:val="none"/>
                <w:lang w:val="en-US" w:eastAsia="zh-CN"/>
              </w:rPr>
              <w:t>；颗粒物：</w:t>
            </w:r>
            <w:r>
              <w:rPr>
                <w:rFonts w:hint="eastAsia" w:cs="Times New Roman"/>
                <w:color w:val="auto"/>
                <w:sz w:val="24"/>
                <w:szCs w:val="24"/>
                <w:highlight w:val="none"/>
                <w:lang w:val="en-US" w:eastAsia="zh-CN"/>
              </w:rPr>
              <w:t>86.75</w:t>
            </w:r>
            <w:r>
              <w:rPr>
                <w:rFonts w:hint="eastAsia"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w:t>
            </w:r>
          </w:p>
          <w:p w14:paraId="502A4DC7">
            <w:pPr>
              <w:spacing w:line="360" w:lineRule="auto"/>
              <w:ind w:firstLine="480" w:firstLineChars="200"/>
              <w:rPr>
                <w:rFonts w:hint="eastAsia"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可以满足项目总量控制指标倍量替代要求</w:t>
            </w:r>
            <w:r>
              <w:rPr>
                <w:rFonts w:hint="eastAsia" w:cs="Times New Roman"/>
                <w:color w:val="auto"/>
                <w:sz w:val="24"/>
                <w:szCs w:val="24"/>
                <w:highlight w:val="none"/>
                <w:lang w:val="en-US" w:eastAsia="zh-CN"/>
              </w:rPr>
              <w:t>。</w:t>
            </w:r>
          </w:p>
          <w:p w14:paraId="7A6D61D1">
            <w:pPr>
              <w:spacing w:line="360" w:lineRule="auto"/>
              <w:ind w:firstLine="420" w:firstLineChars="200"/>
              <w:rPr>
                <w:color w:val="auto"/>
                <w:kern w:val="0"/>
                <w:szCs w:val="21"/>
              </w:rPr>
            </w:pPr>
          </w:p>
        </w:tc>
      </w:tr>
    </w:tbl>
    <w:p w14:paraId="6CDCF7BB">
      <w:pPr>
        <w:pStyle w:val="19"/>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14:paraId="4BBFE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58" w:type="dxa"/>
            <w:tcMar>
              <w:left w:w="28" w:type="dxa"/>
              <w:right w:w="28" w:type="dxa"/>
            </w:tcMar>
            <w:vAlign w:val="center"/>
          </w:tcPr>
          <w:p w14:paraId="28039710">
            <w:pPr>
              <w:pStyle w:val="19"/>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施工</w:t>
            </w:r>
          </w:p>
          <w:p w14:paraId="5A67D1E2">
            <w:pPr>
              <w:pStyle w:val="19"/>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期环</w:t>
            </w:r>
          </w:p>
          <w:p w14:paraId="36D59E1C">
            <w:pPr>
              <w:pStyle w:val="19"/>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境保</w:t>
            </w:r>
          </w:p>
          <w:p w14:paraId="0A61AD2C">
            <w:pPr>
              <w:pStyle w:val="19"/>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护措</w:t>
            </w:r>
          </w:p>
          <w:p w14:paraId="1DEA4AFE">
            <w:pPr>
              <w:pStyle w:val="19"/>
              <w:adjustRightInd w:val="0"/>
              <w:snapToGrid w:val="0"/>
              <w:spacing w:before="0" w:beforeAutospacing="0" w:after="0" w:afterAutospacing="0"/>
              <w:jc w:val="center"/>
              <w:rPr>
                <w:rFonts w:cs="宋体"/>
                <w:bCs/>
                <w:color w:val="auto"/>
                <w:kern w:val="2"/>
                <w:sz w:val="21"/>
                <w:szCs w:val="21"/>
              </w:rPr>
            </w:pPr>
            <w:r>
              <w:rPr>
                <w:rFonts w:hint="eastAsia" w:cs="宋体"/>
                <w:color w:val="auto"/>
                <w:kern w:val="2"/>
                <w:szCs w:val="21"/>
              </w:rPr>
              <w:t>施</w:t>
            </w:r>
          </w:p>
        </w:tc>
        <w:tc>
          <w:tcPr>
            <w:tcW w:w="8450" w:type="dxa"/>
            <w:vAlign w:val="center"/>
          </w:tcPr>
          <w:p w14:paraId="5D7B6CB0">
            <w:pPr>
              <w:tabs>
                <w:tab w:val="center" w:pos="4736"/>
              </w:tabs>
              <w:spacing w:line="360" w:lineRule="auto"/>
              <w:ind w:firstLine="480" w:firstLineChars="200"/>
              <w:rPr>
                <w:color w:val="auto"/>
                <w:sz w:val="24"/>
              </w:rPr>
            </w:pPr>
            <w:r>
              <w:rPr>
                <w:rFonts w:hint="eastAsia"/>
                <w:color w:val="auto"/>
                <w:sz w:val="24"/>
              </w:rPr>
              <w:t>项目施工期对环境造成的影响主要包括：施工废气、施工废水、施工噪声和施工固体废弃物等。</w:t>
            </w:r>
          </w:p>
          <w:p w14:paraId="3C8F6B57">
            <w:pPr>
              <w:tabs>
                <w:tab w:val="center" w:pos="4736"/>
              </w:tabs>
              <w:spacing w:line="360" w:lineRule="auto"/>
              <w:ind w:firstLine="480" w:firstLineChars="200"/>
              <w:rPr>
                <w:color w:val="auto"/>
                <w:sz w:val="24"/>
              </w:rPr>
            </w:pPr>
            <w:r>
              <w:rPr>
                <w:rFonts w:hint="eastAsia"/>
                <w:color w:val="auto"/>
                <w:sz w:val="24"/>
              </w:rPr>
              <w:t>1、大气污染物</w:t>
            </w:r>
          </w:p>
          <w:p w14:paraId="0C10D7E5">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项目施工过程可分为土方挖掘、主体结构和内外装修三个主要阶段。主要的大气污染源包括：施工开挖机械及运输车辆所带来的扬尘和废气；施工建筑材料(水泥、石灰、砂石料)的装卸、运输、开挖弃土的堆积以及运输过程造成物料的扬起和洒落等。工程建设完成后，除永久性占地为持续性影响外，其它影响仅在施工期内存在，并且影响范围小。</w:t>
            </w:r>
          </w:p>
          <w:p w14:paraId="50B95F72">
            <w:pPr>
              <w:keepNext w:val="0"/>
              <w:keepLines w:val="0"/>
              <w:suppressLineNumbers w:val="0"/>
              <w:shd w:val="clear"/>
              <w:spacing w:before="0" w:beforeAutospacing="0" w:after="0" w:afterAutospacing="0" w:line="360" w:lineRule="auto"/>
              <w:ind w:left="0" w:right="0" w:firstLine="480" w:firstLineChars="200"/>
              <w:rPr>
                <w:rFonts w:hint="eastAsia" w:hAnsi="宋体"/>
                <w:color w:val="auto"/>
                <w:sz w:val="24"/>
                <w:highlight w:val="none"/>
                <w:lang w:eastAsia="zh-CN"/>
              </w:rPr>
            </w:pPr>
            <w:r>
              <w:rPr>
                <w:rFonts w:hint="default" w:hAnsi="宋体"/>
                <w:color w:val="auto"/>
                <w:sz w:val="24"/>
                <w:highlight w:val="none"/>
              </w:rPr>
              <w:t>项目施工期大气环境保护对策措施</w:t>
            </w:r>
            <w:r>
              <w:rPr>
                <w:rFonts w:hint="eastAsia" w:hAnsi="宋体"/>
                <w:color w:val="auto"/>
                <w:sz w:val="24"/>
                <w:highlight w:val="none"/>
                <w:lang w:eastAsia="zh-CN"/>
              </w:rPr>
              <w:t>需满足</w:t>
            </w:r>
            <w:r>
              <w:rPr>
                <w:rFonts w:hint="default" w:hAnsi="宋体"/>
                <w:color w:val="auto"/>
                <w:sz w:val="24"/>
                <w:highlight w:val="none"/>
              </w:rPr>
              <w:t>《建设施工现场环境与卫生标准》（</w:t>
            </w:r>
            <w:r>
              <w:rPr>
                <w:rFonts w:hint="default"/>
                <w:color w:val="auto"/>
                <w:sz w:val="24"/>
                <w:highlight w:val="none"/>
              </w:rPr>
              <w:t>JGJ146-2004</w:t>
            </w:r>
            <w:r>
              <w:rPr>
                <w:rFonts w:hint="default" w:hAnsi="宋体"/>
                <w:color w:val="auto"/>
                <w:sz w:val="24"/>
                <w:highlight w:val="none"/>
              </w:rPr>
              <w:t>）中</w:t>
            </w:r>
            <w:r>
              <w:rPr>
                <w:rFonts w:hint="default"/>
                <w:color w:val="auto"/>
                <w:sz w:val="24"/>
                <w:highlight w:val="none"/>
              </w:rPr>
              <w:t xml:space="preserve">“3 </w:t>
            </w:r>
            <w:r>
              <w:rPr>
                <w:rFonts w:hint="default" w:hAnsi="宋体"/>
                <w:color w:val="auto"/>
                <w:sz w:val="24"/>
                <w:highlight w:val="none"/>
              </w:rPr>
              <w:t>环境保护</w:t>
            </w:r>
            <w:r>
              <w:rPr>
                <w:rFonts w:hint="default"/>
                <w:color w:val="auto"/>
                <w:sz w:val="24"/>
                <w:highlight w:val="none"/>
              </w:rPr>
              <w:t>”</w:t>
            </w:r>
            <w:r>
              <w:rPr>
                <w:rFonts w:hint="default" w:hAnsi="宋体"/>
                <w:color w:val="auto"/>
                <w:sz w:val="24"/>
                <w:highlight w:val="none"/>
              </w:rPr>
              <w:t>强制性条纹有关内容、《建筑工程绿色施工评价》中控制项规定、《大气污染防治行动计划》中</w:t>
            </w:r>
            <w:r>
              <w:rPr>
                <w:rFonts w:hint="default"/>
                <w:color w:val="auto"/>
                <w:sz w:val="24"/>
                <w:highlight w:val="none"/>
              </w:rPr>
              <w:t>“</w:t>
            </w:r>
            <w:r>
              <w:rPr>
                <w:rFonts w:hint="default" w:hAnsi="宋体"/>
                <w:color w:val="auto"/>
                <w:sz w:val="24"/>
                <w:highlight w:val="none"/>
              </w:rPr>
              <w:t>深化面源污染治理，综合整治城市扬尘。</w:t>
            </w:r>
            <w:r>
              <w:rPr>
                <w:rFonts w:hint="default"/>
                <w:color w:val="auto"/>
                <w:sz w:val="24"/>
                <w:highlight w:val="none"/>
              </w:rPr>
              <w:t>”</w:t>
            </w:r>
            <w:r>
              <w:rPr>
                <w:rFonts w:hint="default" w:hAnsi="宋体"/>
                <w:color w:val="auto"/>
                <w:sz w:val="24"/>
                <w:highlight w:val="none"/>
              </w:rPr>
              <w:t>的要求，其主要内容如下</w:t>
            </w:r>
            <w:r>
              <w:rPr>
                <w:rFonts w:hint="eastAsia" w:hAnsi="宋体"/>
                <w:color w:val="auto"/>
                <w:sz w:val="24"/>
                <w:highlight w:val="none"/>
                <w:lang w:eastAsia="zh-CN"/>
              </w:rPr>
              <w:t>：</w:t>
            </w:r>
          </w:p>
          <w:p w14:paraId="3617208A">
            <w:pPr>
              <w:keepNext w:val="0"/>
              <w:keepLines w:val="0"/>
              <w:suppressLineNumbers w:val="0"/>
              <w:shd w:val="clear"/>
              <w:spacing w:before="0" w:beforeAutospacing="0" w:after="0" w:afterAutospacing="0" w:line="360" w:lineRule="auto"/>
              <w:ind w:left="0" w:right="0" w:firstLine="480" w:firstLineChars="200"/>
              <w:rPr>
                <w:rFonts w:hint="default" w:hAnsi="宋体"/>
                <w:color w:val="auto"/>
                <w:sz w:val="24"/>
                <w:highlight w:val="none"/>
              </w:rPr>
            </w:pPr>
            <w:r>
              <w:rPr>
                <w:rFonts w:hint="default" w:hAnsi="宋体"/>
                <w:color w:val="auto"/>
                <w:sz w:val="24"/>
                <w:highlight w:val="none"/>
              </w:rPr>
              <w:t>①施工期应严格按照当地政府有关控制扬尘污染的规定，强化施工期环境管理，提高全员环保意识宣传和教育，制定合理施工计划，实行清洁生产、文明施工。</w:t>
            </w:r>
          </w:p>
          <w:p w14:paraId="5ACF57DD">
            <w:pPr>
              <w:keepNext w:val="0"/>
              <w:keepLines w:val="0"/>
              <w:suppressLineNumbers w:val="0"/>
              <w:shd w:val="clear"/>
              <w:spacing w:before="0" w:beforeAutospacing="0" w:after="0" w:afterAutospacing="0" w:line="360" w:lineRule="auto"/>
              <w:ind w:left="0" w:right="0" w:firstLine="480" w:firstLineChars="200"/>
              <w:rPr>
                <w:rFonts w:hint="default" w:hAnsi="宋体"/>
                <w:color w:val="auto"/>
                <w:sz w:val="24"/>
                <w:highlight w:val="none"/>
              </w:rPr>
            </w:pPr>
            <w:r>
              <w:rPr>
                <w:rFonts w:hint="default" w:hAnsi="宋体"/>
                <w:color w:val="auto"/>
                <w:sz w:val="24"/>
                <w:highlight w:val="none"/>
              </w:rPr>
              <w:t>②项目土建施工时应根据具体开挖位置进行有序施工，避免一次性大范围剥离地表砾石，导致地面扬尘难以控制。</w:t>
            </w:r>
          </w:p>
          <w:p w14:paraId="2F43B6E1">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hAnsi="宋体"/>
                <w:color w:val="auto"/>
                <w:sz w:val="24"/>
                <w:highlight w:val="none"/>
              </w:rPr>
              <w:t>③</w:t>
            </w:r>
            <w:r>
              <w:rPr>
                <w:rFonts w:hint="default" w:hAnsi="宋体"/>
                <w:color w:val="auto"/>
                <w:sz w:val="24"/>
                <w:highlight w:val="none"/>
              </w:rPr>
              <w:t>施工工地周边百分百围挡，建设工程施工现场应全封闭设置围挡墙，严禁敞开式作业，施工现场地面百分之百硬化。施工现场道路应进行简易地面硬化，并辅以洒水等降尘措施，并且每日洒水次数不应少于</w:t>
            </w:r>
            <w:r>
              <w:rPr>
                <w:rFonts w:hint="default"/>
                <w:color w:val="auto"/>
                <w:sz w:val="24"/>
                <w:highlight w:val="none"/>
              </w:rPr>
              <w:t>6</w:t>
            </w:r>
            <w:r>
              <w:rPr>
                <w:rFonts w:hint="default" w:hAnsi="宋体"/>
                <w:color w:val="auto"/>
                <w:sz w:val="24"/>
                <w:highlight w:val="none"/>
              </w:rPr>
              <w:t>次；物料堆放百分百覆盖，施工过程中堆放的渣土、废料、垃圾等易产生扬尘的物质，应当采取防尘措施，如加盖保护网、喷淋保湿等，防止扬尘污染，并及时清运，竣工后应及时清理和平整场地；出入车辆百分之百冲洗，车辆出入应采取清洗措施，施工工地现场出入口地面必须硬化处理并设置车辆冲洗台以及配套的排水、泥浆沉淀设施，冲洗设施到位；车辆在驶出工地前，应将车轮、车身冲洗干净，不得带泥上路；防止泥土带出现场。</w:t>
            </w:r>
          </w:p>
          <w:p w14:paraId="589E4DE7">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ascii="宋体" w:hAnsi="宋体" w:cs="宋体"/>
                <w:color w:val="auto"/>
                <w:sz w:val="24"/>
                <w:highlight w:val="none"/>
              </w:rPr>
              <w:t>④</w:t>
            </w:r>
            <w:r>
              <w:rPr>
                <w:rFonts w:hint="default" w:hAnsi="宋体"/>
                <w:color w:val="auto"/>
                <w:sz w:val="24"/>
                <w:highlight w:val="none"/>
              </w:rPr>
              <w:t>运送土方、渣土等易产生扬尘的车辆应采取封闭或遮盖措施；易飞扬和细颗粒建筑材料应封闭存放、其余料应及时回收；出现五级以上大风天气时，禁止进行土方等易产生扬尘污染的施工作业。易产生扬尘的施工作业应采取遮挡、抑尘等措施。</w:t>
            </w:r>
          </w:p>
          <w:p w14:paraId="63E52315">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ascii="宋体" w:hAnsi="宋体" w:cs="宋体"/>
                <w:color w:val="auto"/>
                <w:sz w:val="24"/>
                <w:highlight w:val="none"/>
              </w:rPr>
              <w:t>⑤</w:t>
            </w:r>
            <w:r>
              <w:rPr>
                <w:rFonts w:hint="default" w:hAnsi="宋体"/>
                <w:color w:val="auto"/>
                <w:sz w:val="24"/>
                <w:highlight w:val="none"/>
              </w:rPr>
              <w:t>施工单位必须选用符合国家卫生防护标准的施工机械设备和运输工具，确保废气排放符合国家有关标准的规定。从事散装货物运输的车辆，特别是运输渣土、建筑垃圾、建筑材料、原煤等易产生扬尘物料的车辆，必须严密覆盖，严禁撒漏。</w:t>
            </w:r>
          </w:p>
          <w:p w14:paraId="7201D1A2">
            <w:pPr>
              <w:tabs>
                <w:tab w:val="center" w:pos="4736"/>
              </w:tabs>
              <w:spacing w:line="360" w:lineRule="auto"/>
              <w:ind w:firstLine="480" w:firstLineChars="200"/>
              <w:rPr>
                <w:color w:val="auto"/>
                <w:sz w:val="24"/>
              </w:rPr>
            </w:pPr>
            <w:r>
              <w:rPr>
                <w:rFonts w:hint="eastAsia"/>
                <w:color w:val="auto"/>
                <w:sz w:val="24"/>
              </w:rPr>
              <w:t>2、水污染物</w:t>
            </w:r>
          </w:p>
          <w:p w14:paraId="3CCCEE83">
            <w:pPr>
              <w:adjustRightInd w:val="0"/>
              <w:snapToGrid w:val="0"/>
              <w:spacing w:line="360" w:lineRule="auto"/>
              <w:ind w:firstLine="480" w:firstLineChars="200"/>
              <w:rPr>
                <w:rFonts w:hint="eastAsia"/>
                <w:bCs/>
                <w:color w:val="auto"/>
                <w:sz w:val="24"/>
              </w:rPr>
            </w:pPr>
            <w:r>
              <w:rPr>
                <w:rFonts w:hint="eastAsia"/>
                <w:bCs/>
                <w:color w:val="auto"/>
                <w:sz w:val="24"/>
              </w:rPr>
              <w:t>施工期废水主要为生产废水和生活污水。施工期产生的生产废水主要为施工设备冲洗过程中产生的废水、水泥养护用水、管道闭水实验产生的废水等。</w:t>
            </w:r>
          </w:p>
          <w:p w14:paraId="276B0EB0">
            <w:pPr>
              <w:adjustRightInd w:val="0"/>
              <w:snapToGrid w:val="0"/>
              <w:spacing w:line="360" w:lineRule="auto"/>
              <w:ind w:firstLine="480" w:firstLineChars="200"/>
              <w:rPr>
                <w:rFonts w:hint="eastAsia"/>
                <w:bCs/>
                <w:color w:val="auto"/>
                <w:sz w:val="24"/>
              </w:rPr>
            </w:pPr>
            <w:r>
              <w:rPr>
                <w:rFonts w:hint="eastAsia"/>
                <w:bCs/>
                <w:color w:val="auto"/>
                <w:sz w:val="24"/>
              </w:rPr>
              <w:t>（1）施工废水</w:t>
            </w:r>
          </w:p>
          <w:p w14:paraId="33FFDDAE">
            <w:pPr>
              <w:adjustRightInd w:val="0"/>
              <w:snapToGrid w:val="0"/>
              <w:spacing w:line="360" w:lineRule="auto"/>
              <w:ind w:firstLine="480" w:firstLineChars="200"/>
              <w:rPr>
                <w:rFonts w:hint="eastAsia"/>
                <w:bCs/>
                <w:color w:val="auto"/>
                <w:sz w:val="24"/>
              </w:rPr>
            </w:pPr>
            <w:r>
              <w:rPr>
                <w:rFonts w:hint="eastAsia"/>
                <w:bCs/>
                <w:color w:val="auto"/>
                <w:sz w:val="24"/>
              </w:rPr>
              <w:t xml:space="preserve">施工期产生的生产废水主要为施工设备冲洗过程中产生的废水和水泥养护用水等。主要污染物为泥沙，水量不大。评价要求施工单位设置临时沉淀池，将生产废水沉淀处理后回用，作为车辆冲洗水或用于场地扬尘洒水，不外排。 </w:t>
            </w:r>
          </w:p>
          <w:p w14:paraId="55A46851">
            <w:pPr>
              <w:adjustRightInd w:val="0"/>
              <w:snapToGrid w:val="0"/>
              <w:spacing w:line="360" w:lineRule="auto"/>
              <w:ind w:firstLine="480" w:firstLineChars="200"/>
              <w:rPr>
                <w:rFonts w:hint="eastAsia"/>
                <w:bCs/>
                <w:color w:val="auto"/>
                <w:sz w:val="24"/>
              </w:rPr>
            </w:pPr>
            <w:r>
              <w:rPr>
                <w:rFonts w:hint="eastAsia"/>
                <w:bCs/>
                <w:color w:val="auto"/>
                <w:sz w:val="24"/>
              </w:rPr>
              <w:t>（2）生活污水</w:t>
            </w:r>
          </w:p>
          <w:p w14:paraId="43E064C0">
            <w:pPr>
              <w:adjustRightInd w:val="0"/>
              <w:snapToGrid w:val="0"/>
              <w:spacing w:line="360" w:lineRule="auto"/>
              <w:ind w:firstLine="480" w:firstLineChars="200"/>
              <w:rPr>
                <w:rFonts w:hint="eastAsia"/>
                <w:bCs/>
                <w:color w:val="auto"/>
                <w:sz w:val="24"/>
              </w:rPr>
            </w:pPr>
            <w:r>
              <w:rPr>
                <w:rFonts w:hint="eastAsia"/>
                <w:bCs/>
                <w:color w:val="auto"/>
                <w:sz w:val="24"/>
              </w:rPr>
              <w:t>本项目设置施工营地，本项目施工人员约为80人，生活用水取100L/人·d，生活污水排放量按用水量的80％计，则生活污水排放量共6.4m</w:t>
            </w:r>
            <w:r>
              <w:rPr>
                <w:rFonts w:hint="eastAsia"/>
                <w:bCs/>
                <w:color w:val="auto"/>
                <w:sz w:val="24"/>
                <w:vertAlign w:val="superscript"/>
              </w:rPr>
              <w:t>3</w:t>
            </w:r>
            <w:r>
              <w:rPr>
                <w:rFonts w:hint="eastAsia"/>
                <w:bCs/>
                <w:color w:val="auto"/>
                <w:sz w:val="24"/>
              </w:rPr>
              <w:t>/d。本项目施工现场设施工营地，施工建设应优先建设厂内综合办公楼，并采用综合楼盥洗室、厕所等设施处理施工人员生活废水。在建设综合楼前，施工人员生活废水通过建设临时防渗化粪池收集，由吸污车定期清运至周边污水处理厂处置。</w:t>
            </w:r>
          </w:p>
          <w:p w14:paraId="65FFEC22">
            <w:pPr>
              <w:adjustRightInd w:val="0"/>
              <w:snapToGrid w:val="0"/>
              <w:spacing w:line="360" w:lineRule="auto"/>
              <w:ind w:firstLine="480" w:firstLineChars="200"/>
              <w:rPr>
                <w:rFonts w:hint="eastAsia"/>
                <w:bCs/>
                <w:color w:val="auto"/>
                <w:sz w:val="24"/>
              </w:rPr>
            </w:pPr>
            <w:r>
              <w:rPr>
                <w:rFonts w:hint="eastAsia"/>
                <w:bCs/>
                <w:color w:val="auto"/>
                <w:sz w:val="24"/>
              </w:rPr>
              <w:t>为减小施工废水对周围环境的影响，建设单位拟采取以下措施：</w:t>
            </w:r>
          </w:p>
          <w:p w14:paraId="227AC345">
            <w:pPr>
              <w:adjustRightInd w:val="0"/>
              <w:snapToGrid w:val="0"/>
              <w:spacing w:line="360" w:lineRule="auto"/>
              <w:ind w:firstLine="480" w:firstLineChars="200"/>
              <w:rPr>
                <w:rFonts w:hint="eastAsia"/>
                <w:bCs/>
                <w:color w:val="auto"/>
                <w:sz w:val="24"/>
              </w:rPr>
            </w:pPr>
            <w:r>
              <w:rPr>
                <w:rFonts w:hint="eastAsia"/>
                <w:bCs/>
                <w:color w:val="auto"/>
                <w:sz w:val="24"/>
              </w:rPr>
              <w:t>①施工现场不进行机械维修，进行设备及车辆冲洗时应固定地点，并设置防渗沉淀池，施工废水经沉淀后循环使用或用于洒水降尘。</w:t>
            </w:r>
          </w:p>
          <w:p w14:paraId="53F29107">
            <w:pPr>
              <w:adjustRightInd w:val="0"/>
              <w:snapToGrid w:val="0"/>
              <w:spacing w:line="360" w:lineRule="auto"/>
              <w:ind w:firstLine="480" w:firstLineChars="200"/>
              <w:rPr>
                <w:rFonts w:hint="eastAsia"/>
                <w:bCs/>
                <w:color w:val="auto"/>
                <w:sz w:val="24"/>
              </w:rPr>
            </w:pPr>
            <w:r>
              <w:rPr>
                <w:rFonts w:hint="eastAsia"/>
                <w:bCs/>
                <w:color w:val="auto"/>
                <w:sz w:val="24"/>
              </w:rPr>
              <w:t>②施工基坑严格管理，做好防渗防漏处理，以防污染土壤和地下水环境。</w:t>
            </w:r>
          </w:p>
          <w:p w14:paraId="65EBE13B">
            <w:pPr>
              <w:adjustRightInd w:val="0"/>
              <w:snapToGrid w:val="0"/>
              <w:spacing w:line="360" w:lineRule="auto"/>
              <w:ind w:firstLine="480" w:firstLineChars="200"/>
              <w:rPr>
                <w:rFonts w:hint="eastAsia"/>
                <w:bCs/>
                <w:color w:val="auto"/>
                <w:sz w:val="24"/>
              </w:rPr>
            </w:pPr>
            <w:r>
              <w:rPr>
                <w:rFonts w:hint="eastAsia"/>
                <w:bCs/>
                <w:color w:val="auto"/>
                <w:sz w:val="24"/>
              </w:rPr>
              <w:t>③现场存放的油料和化学溶剂等物品设专门的库房，地面做防渗漏处理。废弃的油料和化学溶剂集中处理，不得随意倾倒。</w:t>
            </w:r>
          </w:p>
          <w:p w14:paraId="0A9BC25C">
            <w:pPr>
              <w:adjustRightInd w:val="0"/>
              <w:snapToGrid w:val="0"/>
              <w:spacing w:line="360" w:lineRule="auto"/>
              <w:ind w:firstLine="480" w:firstLineChars="200"/>
              <w:rPr>
                <w:rFonts w:hint="eastAsia"/>
                <w:bCs/>
                <w:color w:val="auto"/>
                <w:sz w:val="24"/>
              </w:rPr>
            </w:pPr>
            <w:r>
              <w:rPr>
                <w:rFonts w:hint="eastAsia"/>
                <w:bCs/>
                <w:color w:val="auto"/>
                <w:sz w:val="24"/>
              </w:rPr>
              <w:t>④不利用生活垃圾和废弃物回填沟、坑等。</w:t>
            </w:r>
          </w:p>
          <w:p w14:paraId="3FDAE895">
            <w:pPr>
              <w:adjustRightInd w:val="0"/>
              <w:snapToGrid w:val="0"/>
              <w:spacing w:line="360" w:lineRule="auto"/>
              <w:ind w:firstLine="480" w:firstLineChars="200"/>
              <w:rPr>
                <w:rFonts w:hint="eastAsia"/>
                <w:bCs/>
                <w:color w:val="auto"/>
                <w:sz w:val="24"/>
              </w:rPr>
            </w:pPr>
            <w:r>
              <w:rPr>
                <w:rFonts w:hint="eastAsia"/>
                <w:bCs/>
                <w:color w:val="auto"/>
                <w:sz w:val="24"/>
              </w:rPr>
              <w:t>采取以上措施后施工废水将得到妥善处理，对周围环境的影响较小，措施在技术上可行。</w:t>
            </w:r>
          </w:p>
          <w:p w14:paraId="4D696213">
            <w:pPr>
              <w:tabs>
                <w:tab w:val="center" w:pos="4736"/>
              </w:tabs>
              <w:spacing w:line="360" w:lineRule="auto"/>
              <w:ind w:firstLine="480" w:firstLineChars="200"/>
              <w:rPr>
                <w:color w:val="auto"/>
                <w:sz w:val="24"/>
              </w:rPr>
            </w:pPr>
            <w:r>
              <w:rPr>
                <w:rFonts w:hint="eastAsia"/>
                <w:color w:val="auto"/>
                <w:sz w:val="24"/>
              </w:rPr>
              <w:t>3、噪声</w:t>
            </w:r>
          </w:p>
          <w:p w14:paraId="4EDD9343">
            <w:pPr>
              <w:spacing w:line="360" w:lineRule="auto"/>
              <w:ind w:firstLine="480" w:firstLineChars="200"/>
              <w:rPr>
                <w:rFonts w:hint="eastAsia"/>
                <w:color w:val="auto"/>
                <w:sz w:val="24"/>
              </w:rPr>
            </w:pPr>
            <w:r>
              <w:rPr>
                <w:rFonts w:hint="eastAsia"/>
                <w:color w:val="auto"/>
                <w:sz w:val="24"/>
                <w:szCs w:val="24"/>
              </w:rPr>
              <w:t>本项目</w:t>
            </w:r>
            <w:r>
              <w:rPr>
                <w:rFonts w:hint="default"/>
                <w:color w:val="auto"/>
                <w:sz w:val="24"/>
                <w:szCs w:val="24"/>
              </w:rPr>
              <w:t>施工</w:t>
            </w:r>
            <w:r>
              <w:rPr>
                <w:rFonts w:hint="eastAsia"/>
                <w:color w:val="auto"/>
                <w:sz w:val="24"/>
                <w:szCs w:val="24"/>
              </w:rPr>
              <w:t>过程</w:t>
            </w:r>
            <w:r>
              <w:rPr>
                <w:rFonts w:hint="default"/>
                <w:color w:val="auto"/>
                <w:sz w:val="24"/>
                <w:szCs w:val="24"/>
              </w:rPr>
              <w:t>中产生的噪声</w:t>
            </w:r>
            <w:r>
              <w:rPr>
                <w:rFonts w:hint="eastAsia"/>
                <w:color w:val="auto"/>
                <w:sz w:val="24"/>
                <w:szCs w:val="24"/>
              </w:rPr>
              <w:t>主要</w:t>
            </w:r>
            <w:r>
              <w:rPr>
                <w:rFonts w:hint="default"/>
                <w:color w:val="auto"/>
                <w:sz w:val="24"/>
                <w:szCs w:val="24"/>
              </w:rPr>
              <w:t>为</w:t>
            </w:r>
            <w:r>
              <w:rPr>
                <w:rFonts w:hint="eastAsia"/>
                <w:color w:val="auto"/>
                <w:sz w:val="24"/>
                <w:szCs w:val="24"/>
              </w:rPr>
              <w:t>各种</w:t>
            </w:r>
            <w:r>
              <w:rPr>
                <w:rFonts w:hint="default"/>
                <w:color w:val="auto"/>
                <w:sz w:val="24"/>
                <w:szCs w:val="24"/>
              </w:rPr>
              <w:t>机械设备产生的噪声</w:t>
            </w:r>
            <w:r>
              <w:rPr>
                <w:rFonts w:hint="eastAsia"/>
                <w:color w:val="auto"/>
                <w:sz w:val="24"/>
                <w:szCs w:val="24"/>
              </w:rPr>
              <w:t>，</w:t>
            </w:r>
            <w:r>
              <w:rPr>
                <w:rFonts w:hint="default"/>
                <w:color w:val="auto"/>
                <w:sz w:val="24"/>
                <w:szCs w:val="24"/>
              </w:rPr>
              <w:t>噪声值</w:t>
            </w:r>
            <w:r>
              <w:rPr>
                <w:rFonts w:hint="eastAsia"/>
                <w:color w:val="auto"/>
                <w:sz w:val="24"/>
                <w:szCs w:val="24"/>
              </w:rPr>
              <w:t>在</w:t>
            </w:r>
            <w:r>
              <w:rPr>
                <w:rFonts w:hint="default"/>
                <w:color w:val="auto"/>
                <w:sz w:val="24"/>
                <w:szCs w:val="24"/>
              </w:rPr>
              <w:t>85~112dB</w:t>
            </w:r>
            <w:r>
              <w:rPr>
                <w:rFonts w:hint="eastAsia"/>
                <w:color w:val="auto"/>
                <w:sz w:val="24"/>
                <w:szCs w:val="24"/>
              </w:rPr>
              <w:t>（A）之间。</w:t>
            </w:r>
            <w:r>
              <w:rPr>
                <w:rFonts w:hint="eastAsia"/>
                <w:color w:val="auto"/>
                <w:sz w:val="24"/>
              </w:rPr>
              <w:t>施工机械噪声级较高，对空旷地带声传播距离较远，昼间施工机械影响范围主要集中在60m范围内，夜间若施工影响范围则较远，部分机械超标距离达到200m外。为降低本工程施工期噪声的环境影响，可采取以下控制措施：</w:t>
            </w:r>
          </w:p>
          <w:p w14:paraId="63AD31F7">
            <w:pPr>
              <w:spacing w:line="360" w:lineRule="auto"/>
              <w:ind w:firstLine="480" w:firstLineChars="200"/>
              <w:rPr>
                <w:rFonts w:hint="eastAsia"/>
                <w:color w:val="auto"/>
                <w:sz w:val="24"/>
              </w:rPr>
            </w:pPr>
            <w:r>
              <w:rPr>
                <w:rFonts w:hint="eastAsia"/>
                <w:color w:val="auto"/>
                <w:sz w:val="24"/>
              </w:rPr>
              <w:t>①设备选型上应优选低噪声设备，对动力机械设备进行定期的维修、养护。</w:t>
            </w:r>
          </w:p>
          <w:p w14:paraId="727449FD">
            <w:pPr>
              <w:spacing w:line="360" w:lineRule="auto"/>
              <w:ind w:firstLine="480" w:firstLineChars="200"/>
              <w:rPr>
                <w:rFonts w:hint="eastAsia"/>
                <w:color w:val="auto"/>
                <w:sz w:val="24"/>
              </w:rPr>
            </w:pPr>
            <w:r>
              <w:rPr>
                <w:rFonts w:hint="eastAsia"/>
                <w:color w:val="auto"/>
                <w:sz w:val="24"/>
              </w:rPr>
              <w:t>②合理布局施工现场，避免在同一地点安排大量动力机械设备同时施工，以免局部声级过高。</w:t>
            </w:r>
          </w:p>
          <w:p w14:paraId="5A682B81">
            <w:pPr>
              <w:spacing w:line="360" w:lineRule="auto"/>
              <w:ind w:firstLine="480" w:firstLineChars="200"/>
              <w:rPr>
                <w:rFonts w:hint="eastAsia"/>
                <w:color w:val="auto"/>
                <w:sz w:val="24"/>
              </w:rPr>
            </w:pPr>
            <w:r>
              <w:rPr>
                <w:rFonts w:hint="eastAsia"/>
                <w:color w:val="auto"/>
                <w:sz w:val="24"/>
              </w:rPr>
              <w:t>③尽量压缩施工区域汽车数量与行车密度，控制汽车鸣笛；运输车辆的进出应规定进、出路线，行驶道路保持平坦，减少车辆的颠簸噪声和产生振动。</w:t>
            </w:r>
          </w:p>
          <w:p w14:paraId="47F3AA90">
            <w:pPr>
              <w:spacing w:line="360" w:lineRule="auto"/>
              <w:ind w:firstLine="480" w:firstLineChars="200"/>
              <w:rPr>
                <w:rFonts w:hint="eastAsia"/>
                <w:color w:val="auto"/>
                <w:sz w:val="24"/>
              </w:rPr>
            </w:pPr>
            <w:r>
              <w:rPr>
                <w:rFonts w:hint="eastAsia"/>
                <w:color w:val="auto"/>
                <w:sz w:val="24"/>
              </w:rPr>
              <w:t>④若是需要夜间施工，需到区县级环保局办理施工许可证；厂界周边设立围墙以减少噪声源的影响范围。</w:t>
            </w:r>
          </w:p>
          <w:p w14:paraId="7565920D">
            <w:pPr>
              <w:tabs>
                <w:tab w:val="center" w:pos="4736"/>
              </w:tabs>
              <w:spacing w:line="360" w:lineRule="auto"/>
              <w:ind w:firstLine="480" w:firstLineChars="200"/>
              <w:rPr>
                <w:color w:val="auto"/>
                <w:sz w:val="24"/>
              </w:rPr>
            </w:pPr>
            <w:r>
              <w:rPr>
                <w:rFonts w:hint="eastAsia"/>
                <w:color w:val="auto"/>
                <w:sz w:val="24"/>
              </w:rPr>
              <w:t>以上措施均具有较好的应用效果，通过对噪声的控制，厂界噪声可以达到《建筑施工场界环境噪声排放标准》（GB12523-2011）中相关限值，施工期噪声对周围声环境的影响不大。</w:t>
            </w:r>
          </w:p>
          <w:p w14:paraId="33C7A0BA">
            <w:pPr>
              <w:tabs>
                <w:tab w:val="center" w:pos="4736"/>
              </w:tabs>
              <w:spacing w:line="360" w:lineRule="auto"/>
              <w:ind w:right="105" w:rightChars="50" w:firstLine="480" w:firstLineChars="200"/>
              <w:rPr>
                <w:color w:val="auto"/>
                <w:sz w:val="24"/>
              </w:rPr>
            </w:pPr>
            <w:r>
              <w:rPr>
                <w:rFonts w:hint="eastAsia"/>
                <w:color w:val="auto"/>
                <w:sz w:val="24"/>
              </w:rPr>
              <w:t>4、固体废弃物</w:t>
            </w:r>
          </w:p>
          <w:p w14:paraId="199EE159">
            <w:pPr>
              <w:pStyle w:val="49"/>
              <w:spacing w:line="360" w:lineRule="auto"/>
              <w:rPr>
                <w:rFonts w:hint="eastAsia"/>
                <w:bCs/>
                <w:color w:val="auto"/>
              </w:rPr>
            </w:pPr>
            <w:r>
              <w:rPr>
                <w:rFonts w:hint="eastAsia"/>
                <w:bCs/>
                <w:color w:val="auto"/>
              </w:rPr>
              <w:t>施工期固体废物主要来源于：1、施工活动产生的废弃建筑材料如砂石、石灰、废砖、土石方等；2、施工人员工作在施工现场将产生一定数量的生活垃圾。</w:t>
            </w:r>
          </w:p>
          <w:p w14:paraId="2C8BA157">
            <w:pPr>
              <w:pStyle w:val="49"/>
              <w:spacing w:line="360" w:lineRule="auto"/>
              <w:rPr>
                <w:rFonts w:hint="eastAsia"/>
                <w:bCs/>
                <w:color w:val="auto"/>
              </w:rPr>
            </w:pPr>
            <w:r>
              <w:rPr>
                <w:rFonts w:hint="eastAsia"/>
                <w:bCs/>
                <w:color w:val="auto"/>
              </w:rPr>
              <w:t>为减少施工固体废物对环境的影响，评价要求施工单位单位拟采取以下措施：</w:t>
            </w:r>
          </w:p>
          <w:p w14:paraId="36BCDC7C">
            <w:pPr>
              <w:pStyle w:val="49"/>
              <w:spacing w:line="360" w:lineRule="auto"/>
              <w:rPr>
                <w:rFonts w:hint="eastAsia"/>
                <w:bCs/>
                <w:color w:val="auto"/>
              </w:rPr>
            </w:pPr>
            <w:r>
              <w:rPr>
                <w:rFonts w:hint="eastAsia"/>
                <w:bCs/>
                <w:color w:val="auto"/>
              </w:rPr>
              <w:t>（1）施工生产废料处理</w:t>
            </w:r>
          </w:p>
          <w:p w14:paraId="7AD17B00">
            <w:pPr>
              <w:pStyle w:val="49"/>
              <w:spacing w:line="360" w:lineRule="auto"/>
              <w:rPr>
                <w:rFonts w:hint="eastAsia"/>
                <w:bCs/>
                <w:color w:val="auto"/>
              </w:rPr>
            </w:pPr>
            <w:r>
              <w:rPr>
                <w:rFonts w:hint="eastAsia"/>
                <w:bCs/>
                <w:color w:val="auto"/>
              </w:rPr>
              <w:t>建筑垃圾应分类收集、集中堆放。首先应考虑废料的回收利用，对钢筋、钢板、木材等下角料可分类回收，交废物收购站处理；对建筑垃圾，如废砖、含砖、石、砂的杂土应集中堆放，定时清运，以免影响施工和环境卫生。</w:t>
            </w:r>
          </w:p>
          <w:p w14:paraId="54A57A5E">
            <w:pPr>
              <w:pStyle w:val="49"/>
              <w:spacing w:line="360" w:lineRule="auto"/>
              <w:rPr>
                <w:rFonts w:hint="eastAsia"/>
                <w:bCs/>
                <w:color w:val="auto"/>
              </w:rPr>
            </w:pPr>
            <w:r>
              <w:rPr>
                <w:rFonts w:hint="eastAsia"/>
                <w:bCs/>
                <w:color w:val="auto"/>
              </w:rPr>
              <w:t>（2）施工生活垃圾处置</w:t>
            </w:r>
          </w:p>
          <w:p w14:paraId="3F95719A">
            <w:pPr>
              <w:pStyle w:val="49"/>
              <w:spacing w:line="360" w:lineRule="auto"/>
              <w:rPr>
                <w:rFonts w:hint="eastAsia"/>
                <w:bCs/>
                <w:color w:val="auto"/>
              </w:rPr>
            </w:pPr>
            <w:r>
              <w:rPr>
                <w:rFonts w:hint="eastAsia"/>
                <w:bCs/>
                <w:color w:val="auto"/>
              </w:rPr>
              <w:t>生活垃圾：施工人员施工期间生活垃圾产生量约40kg/d。由施工营地设置的垃圾桶统一收集，定期运往当地环卫部门指定的垃圾场进行卫生填埋处置后，不会对项目周围环境造成明显影响。</w:t>
            </w:r>
          </w:p>
          <w:p w14:paraId="026A98DA">
            <w:pPr>
              <w:pStyle w:val="49"/>
              <w:spacing w:line="360" w:lineRule="auto"/>
              <w:rPr>
                <w:rFonts w:hint="eastAsia"/>
                <w:bCs/>
                <w:color w:val="auto"/>
              </w:rPr>
            </w:pPr>
            <w:r>
              <w:rPr>
                <w:rFonts w:hint="eastAsia"/>
                <w:bCs/>
                <w:color w:val="auto"/>
              </w:rPr>
              <w:t>（3）完工清场的固体废物处理处置</w:t>
            </w:r>
          </w:p>
          <w:p w14:paraId="46BA973E">
            <w:pPr>
              <w:pStyle w:val="49"/>
              <w:spacing w:line="360" w:lineRule="auto"/>
              <w:rPr>
                <w:rFonts w:hint="eastAsia"/>
                <w:bCs/>
                <w:color w:val="auto"/>
              </w:rPr>
            </w:pPr>
            <w:r>
              <w:rPr>
                <w:rFonts w:hint="eastAsia"/>
                <w:bCs/>
                <w:color w:val="auto"/>
              </w:rPr>
              <w:t>工程完工后临时设施拆除时应防止扬尘、噪声及废弃物污染。储桨池等施工生产用地，应撤离所有设施和部件，四周溢流砂桨的泥土全部挖除。</w:t>
            </w:r>
          </w:p>
          <w:p w14:paraId="69835CAE">
            <w:pPr>
              <w:pStyle w:val="49"/>
              <w:spacing w:line="360" w:lineRule="auto"/>
              <w:rPr>
                <w:rFonts w:hint="eastAsia"/>
                <w:bCs/>
                <w:color w:val="auto"/>
              </w:rPr>
            </w:pPr>
            <w:r>
              <w:rPr>
                <w:rFonts w:hint="eastAsia"/>
                <w:bCs/>
                <w:color w:val="auto"/>
              </w:rPr>
              <w:t>（4）对各种车辆、设备使用的燃油、机油、润滑油等应加强管理，所有废弃油类均要集中收集后交给有资质的单位处置，不得随意倾倒。</w:t>
            </w:r>
          </w:p>
          <w:p w14:paraId="69AEFF89">
            <w:pPr>
              <w:pStyle w:val="49"/>
              <w:spacing w:line="360" w:lineRule="auto"/>
              <w:rPr>
                <w:rFonts w:hint="eastAsia"/>
                <w:bCs/>
                <w:color w:val="auto"/>
                <w:lang w:eastAsia="zh-CN"/>
              </w:rPr>
            </w:pPr>
            <w:r>
              <w:rPr>
                <w:rFonts w:hint="eastAsia"/>
                <w:bCs/>
                <w:color w:val="auto"/>
              </w:rPr>
              <w:t>采取以上措施后施工固废将得到合理处置，对周围环境的影响较小，措施在技术上可行</w:t>
            </w:r>
            <w:r>
              <w:rPr>
                <w:rFonts w:hint="eastAsia"/>
                <w:bCs/>
                <w:color w:val="auto"/>
                <w:lang w:eastAsia="zh-CN"/>
              </w:rPr>
              <w:t>。</w:t>
            </w:r>
          </w:p>
          <w:p w14:paraId="3D057BDC">
            <w:pPr>
              <w:pStyle w:val="49"/>
              <w:spacing w:line="360" w:lineRule="auto"/>
              <w:rPr>
                <w:rFonts w:hint="eastAsia"/>
                <w:bCs/>
                <w:color w:val="auto"/>
                <w:lang w:eastAsia="zh-CN"/>
              </w:rPr>
            </w:pPr>
          </w:p>
          <w:p w14:paraId="411DA8AD">
            <w:pPr>
              <w:pStyle w:val="49"/>
              <w:spacing w:line="360" w:lineRule="auto"/>
              <w:rPr>
                <w:rFonts w:hint="eastAsia"/>
                <w:bCs/>
                <w:color w:val="auto"/>
                <w:lang w:eastAsia="zh-CN"/>
              </w:rPr>
            </w:pPr>
          </w:p>
          <w:p w14:paraId="42A52C3D">
            <w:pPr>
              <w:pStyle w:val="49"/>
              <w:spacing w:line="360" w:lineRule="auto"/>
              <w:ind w:left="0" w:leftChars="0" w:firstLine="0" w:firstLineChars="0"/>
              <w:rPr>
                <w:rFonts w:ascii="宋体" w:hAnsi="宋体" w:cs="宋体"/>
                <w:bCs/>
                <w:color w:val="auto"/>
                <w:spacing w:val="-10"/>
                <w:szCs w:val="21"/>
              </w:rPr>
            </w:pPr>
          </w:p>
          <w:p w14:paraId="33F68F15">
            <w:pPr>
              <w:pStyle w:val="49"/>
              <w:spacing w:line="480" w:lineRule="exact"/>
              <w:ind w:firstLine="440"/>
              <w:rPr>
                <w:rFonts w:ascii="宋体" w:hAnsi="宋体" w:cs="宋体"/>
                <w:bCs/>
                <w:color w:val="auto"/>
                <w:spacing w:val="-10"/>
                <w:szCs w:val="21"/>
              </w:rPr>
            </w:pPr>
          </w:p>
          <w:p w14:paraId="2D42C0DF">
            <w:pPr>
              <w:pStyle w:val="49"/>
              <w:spacing w:line="480" w:lineRule="exact"/>
              <w:ind w:firstLine="440"/>
              <w:rPr>
                <w:rFonts w:ascii="宋体" w:hAnsi="宋体" w:cs="宋体"/>
                <w:bCs/>
                <w:color w:val="auto"/>
                <w:spacing w:val="-10"/>
                <w:szCs w:val="21"/>
              </w:rPr>
            </w:pPr>
          </w:p>
          <w:p w14:paraId="127B381A">
            <w:pPr>
              <w:pStyle w:val="49"/>
              <w:spacing w:line="480" w:lineRule="exact"/>
              <w:ind w:firstLine="440"/>
              <w:rPr>
                <w:rFonts w:ascii="宋体" w:hAnsi="宋体" w:cs="宋体"/>
                <w:bCs/>
                <w:color w:val="auto"/>
                <w:spacing w:val="-10"/>
                <w:szCs w:val="21"/>
              </w:rPr>
            </w:pPr>
          </w:p>
          <w:p w14:paraId="0798A3D5">
            <w:pPr>
              <w:pStyle w:val="49"/>
              <w:spacing w:line="480" w:lineRule="exact"/>
              <w:ind w:firstLine="440"/>
              <w:rPr>
                <w:rFonts w:ascii="宋体" w:hAnsi="宋体" w:cs="宋体"/>
                <w:bCs/>
                <w:color w:val="auto"/>
                <w:spacing w:val="-10"/>
                <w:szCs w:val="21"/>
              </w:rPr>
            </w:pPr>
          </w:p>
          <w:p w14:paraId="67F009B2">
            <w:pPr>
              <w:pStyle w:val="49"/>
              <w:spacing w:line="480" w:lineRule="exact"/>
              <w:ind w:firstLine="440"/>
              <w:rPr>
                <w:rFonts w:ascii="宋体" w:hAnsi="宋体" w:cs="宋体"/>
                <w:bCs/>
                <w:color w:val="auto"/>
                <w:spacing w:val="-10"/>
                <w:szCs w:val="21"/>
              </w:rPr>
            </w:pPr>
          </w:p>
          <w:p w14:paraId="7CCA296C">
            <w:pPr>
              <w:pStyle w:val="49"/>
              <w:spacing w:line="480" w:lineRule="exact"/>
              <w:ind w:firstLine="440"/>
              <w:rPr>
                <w:rFonts w:ascii="宋体" w:hAnsi="宋体" w:cs="宋体"/>
                <w:bCs/>
                <w:color w:val="auto"/>
                <w:spacing w:val="-10"/>
                <w:szCs w:val="21"/>
              </w:rPr>
            </w:pPr>
          </w:p>
          <w:p w14:paraId="7EE51A62">
            <w:pPr>
              <w:pStyle w:val="49"/>
              <w:spacing w:line="480" w:lineRule="exact"/>
              <w:ind w:firstLine="440"/>
              <w:rPr>
                <w:rFonts w:ascii="宋体" w:hAnsi="宋体" w:cs="宋体"/>
                <w:bCs/>
                <w:color w:val="auto"/>
                <w:spacing w:val="-10"/>
                <w:szCs w:val="21"/>
              </w:rPr>
            </w:pPr>
          </w:p>
          <w:p w14:paraId="0BCE097E">
            <w:pPr>
              <w:pStyle w:val="49"/>
              <w:spacing w:line="480" w:lineRule="exact"/>
              <w:ind w:firstLine="440"/>
              <w:rPr>
                <w:rFonts w:ascii="宋体" w:hAnsi="宋体" w:cs="宋体"/>
                <w:bCs/>
                <w:color w:val="auto"/>
                <w:spacing w:val="-10"/>
                <w:szCs w:val="21"/>
              </w:rPr>
            </w:pPr>
          </w:p>
          <w:p w14:paraId="4E15CD98">
            <w:pPr>
              <w:pStyle w:val="49"/>
              <w:spacing w:line="480" w:lineRule="exact"/>
              <w:ind w:firstLine="440"/>
              <w:rPr>
                <w:rFonts w:ascii="宋体" w:hAnsi="宋体" w:cs="宋体"/>
                <w:bCs/>
                <w:color w:val="auto"/>
                <w:spacing w:val="-10"/>
                <w:szCs w:val="21"/>
              </w:rPr>
            </w:pPr>
          </w:p>
          <w:p w14:paraId="5FC7798A">
            <w:pPr>
              <w:pStyle w:val="49"/>
              <w:spacing w:line="480" w:lineRule="exact"/>
              <w:ind w:firstLine="440"/>
              <w:rPr>
                <w:rFonts w:ascii="宋体" w:hAnsi="宋体" w:cs="宋体"/>
                <w:bCs/>
                <w:color w:val="auto"/>
                <w:spacing w:val="-10"/>
                <w:szCs w:val="21"/>
              </w:rPr>
            </w:pPr>
          </w:p>
          <w:p w14:paraId="6EED4B4F">
            <w:pPr>
              <w:pStyle w:val="49"/>
              <w:spacing w:line="480" w:lineRule="exact"/>
              <w:ind w:left="0" w:leftChars="0" w:firstLine="0" w:firstLineChars="0"/>
              <w:rPr>
                <w:rFonts w:ascii="宋体" w:hAnsi="宋体" w:cs="宋体"/>
                <w:bCs/>
                <w:color w:val="auto"/>
                <w:spacing w:val="-10"/>
                <w:szCs w:val="21"/>
              </w:rPr>
            </w:pPr>
          </w:p>
        </w:tc>
      </w:tr>
      <w:tr w14:paraId="3A068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58" w:type="dxa"/>
            <w:tcMar>
              <w:left w:w="28" w:type="dxa"/>
              <w:right w:w="28" w:type="dxa"/>
            </w:tcMar>
            <w:vAlign w:val="center"/>
          </w:tcPr>
          <w:p w14:paraId="39EB908A">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运营</w:t>
            </w:r>
          </w:p>
          <w:p w14:paraId="0A7B8272">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期环</w:t>
            </w:r>
          </w:p>
          <w:p w14:paraId="370EB915">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境影</w:t>
            </w:r>
          </w:p>
          <w:p w14:paraId="3CAE42B1">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响和</w:t>
            </w:r>
          </w:p>
          <w:p w14:paraId="13B6BE73">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保护</w:t>
            </w:r>
          </w:p>
          <w:p w14:paraId="55330D8B">
            <w:pPr>
              <w:adjustRightInd w:val="0"/>
              <w:snapToGrid w:val="0"/>
              <w:jc w:val="center"/>
              <w:rPr>
                <w:rFonts w:ascii="宋体" w:hAnsi="宋体" w:cs="宋体"/>
                <w:bCs/>
                <w:color w:val="auto"/>
                <w:szCs w:val="21"/>
              </w:rPr>
            </w:pPr>
            <w:r>
              <w:rPr>
                <w:rFonts w:hint="eastAsia" w:ascii="宋体" w:hAnsi="宋体" w:cs="宋体"/>
                <w:bCs/>
                <w:color w:val="auto"/>
                <w:sz w:val="24"/>
                <w:szCs w:val="21"/>
              </w:rPr>
              <w:t>措施</w:t>
            </w:r>
          </w:p>
        </w:tc>
        <w:tc>
          <w:tcPr>
            <w:tcW w:w="8450" w:type="dxa"/>
            <w:vAlign w:val="center"/>
          </w:tcPr>
          <w:p w14:paraId="69BD088C">
            <w:pPr>
              <w:tabs>
                <w:tab w:val="center" w:pos="4736"/>
              </w:tabs>
              <w:spacing w:line="360" w:lineRule="auto"/>
              <w:ind w:firstLine="480" w:firstLineChars="200"/>
              <w:rPr>
                <w:rFonts w:hint="eastAsia"/>
                <w:color w:val="auto"/>
                <w:sz w:val="24"/>
                <w:lang w:eastAsia="zh-CN"/>
              </w:rPr>
            </w:pPr>
            <w:r>
              <w:rPr>
                <w:rFonts w:hint="eastAsia"/>
                <w:color w:val="auto"/>
                <w:sz w:val="24"/>
              </w:rPr>
              <w:t>根据该项目的工程概况和工艺流程特点，其主要污染源及污染因子识别见表</w:t>
            </w:r>
            <w:r>
              <w:rPr>
                <w:rFonts w:hint="eastAsia"/>
                <w:color w:val="auto"/>
                <w:sz w:val="24"/>
                <w:lang w:val="en-US" w:eastAsia="zh-CN"/>
              </w:rPr>
              <w:t>4-1</w:t>
            </w:r>
            <w:r>
              <w:rPr>
                <w:rFonts w:hint="eastAsia"/>
                <w:color w:val="auto"/>
                <w:sz w:val="24"/>
                <w:lang w:eastAsia="zh-CN"/>
              </w:rPr>
              <w:t>。</w:t>
            </w:r>
          </w:p>
          <w:p w14:paraId="26C0CD71">
            <w:pPr>
              <w:keepNext w:val="0"/>
              <w:keepLines w:val="0"/>
              <w:suppressLineNumbers w:val="0"/>
              <w:shd w:val="clear"/>
              <w:spacing w:before="0" w:beforeAutospacing="0" w:after="0" w:afterAutospacing="0" w:line="240" w:lineRule="auto"/>
              <w:ind w:left="0" w:right="110" w:firstLine="420" w:firstLineChars="200"/>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4-1</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项目运营期</w:t>
            </w:r>
            <w:r>
              <w:rPr>
                <w:rFonts w:hint="default" w:ascii="黑体" w:hAnsi="黑体" w:eastAsia="黑体" w:cs="Times New Roman"/>
                <w:color w:val="auto"/>
                <w:sz w:val="21"/>
                <w:szCs w:val="21"/>
                <w:highlight w:val="none"/>
              </w:rPr>
              <w:t xml:space="preserve">污染源与污染因子识别表 </w:t>
            </w:r>
          </w:p>
          <w:tbl>
            <w:tblPr>
              <w:tblStyle w:val="22"/>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343"/>
              <w:gridCol w:w="2250"/>
              <w:gridCol w:w="3043"/>
            </w:tblGrid>
            <w:tr w14:paraId="6FD366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Align w:val="center"/>
                </w:tcPr>
                <w:p w14:paraId="28A7664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343" w:type="dxa"/>
                  <w:vAlign w:val="center"/>
                </w:tcPr>
                <w:p w14:paraId="666F68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污染来源</w:t>
                  </w:r>
                </w:p>
              </w:tc>
              <w:tc>
                <w:tcPr>
                  <w:tcW w:w="2250" w:type="dxa"/>
                  <w:vAlign w:val="center"/>
                </w:tcPr>
                <w:p w14:paraId="0ED15A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污染物名称</w:t>
                  </w:r>
                </w:p>
              </w:tc>
              <w:tc>
                <w:tcPr>
                  <w:tcW w:w="3043" w:type="dxa"/>
                  <w:vAlign w:val="center"/>
                </w:tcPr>
                <w:p w14:paraId="52D313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污染因子</w:t>
                  </w:r>
                </w:p>
              </w:tc>
            </w:tr>
            <w:tr w14:paraId="16F716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restart"/>
                  <w:vAlign w:val="center"/>
                </w:tcPr>
                <w:p w14:paraId="0E1403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废气</w:t>
                  </w:r>
                </w:p>
              </w:tc>
              <w:tc>
                <w:tcPr>
                  <w:tcW w:w="2343" w:type="dxa"/>
                  <w:vAlign w:val="center"/>
                </w:tcPr>
                <w:p w14:paraId="0B2FEC8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棉杆上料</w:t>
                  </w:r>
                </w:p>
              </w:tc>
              <w:tc>
                <w:tcPr>
                  <w:tcW w:w="2250" w:type="dxa"/>
                  <w:vAlign w:val="center"/>
                </w:tcPr>
                <w:p w14:paraId="224B2E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上料粉尘</w:t>
                  </w:r>
                  <w:r>
                    <w:rPr>
                      <w:rFonts w:hint="eastAsia" w:cs="Times New Roman"/>
                      <w:color w:val="auto"/>
                      <w:sz w:val="21"/>
                      <w:szCs w:val="21"/>
                      <w:highlight w:val="none"/>
                      <w:lang w:val="en-US" w:eastAsia="zh-CN"/>
                    </w:rPr>
                    <w:t>G1</w:t>
                  </w:r>
                </w:p>
              </w:tc>
              <w:tc>
                <w:tcPr>
                  <w:tcW w:w="3043" w:type="dxa"/>
                  <w:vAlign w:val="center"/>
                </w:tcPr>
                <w:p w14:paraId="3A3D3F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r>
            <w:tr w14:paraId="5C9F44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1A3D3F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6B0983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棉杆炭化</w:t>
                  </w:r>
                </w:p>
              </w:tc>
              <w:tc>
                <w:tcPr>
                  <w:tcW w:w="2250" w:type="dxa"/>
                  <w:vAlign w:val="center"/>
                </w:tcPr>
                <w:p w14:paraId="2D07CC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炭化烟气</w:t>
                  </w:r>
                  <w:r>
                    <w:rPr>
                      <w:rFonts w:hint="eastAsia" w:cs="Times New Roman"/>
                      <w:color w:val="auto"/>
                      <w:sz w:val="21"/>
                      <w:szCs w:val="21"/>
                      <w:highlight w:val="none"/>
                      <w:lang w:val="en-US" w:eastAsia="zh-CN"/>
                    </w:rPr>
                    <w:t>G2</w:t>
                  </w:r>
                </w:p>
              </w:tc>
              <w:tc>
                <w:tcPr>
                  <w:tcW w:w="3043" w:type="dxa"/>
                  <w:vAlign w:val="center"/>
                </w:tcPr>
                <w:p w14:paraId="154ACB5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r>
                    <w:rPr>
                      <w:rFonts w:hint="eastAsia" w:cs="Times New Roman"/>
                      <w:color w:val="auto"/>
                      <w:sz w:val="21"/>
                      <w:szCs w:val="21"/>
                      <w:highlight w:val="none"/>
                      <w:lang w:val="en-US" w:eastAsia="zh-CN"/>
                    </w:rPr>
                    <w:t>、颗粒物</w:t>
                  </w:r>
                </w:p>
              </w:tc>
            </w:tr>
            <w:tr w14:paraId="40642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09E5D1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07F4B0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棉杆基炭破碎、成型</w:t>
                  </w:r>
                </w:p>
              </w:tc>
              <w:tc>
                <w:tcPr>
                  <w:tcW w:w="2250" w:type="dxa"/>
                  <w:vAlign w:val="center"/>
                </w:tcPr>
                <w:p w14:paraId="4D3F247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制炭粉尘</w:t>
                  </w:r>
                  <w:r>
                    <w:rPr>
                      <w:rFonts w:hint="eastAsia" w:cs="Times New Roman"/>
                      <w:color w:val="auto"/>
                      <w:sz w:val="21"/>
                      <w:szCs w:val="21"/>
                      <w:highlight w:val="none"/>
                      <w:lang w:val="en-US" w:eastAsia="zh-CN"/>
                    </w:rPr>
                    <w:t>G3</w:t>
                  </w:r>
                </w:p>
              </w:tc>
              <w:tc>
                <w:tcPr>
                  <w:tcW w:w="3043" w:type="dxa"/>
                  <w:vAlign w:val="center"/>
                </w:tcPr>
                <w:p w14:paraId="58408B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r>
            <w:tr w14:paraId="53933C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635B3F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64D6030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职工食堂</w:t>
                  </w:r>
                </w:p>
              </w:tc>
              <w:tc>
                <w:tcPr>
                  <w:tcW w:w="2250" w:type="dxa"/>
                  <w:vAlign w:val="center"/>
                </w:tcPr>
                <w:p w14:paraId="05D234A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食堂油烟</w:t>
                  </w:r>
                  <w:r>
                    <w:rPr>
                      <w:rFonts w:hint="eastAsia" w:cs="Times New Roman"/>
                      <w:color w:val="auto"/>
                      <w:sz w:val="21"/>
                      <w:szCs w:val="21"/>
                      <w:highlight w:val="none"/>
                      <w:lang w:val="en-US" w:eastAsia="zh-CN"/>
                    </w:rPr>
                    <w:t>G4</w:t>
                  </w:r>
                </w:p>
              </w:tc>
              <w:tc>
                <w:tcPr>
                  <w:tcW w:w="3043" w:type="dxa"/>
                  <w:vAlign w:val="center"/>
                </w:tcPr>
                <w:p w14:paraId="4F7401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饮食业油烟</w:t>
                  </w:r>
                </w:p>
              </w:tc>
            </w:tr>
            <w:tr w14:paraId="137F3E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restart"/>
                  <w:vAlign w:val="center"/>
                </w:tcPr>
                <w:p w14:paraId="5EF213C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废水</w:t>
                  </w:r>
                </w:p>
              </w:tc>
              <w:tc>
                <w:tcPr>
                  <w:tcW w:w="2343" w:type="dxa"/>
                  <w:vAlign w:val="center"/>
                </w:tcPr>
                <w:p w14:paraId="2C4B71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净水系统</w:t>
                  </w:r>
                </w:p>
              </w:tc>
              <w:tc>
                <w:tcPr>
                  <w:tcW w:w="2250" w:type="dxa"/>
                  <w:vAlign w:val="center"/>
                </w:tcPr>
                <w:p w14:paraId="7C28FA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含盐废水</w:t>
                  </w:r>
                  <w:r>
                    <w:rPr>
                      <w:rFonts w:hint="eastAsia" w:cs="Times New Roman"/>
                      <w:color w:val="auto"/>
                      <w:sz w:val="21"/>
                      <w:szCs w:val="21"/>
                      <w:highlight w:val="none"/>
                      <w:lang w:val="en-US" w:eastAsia="zh-CN"/>
                    </w:rPr>
                    <w:t>W1</w:t>
                  </w:r>
                </w:p>
              </w:tc>
              <w:tc>
                <w:tcPr>
                  <w:tcW w:w="3043" w:type="dxa"/>
                  <w:vAlign w:val="center"/>
                </w:tcPr>
                <w:p w14:paraId="37AD5A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盐分</w:t>
                  </w:r>
                </w:p>
              </w:tc>
            </w:tr>
            <w:tr w14:paraId="7D203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1591337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7DCDBBD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蒸汽蒸发器</w:t>
                  </w:r>
                </w:p>
              </w:tc>
              <w:tc>
                <w:tcPr>
                  <w:tcW w:w="2250" w:type="dxa"/>
                  <w:vAlign w:val="center"/>
                </w:tcPr>
                <w:p w14:paraId="777E5E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定期排污水</w:t>
                  </w:r>
                  <w:r>
                    <w:rPr>
                      <w:rFonts w:hint="eastAsia" w:cs="Times New Roman"/>
                      <w:color w:val="auto"/>
                      <w:sz w:val="21"/>
                      <w:szCs w:val="21"/>
                      <w:highlight w:val="none"/>
                      <w:lang w:val="en-US" w:eastAsia="zh-CN"/>
                    </w:rPr>
                    <w:t>W2</w:t>
                  </w:r>
                </w:p>
              </w:tc>
              <w:tc>
                <w:tcPr>
                  <w:tcW w:w="3043" w:type="dxa"/>
                  <w:vAlign w:val="center"/>
                </w:tcPr>
                <w:p w14:paraId="068752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盐分</w:t>
                  </w:r>
                </w:p>
              </w:tc>
            </w:tr>
            <w:tr w14:paraId="7B475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7C896F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2EDA14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职工生活</w:t>
                  </w:r>
                </w:p>
              </w:tc>
              <w:tc>
                <w:tcPr>
                  <w:tcW w:w="2250" w:type="dxa"/>
                  <w:vAlign w:val="center"/>
                </w:tcPr>
                <w:p w14:paraId="71C356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生活污水</w:t>
                  </w:r>
                  <w:r>
                    <w:rPr>
                      <w:rFonts w:hint="eastAsia" w:cs="Times New Roman"/>
                      <w:color w:val="auto"/>
                      <w:sz w:val="21"/>
                      <w:szCs w:val="21"/>
                      <w:highlight w:val="none"/>
                      <w:lang w:val="en-US" w:eastAsia="zh-CN"/>
                    </w:rPr>
                    <w:t>W3</w:t>
                  </w:r>
                </w:p>
              </w:tc>
              <w:tc>
                <w:tcPr>
                  <w:tcW w:w="3043" w:type="dxa"/>
                  <w:vAlign w:val="center"/>
                </w:tcPr>
                <w:p w14:paraId="35623A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COD</w:t>
                  </w:r>
                  <w:r>
                    <w:rPr>
                      <w:rFonts w:hint="eastAsia" w:cs="Times New Roman"/>
                      <w:color w:val="auto"/>
                      <w:sz w:val="21"/>
                      <w:szCs w:val="21"/>
                      <w:highlight w:val="none"/>
                      <w:vertAlign w:val="subscript"/>
                      <w:lang w:val="en-US" w:eastAsia="zh-CN"/>
                    </w:rPr>
                    <w:t>cr</w:t>
                  </w:r>
                  <w:r>
                    <w:rPr>
                      <w:rFonts w:hint="eastAsia" w:cs="Times New Roman"/>
                      <w:color w:val="auto"/>
                      <w:sz w:val="21"/>
                      <w:szCs w:val="21"/>
                      <w:highlight w:val="none"/>
                      <w:lang w:val="en-US" w:eastAsia="zh-CN"/>
                    </w:rPr>
                    <w:t>、NH</w:t>
                  </w:r>
                  <w:r>
                    <w:rPr>
                      <w:rFonts w:hint="eastAsia" w:cs="Times New Roman"/>
                      <w:color w:val="auto"/>
                      <w:sz w:val="21"/>
                      <w:szCs w:val="21"/>
                      <w:highlight w:val="none"/>
                      <w:vertAlign w:val="subscript"/>
                      <w:lang w:val="en-US" w:eastAsia="zh-CN"/>
                    </w:rPr>
                    <w:t>3</w:t>
                  </w:r>
                  <w:r>
                    <w:rPr>
                      <w:rFonts w:hint="eastAsia" w:cs="Times New Roman"/>
                      <w:color w:val="auto"/>
                      <w:sz w:val="21"/>
                      <w:szCs w:val="21"/>
                      <w:highlight w:val="none"/>
                      <w:lang w:val="en-US" w:eastAsia="zh-CN"/>
                    </w:rPr>
                    <w:t>-N、BOD</w:t>
                  </w:r>
                  <w:r>
                    <w:rPr>
                      <w:rFonts w:hint="eastAsia" w:cs="Times New Roman"/>
                      <w:color w:val="auto"/>
                      <w:sz w:val="21"/>
                      <w:szCs w:val="21"/>
                      <w:highlight w:val="none"/>
                      <w:vertAlign w:val="subscript"/>
                      <w:lang w:val="en-US" w:eastAsia="zh-CN"/>
                    </w:rPr>
                    <w:t>5</w:t>
                  </w:r>
                  <w:r>
                    <w:rPr>
                      <w:rFonts w:hint="eastAsia" w:cs="Times New Roman"/>
                      <w:color w:val="auto"/>
                      <w:sz w:val="21"/>
                      <w:szCs w:val="21"/>
                      <w:highlight w:val="none"/>
                      <w:lang w:val="en-US" w:eastAsia="zh-CN"/>
                    </w:rPr>
                    <w:t>等</w:t>
                  </w:r>
                </w:p>
              </w:tc>
            </w:tr>
            <w:tr w14:paraId="7F750D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center"/>
                </w:tcPr>
                <w:p w14:paraId="598D10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14:paraId="68ABD5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脱硫系统</w:t>
                  </w:r>
                </w:p>
              </w:tc>
              <w:tc>
                <w:tcPr>
                  <w:tcW w:w="2250" w:type="dxa"/>
                  <w:vAlign w:val="center"/>
                </w:tcPr>
                <w:p w14:paraId="2F4AB87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脱硫废水</w:t>
                  </w:r>
                  <w:r>
                    <w:rPr>
                      <w:rFonts w:hint="eastAsia" w:cs="Times New Roman"/>
                      <w:color w:val="auto"/>
                      <w:sz w:val="21"/>
                      <w:szCs w:val="21"/>
                      <w:highlight w:val="none"/>
                      <w:lang w:val="en-US" w:eastAsia="zh-CN"/>
                    </w:rPr>
                    <w:t>W4</w:t>
                  </w:r>
                </w:p>
              </w:tc>
              <w:tc>
                <w:tcPr>
                  <w:tcW w:w="3043" w:type="dxa"/>
                  <w:vAlign w:val="center"/>
                </w:tcPr>
                <w:p w14:paraId="28F60A2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SS、COD</w:t>
                  </w:r>
                  <w:r>
                    <w:rPr>
                      <w:rFonts w:hint="eastAsia" w:cs="Times New Roman"/>
                      <w:color w:val="auto"/>
                      <w:sz w:val="21"/>
                      <w:szCs w:val="21"/>
                      <w:highlight w:val="none"/>
                      <w:vertAlign w:val="subscript"/>
                      <w:lang w:val="en-US" w:eastAsia="zh-CN"/>
                    </w:rPr>
                    <w:t>cr</w:t>
                  </w:r>
                  <w:r>
                    <w:rPr>
                      <w:rFonts w:hint="eastAsia" w:cs="Times New Roman"/>
                      <w:color w:val="auto"/>
                      <w:sz w:val="21"/>
                      <w:szCs w:val="21"/>
                      <w:highlight w:val="none"/>
                      <w:lang w:val="en-US" w:eastAsia="zh-CN"/>
                    </w:rPr>
                    <w:t>、NH</w:t>
                  </w:r>
                  <w:r>
                    <w:rPr>
                      <w:rFonts w:hint="eastAsia" w:cs="Times New Roman"/>
                      <w:color w:val="auto"/>
                      <w:sz w:val="21"/>
                      <w:szCs w:val="21"/>
                      <w:highlight w:val="none"/>
                      <w:vertAlign w:val="subscript"/>
                      <w:lang w:val="en-US" w:eastAsia="zh-CN"/>
                    </w:rPr>
                    <w:t>3</w:t>
                  </w:r>
                  <w:r>
                    <w:rPr>
                      <w:rFonts w:hint="eastAsia" w:cs="Times New Roman"/>
                      <w:color w:val="auto"/>
                      <w:sz w:val="21"/>
                      <w:szCs w:val="21"/>
                      <w:highlight w:val="none"/>
                      <w:lang w:val="en-US" w:eastAsia="zh-CN"/>
                    </w:rPr>
                    <w:t>-N</w:t>
                  </w:r>
                </w:p>
              </w:tc>
            </w:tr>
            <w:tr w14:paraId="5FEEC3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Align w:val="center"/>
                </w:tcPr>
                <w:p w14:paraId="60C8DD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噪声</w:t>
                  </w:r>
                </w:p>
              </w:tc>
              <w:tc>
                <w:tcPr>
                  <w:tcW w:w="2343" w:type="dxa"/>
                  <w:vAlign w:val="center"/>
                </w:tcPr>
                <w:p w14:paraId="15B67F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项目运营</w:t>
                  </w:r>
                </w:p>
              </w:tc>
              <w:tc>
                <w:tcPr>
                  <w:tcW w:w="2250" w:type="dxa"/>
                  <w:vAlign w:val="center"/>
                </w:tcPr>
                <w:p w14:paraId="29D29D3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设备运行噪声</w:t>
                  </w:r>
                  <w:r>
                    <w:rPr>
                      <w:rFonts w:hint="eastAsia" w:cs="Times New Roman"/>
                      <w:color w:val="auto"/>
                      <w:sz w:val="21"/>
                      <w:szCs w:val="21"/>
                      <w:highlight w:val="none"/>
                      <w:lang w:val="en-US" w:eastAsia="zh-CN"/>
                    </w:rPr>
                    <w:t>N1</w:t>
                  </w:r>
                </w:p>
              </w:tc>
              <w:tc>
                <w:tcPr>
                  <w:tcW w:w="3043" w:type="dxa"/>
                  <w:vAlign w:val="center"/>
                </w:tcPr>
                <w:p w14:paraId="468137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等效</w:t>
                  </w:r>
                  <w:r>
                    <w:rPr>
                      <w:rFonts w:hint="eastAsia" w:cs="Times New Roman"/>
                      <w:color w:val="auto"/>
                      <w:sz w:val="21"/>
                      <w:szCs w:val="21"/>
                      <w:highlight w:val="none"/>
                      <w:lang w:val="en-US" w:eastAsia="zh-CN"/>
                    </w:rPr>
                    <w:t>A声级</w:t>
                  </w:r>
                </w:p>
              </w:tc>
            </w:tr>
            <w:tr w14:paraId="4F5D7A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restart"/>
                  <w:vAlign w:val="center"/>
                </w:tcPr>
                <w:p w14:paraId="1DC8D8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固体废物</w:t>
                  </w:r>
                </w:p>
              </w:tc>
              <w:tc>
                <w:tcPr>
                  <w:tcW w:w="2343" w:type="dxa"/>
                  <w:vAlign w:val="center"/>
                </w:tcPr>
                <w:p w14:paraId="78BF346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袋式除尘器</w:t>
                  </w:r>
                </w:p>
              </w:tc>
              <w:tc>
                <w:tcPr>
                  <w:tcW w:w="2250" w:type="dxa"/>
                  <w:vAlign w:val="center"/>
                </w:tcPr>
                <w:p w14:paraId="2A93B4E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除尘器收集尘</w:t>
                  </w:r>
                  <w:r>
                    <w:rPr>
                      <w:rFonts w:hint="eastAsia" w:cs="Times New Roman"/>
                      <w:color w:val="auto"/>
                      <w:sz w:val="21"/>
                      <w:szCs w:val="21"/>
                      <w:highlight w:val="none"/>
                      <w:lang w:val="en-US" w:eastAsia="zh-CN"/>
                    </w:rPr>
                    <w:t>S1</w:t>
                  </w:r>
                </w:p>
              </w:tc>
              <w:tc>
                <w:tcPr>
                  <w:tcW w:w="3043" w:type="dxa"/>
                  <w:vAlign w:val="center"/>
                </w:tcPr>
                <w:p w14:paraId="252684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r w14:paraId="09E2D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top"/>
                </w:tcPr>
                <w:p w14:paraId="34D3E59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14:paraId="6E94AA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净水系统</w:t>
                  </w:r>
                </w:p>
              </w:tc>
              <w:tc>
                <w:tcPr>
                  <w:tcW w:w="2250" w:type="dxa"/>
                  <w:vAlign w:val="center"/>
                </w:tcPr>
                <w:p w14:paraId="1C82A3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废弃离子交换树脂</w:t>
                  </w:r>
                  <w:r>
                    <w:rPr>
                      <w:rFonts w:hint="eastAsia" w:cs="Times New Roman"/>
                      <w:color w:val="auto"/>
                      <w:sz w:val="21"/>
                      <w:szCs w:val="21"/>
                      <w:highlight w:val="none"/>
                      <w:lang w:val="en-US" w:eastAsia="zh-CN"/>
                    </w:rPr>
                    <w:t>S2</w:t>
                  </w:r>
                </w:p>
              </w:tc>
              <w:tc>
                <w:tcPr>
                  <w:tcW w:w="3043" w:type="dxa"/>
                  <w:vAlign w:val="center"/>
                </w:tcPr>
                <w:p w14:paraId="356F842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r w14:paraId="23C93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top"/>
                </w:tcPr>
                <w:p w14:paraId="746F10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14:paraId="4B7DD4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职工生活</w:t>
                  </w:r>
                </w:p>
              </w:tc>
              <w:tc>
                <w:tcPr>
                  <w:tcW w:w="2250" w:type="dxa"/>
                  <w:vAlign w:val="center"/>
                </w:tcPr>
                <w:p w14:paraId="5B6A32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r>
                    <w:rPr>
                      <w:rFonts w:hint="eastAsia" w:cs="Times New Roman"/>
                      <w:color w:val="auto"/>
                      <w:sz w:val="21"/>
                      <w:szCs w:val="21"/>
                      <w:highlight w:val="none"/>
                      <w:lang w:val="en-US" w:eastAsia="zh-CN"/>
                    </w:rPr>
                    <w:t>S3</w:t>
                  </w:r>
                </w:p>
              </w:tc>
              <w:tc>
                <w:tcPr>
                  <w:tcW w:w="3043" w:type="dxa"/>
                  <w:vAlign w:val="center"/>
                </w:tcPr>
                <w:p w14:paraId="1AFFF2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p>
              </w:tc>
            </w:tr>
            <w:tr w14:paraId="5F70D8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top"/>
                </w:tcPr>
                <w:p w14:paraId="037929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14:paraId="6B61EF8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汽轮发电系统冷油器</w:t>
                  </w:r>
                </w:p>
              </w:tc>
              <w:tc>
                <w:tcPr>
                  <w:tcW w:w="2250" w:type="dxa"/>
                  <w:vAlign w:val="center"/>
                </w:tcPr>
                <w:p w14:paraId="4E4C69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废润滑油</w:t>
                  </w:r>
                  <w:r>
                    <w:rPr>
                      <w:rFonts w:hint="eastAsia" w:cs="Times New Roman"/>
                      <w:color w:val="auto"/>
                      <w:sz w:val="21"/>
                      <w:szCs w:val="21"/>
                      <w:highlight w:val="none"/>
                      <w:lang w:val="en-US" w:eastAsia="zh-CN"/>
                    </w:rPr>
                    <w:t>S4</w:t>
                  </w:r>
                </w:p>
              </w:tc>
              <w:tc>
                <w:tcPr>
                  <w:tcW w:w="3043" w:type="dxa"/>
                  <w:vAlign w:val="center"/>
                </w:tcPr>
                <w:p w14:paraId="528731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危险废物（</w:t>
                  </w:r>
                  <w:r>
                    <w:rPr>
                      <w:rFonts w:hint="eastAsia" w:cs="Times New Roman"/>
                      <w:color w:val="auto"/>
                      <w:sz w:val="21"/>
                      <w:szCs w:val="21"/>
                      <w:highlight w:val="none"/>
                      <w:lang w:val="en-US" w:eastAsia="zh-CN"/>
                    </w:rPr>
                    <w:t>HW08 900-217-08</w:t>
                  </w:r>
                  <w:r>
                    <w:rPr>
                      <w:rFonts w:hint="eastAsia" w:cs="Times New Roman"/>
                      <w:color w:val="auto"/>
                      <w:sz w:val="21"/>
                      <w:szCs w:val="21"/>
                      <w:highlight w:val="none"/>
                      <w:lang w:eastAsia="zh-CN"/>
                    </w:rPr>
                    <w:t>）</w:t>
                  </w:r>
                </w:p>
              </w:tc>
            </w:tr>
            <w:tr w14:paraId="30669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6" w:type="dxa"/>
                  <w:vMerge w:val="continue"/>
                  <w:vAlign w:val="top"/>
                </w:tcPr>
                <w:p w14:paraId="562BDC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14:paraId="3DBAC04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脱硫系统</w:t>
                  </w:r>
                </w:p>
              </w:tc>
              <w:tc>
                <w:tcPr>
                  <w:tcW w:w="2250" w:type="dxa"/>
                  <w:vAlign w:val="center"/>
                </w:tcPr>
                <w:p w14:paraId="471E895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脱硫石膏S5</w:t>
                  </w:r>
                </w:p>
              </w:tc>
              <w:tc>
                <w:tcPr>
                  <w:tcW w:w="3043" w:type="dxa"/>
                  <w:vAlign w:val="center"/>
                </w:tcPr>
                <w:p w14:paraId="7E5BB47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bl>
          <w:p w14:paraId="20EA4B8D">
            <w:pPr>
              <w:tabs>
                <w:tab w:val="center" w:pos="4736"/>
              </w:tabs>
              <w:spacing w:line="360" w:lineRule="auto"/>
              <w:ind w:firstLine="482" w:firstLineChars="200"/>
              <w:jc w:val="left"/>
              <w:rPr>
                <w:b/>
                <w:color w:val="auto"/>
                <w:sz w:val="24"/>
              </w:rPr>
            </w:pPr>
            <w:r>
              <w:rPr>
                <w:rFonts w:hint="eastAsia"/>
                <w:b/>
                <w:color w:val="auto"/>
                <w:sz w:val="24"/>
                <w:lang w:eastAsia="zh-CN"/>
              </w:rPr>
              <w:t>一、废气</w:t>
            </w:r>
          </w:p>
          <w:p w14:paraId="433F013A">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废气污染物产生量及环境保护措施</w:t>
            </w:r>
          </w:p>
          <w:p w14:paraId="1186B7D1">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）棉杆上料粉尘</w:t>
            </w:r>
            <w:r>
              <w:rPr>
                <w:rFonts w:hint="eastAsia"/>
                <w:color w:val="auto"/>
                <w:sz w:val="24"/>
                <w:lang w:val="en-US" w:eastAsia="zh-CN"/>
              </w:rPr>
              <w:t>G1</w:t>
            </w:r>
          </w:p>
          <w:p w14:paraId="15F2A7AC">
            <w:pPr>
              <w:tabs>
                <w:tab w:val="center" w:pos="4736"/>
              </w:tabs>
              <w:spacing w:line="360" w:lineRule="auto"/>
              <w:ind w:firstLine="480" w:firstLineChars="200"/>
              <w:rPr>
                <w:rFonts w:hint="eastAsia"/>
                <w:color w:val="auto"/>
                <w:sz w:val="24"/>
              </w:rPr>
            </w:pPr>
            <w:r>
              <w:rPr>
                <w:rFonts w:hint="eastAsia"/>
                <w:color w:val="auto"/>
                <w:sz w:val="24"/>
              </w:rPr>
              <w:t>项目原料棉杆上料时由人工叉入活化上料斗中，上料斗持续振动，将棉杆均匀散入皮带输送系统中，再经皮带运入炭化炉顶部炉前仓。由于其振动过程与筛分过程相似，其产尘量参考《第二次全国污染源普查-生物质致密成型燃料加工行业系数手册（初稿）》，破碎、筛分、成型工艺颗粒物产生系数为0.6690kg/t产品。项目活化上料斗产品即为棉杆，共216000t/a，则上料过程粉尘产生量为144.5t/a。</w:t>
            </w:r>
          </w:p>
          <w:p w14:paraId="557365AC">
            <w:pPr>
              <w:tabs>
                <w:tab w:val="center" w:pos="4736"/>
              </w:tabs>
              <w:spacing w:line="360" w:lineRule="auto"/>
              <w:ind w:firstLine="480" w:firstLineChars="200"/>
              <w:rPr>
                <w:rFonts w:hint="eastAsia"/>
                <w:color w:val="auto"/>
                <w:sz w:val="24"/>
              </w:rPr>
            </w:pPr>
            <w:r>
              <w:rPr>
                <w:rFonts w:hint="eastAsia"/>
                <w:color w:val="auto"/>
                <w:sz w:val="24"/>
              </w:rPr>
              <w:t>项目十套上料系统均设有集气设施和小型</w:t>
            </w:r>
            <w:r>
              <w:rPr>
                <w:rFonts w:hint="eastAsia"/>
                <w:color w:val="auto"/>
                <w:sz w:val="24"/>
                <w:lang w:eastAsia="zh-CN"/>
              </w:rPr>
              <w:t>滤筒式</w:t>
            </w:r>
            <w:r>
              <w:rPr>
                <w:rFonts w:hint="eastAsia"/>
                <w:color w:val="auto"/>
                <w:sz w:val="24"/>
              </w:rPr>
              <w:t>除尘器，上料粉尘经除尘器处理后在车间内无组织排放。集气设施收集效率以90%计，小型袋式除尘器除尘效率为99%。则被收集的粉尘经处理后的排放量为1.3t/a，0.181kg/h，未被收集的粉尘产生量为14.45t/a，2.007kg/h，其中约40%的较大颗粒物于厂房内沉降。</w:t>
            </w:r>
          </w:p>
          <w:p w14:paraId="2BDACBD9">
            <w:pPr>
              <w:tabs>
                <w:tab w:val="center" w:pos="4736"/>
              </w:tabs>
              <w:spacing w:line="360" w:lineRule="auto"/>
              <w:ind w:firstLine="480" w:firstLineChars="200"/>
              <w:rPr>
                <w:rFonts w:hint="eastAsia"/>
                <w:color w:val="auto"/>
                <w:sz w:val="24"/>
              </w:rPr>
            </w:pPr>
            <w:r>
              <w:rPr>
                <w:rFonts w:hint="eastAsia"/>
                <w:color w:val="auto"/>
                <w:sz w:val="24"/>
              </w:rPr>
              <w:t>故项目上料车间上料粉尘的排放情况为：排放量9.97t/a，排放速率1.385kg/h。</w:t>
            </w:r>
          </w:p>
          <w:p w14:paraId="38E9AA5F">
            <w:pPr>
              <w:tabs>
                <w:tab w:val="center" w:pos="4736"/>
              </w:tabs>
              <w:spacing w:line="360" w:lineRule="auto"/>
              <w:ind w:firstLine="480" w:firstLineChars="200"/>
              <w:rPr>
                <w:rFonts w:hint="eastAsia"/>
                <w:color w:val="auto"/>
                <w:sz w:val="24"/>
              </w:rPr>
            </w:pPr>
            <w:r>
              <w:rPr>
                <w:rFonts w:hint="eastAsia"/>
                <w:color w:val="auto"/>
                <w:sz w:val="24"/>
              </w:rPr>
              <w:t>（2）炭化烟气G2</w:t>
            </w:r>
          </w:p>
          <w:p w14:paraId="78313CF0">
            <w:pPr>
              <w:tabs>
                <w:tab w:val="center" w:pos="4736"/>
              </w:tabs>
              <w:spacing w:line="360" w:lineRule="auto"/>
              <w:ind w:firstLine="480" w:firstLineChars="200"/>
              <w:rPr>
                <w:rFonts w:hint="eastAsia"/>
                <w:color w:val="auto"/>
                <w:sz w:val="24"/>
              </w:rPr>
            </w:pPr>
            <w:r>
              <w:rPr>
                <w:rFonts w:hint="eastAsia"/>
                <w:color w:val="auto"/>
                <w:sz w:val="24"/>
              </w:rPr>
              <w:t>原料棉杆在炭化炉内发生热解反应，会生成甲烷、一氧化碳、焦油、醋酸等可燃物质。在炉内温度始终高于500℃的条件下，这些物质均为气态（下文称为生物质燃气），由专用管路引入燃烧室中燃烧，产生大量高温烟气为炭化炉的连续运行供热。根据</w:t>
            </w:r>
            <w:r>
              <w:rPr>
                <w:rFonts w:hint="eastAsia"/>
                <w:color w:val="auto"/>
                <w:sz w:val="24"/>
                <w:lang w:eastAsia="zh-CN"/>
              </w:rPr>
              <w:t>企业提供的试验数据</w:t>
            </w:r>
            <w:r>
              <w:rPr>
                <w:rFonts w:hint="eastAsia"/>
                <w:color w:val="auto"/>
                <w:sz w:val="24"/>
              </w:rPr>
              <w:t>，每台炭化炉燃烧产生烟气量约为</w:t>
            </w:r>
            <w:r>
              <w:rPr>
                <w:rFonts w:hint="eastAsia"/>
                <w:color w:val="auto"/>
                <w:sz w:val="24"/>
                <w:lang w:val="en-US" w:eastAsia="zh-CN"/>
              </w:rPr>
              <w:t>7061.4</w:t>
            </w:r>
            <w:r>
              <w:rPr>
                <w:rFonts w:hint="eastAsia"/>
                <w:color w:val="auto"/>
                <w:sz w:val="24"/>
              </w:rPr>
              <w:t>Nm</w:t>
            </w:r>
            <w:r>
              <w:rPr>
                <w:rFonts w:hint="eastAsia"/>
                <w:color w:val="auto"/>
                <w:sz w:val="24"/>
                <w:vertAlign w:val="superscript"/>
              </w:rPr>
              <w:t>3</w:t>
            </w:r>
            <w:r>
              <w:rPr>
                <w:rFonts w:hint="eastAsia"/>
                <w:color w:val="auto"/>
                <w:sz w:val="24"/>
              </w:rPr>
              <w:t>/h。</w:t>
            </w:r>
          </w:p>
          <w:p w14:paraId="269D3F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①SO</w:t>
            </w:r>
            <w:r>
              <w:rPr>
                <w:rFonts w:hint="eastAsia" w:cs="宋体"/>
                <w:color w:val="auto"/>
                <w:sz w:val="24"/>
                <w:szCs w:val="24"/>
                <w:highlight w:val="none"/>
                <w:vertAlign w:val="subscript"/>
                <w:lang w:val="en-US" w:eastAsia="zh-CN" w:bidi="ar"/>
              </w:rPr>
              <w:t>2</w:t>
            </w:r>
          </w:p>
          <w:p w14:paraId="76C799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根据物料理化性质、焦油、木醋酸等物质在温度低于200℃以下时才会析出，故在本项目工艺温度下，生物质燃气中的焦油和醋酸等不析出，直接进入燃烧室中进行燃烧。故棉花秸秆中含硫除部分进入棉杆基炭外，其余部分均被燃烧，生成SO</w:t>
            </w:r>
            <w:r>
              <w:rPr>
                <w:rFonts w:hint="eastAsia" w:cs="宋体"/>
                <w:color w:val="auto"/>
                <w:sz w:val="24"/>
                <w:szCs w:val="24"/>
                <w:highlight w:val="none"/>
                <w:vertAlign w:val="subscript"/>
                <w:lang w:val="en-US" w:eastAsia="zh-CN" w:bidi="ar"/>
              </w:rPr>
              <w:t>2</w:t>
            </w:r>
            <w:r>
              <w:rPr>
                <w:rFonts w:hint="eastAsia" w:cs="宋体"/>
                <w:color w:val="auto"/>
                <w:sz w:val="24"/>
                <w:szCs w:val="24"/>
                <w:highlight w:val="none"/>
                <w:lang w:val="en-US" w:eastAsia="zh-CN" w:bidi="ar"/>
              </w:rPr>
              <w:t>，项目炭化工段硫平衡分析见表4-2。</w:t>
            </w:r>
          </w:p>
          <w:p w14:paraId="3570AA7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30" w:firstLineChars="300"/>
              <w:jc w:val="both"/>
              <w:textAlignment w:val="auto"/>
              <w:outlineLvl w:val="9"/>
              <w:rPr>
                <w:rFonts w:hint="eastAsia" w:ascii="宋体" w:hAnsi="宋体" w:eastAsia="宋体" w:cs="宋体"/>
                <w:b/>
                <w:color w:val="auto"/>
                <w:sz w:val="21"/>
                <w:szCs w:val="21"/>
              </w:rPr>
            </w:pPr>
            <w:r>
              <w:rPr>
                <w:rFonts w:hint="eastAsia" w:ascii="黑体" w:hAnsi="黑体" w:eastAsia="黑体" w:cs="黑体"/>
                <w:b w:val="0"/>
                <w:bCs/>
                <w:color w:val="auto"/>
                <w:sz w:val="21"/>
                <w:szCs w:val="21"/>
              </w:rPr>
              <w:t>表</w:t>
            </w:r>
            <w:r>
              <w:rPr>
                <w:rFonts w:hint="eastAsia" w:ascii="黑体" w:hAnsi="黑体" w:eastAsia="黑体" w:cs="黑体"/>
                <w:b w:val="0"/>
                <w:bCs/>
                <w:color w:val="auto"/>
                <w:sz w:val="21"/>
                <w:szCs w:val="21"/>
                <w:lang w:val="en-US" w:eastAsia="zh-CN"/>
              </w:rPr>
              <w:t>4-2</w:t>
            </w:r>
            <w:r>
              <w:rPr>
                <w:rFonts w:hint="eastAsia" w:ascii="黑体" w:hAnsi="黑体" w:eastAsia="黑体" w:cs="黑体"/>
                <w:b w:val="0"/>
                <w:bCs/>
                <w:color w:val="auto"/>
                <w:sz w:val="21"/>
                <w:szCs w:val="21"/>
              </w:rPr>
              <w:t xml:space="preserve">   </w:t>
            </w:r>
            <w:r>
              <w:rPr>
                <w:rFonts w:hint="eastAsia" w:ascii="黑体" w:hAnsi="黑体" w:eastAsia="黑体" w:cs="黑体"/>
                <w:b w:val="0"/>
                <w:bCs/>
                <w:color w:val="auto"/>
                <w:sz w:val="21"/>
                <w:szCs w:val="21"/>
                <w:lang w:val="en-US" w:eastAsia="zh-CN"/>
              </w:rPr>
              <w:t xml:space="preserve">                      </w:t>
            </w:r>
            <w:r>
              <w:rPr>
                <w:rFonts w:hint="eastAsia" w:ascii="黑体" w:hAnsi="黑体" w:eastAsia="黑体" w:cs="黑体"/>
                <w:b w:val="0"/>
                <w:bCs/>
                <w:color w:val="auto"/>
                <w:sz w:val="21"/>
                <w:szCs w:val="21"/>
              </w:rPr>
              <w:t>项目</w:t>
            </w:r>
            <w:r>
              <w:rPr>
                <w:rFonts w:hint="eastAsia" w:ascii="黑体" w:hAnsi="黑体" w:eastAsia="黑体" w:cs="黑体"/>
                <w:b w:val="0"/>
                <w:bCs/>
                <w:color w:val="auto"/>
                <w:sz w:val="21"/>
                <w:szCs w:val="21"/>
                <w:lang w:val="en-US" w:eastAsia="zh-CN"/>
              </w:rPr>
              <w:t>硫</w:t>
            </w:r>
            <w:r>
              <w:rPr>
                <w:rFonts w:hint="eastAsia" w:ascii="黑体" w:hAnsi="黑体" w:eastAsia="黑体" w:cs="黑体"/>
                <w:b w:val="0"/>
                <w:bCs/>
                <w:color w:val="auto"/>
                <w:sz w:val="21"/>
                <w:szCs w:val="21"/>
              </w:rPr>
              <w:t>平衡表</w:t>
            </w:r>
            <w:r>
              <w:rPr>
                <w:rFonts w:hint="eastAsia" w:ascii="宋体" w:hAnsi="宋体" w:eastAsia="宋体" w:cs="宋体"/>
                <w:b/>
                <w:color w:val="auto"/>
                <w:sz w:val="21"/>
                <w:szCs w:val="21"/>
                <w:lang w:val="en-US" w:eastAsia="zh-CN"/>
              </w:rPr>
              <w:t xml:space="preserve">    </w:t>
            </w:r>
          </w:p>
          <w:tbl>
            <w:tblPr>
              <w:tblStyle w:val="22"/>
              <w:tblpPr w:leftFromText="180" w:rightFromText="180" w:vertAnchor="text" w:horzAnchor="page" w:tblpXSpec="center" w:tblpY="26"/>
              <w:tblOverlap w:val="never"/>
              <w:tblW w:w="831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888"/>
              <w:gridCol w:w="694"/>
              <w:gridCol w:w="826"/>
              <w:gridCol w:w="674"/>
              <w:gridCol w:w="1145"/>
              <w:gridCol w:w="846"/>
              <w:gridCol w:w="637"/>
              <w:gridCol w:w="835"/>
              <w:gridCol w:w="684"/>
            </w:tblGrid>
            <w:tr w14:paraId="29F238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5" w:type="dxa"/>
                  <w:gridSpan w:val="5"/>
                  <w:tcBorders>
                    <w:bottom w:val="single" w:color="000000" w:sz="2" w:space="0"/>
                    <w:right w:val="single" w:color="000000" w:sz="2" w:space="0"/>
                    <w:tl2br w:val="nil"/>
                    <w:tr2bl w:val="nil"/>
                  </w:tcBorders>
                  <w:vAlign w:val="center"/>
                </w:tcPr>
                <w:p w14:paraId="704D25C8">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投入</w:t>
                  </w:r>
                </w:p>
              </w:tc>
              <w:tc>
                <w:tcPr>
                  <w:tcW w:w="4147" w:type="dxa"/>
                  <w:gridSpan w:val="5"/>
                  <w:tcBorders>
                    <w:left w:val="single" w:color="000000" w:sz="2" w:space="0"/>
                    <w:bottom w:val="single" w:color="000000" w:sz="2" w:space="0"/>
                    <w:tl2br w:val="nil"/>
                    <w:tr2bl w:val="nil"/>
                  </w:tcBorders>
                  <w:vAlign w:val="center"/>
                </w:tcPr>
                <w:p w14:paraId="7F8C04CF">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产出</w:t>
                  </w:r>
                </w:p>
              </w:tc>
            </w:tr>
            <w:tr w14:paraId="6FCDB6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3" w:type="dxa"/>
                  <w:vMerge w:val="restart"/>
                  <w:tcBorders>
                    <w:top w:val="single" w:color="000000" w:sz="2" w:space="0"/>
                    <w:bottom w:val="single" w:color="000000" w:sz="2" w:space="0"/>
                    <w:right w:val="single" w:color="000000" w:sz="2" w:space="0"/>
                    <w:tl2br w:val="nil"/>
                    <w:tr2bl w:val="nil"/>
                  </w:tcBorders>
                  <w:vAlign w:val="center"/>
                </w:tcPr>
                <w:p w14:paraId="35C70B35">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082"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14:paraId="24B3C85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物料</w:t>
                  </w:r>
                </w:p>
              </w:tc>
              <w:tc>
                <w:tcPr>
                  <w:tcW w:w="1145"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14:paraId="4D891CA1">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002" w:type="dxa"/>
                  <w:gridSpan w:val="4"/>
                  <w:tcBorders>
                    <w:top w:val="single" w:color="000000" w:sz="2" w:space="0"/>
                    <w:left w:val="single" w:color="000000" w:sz="2" w:space="0"/>
                    <w:bottom w:val="single" w:color="000000" w:sz="2" w:space="0"/>
                    <w:tl2br w:val="nil"/>
                    <w:tr2bl w:val="nil"/>
                  </w:tcBorders>
                  <w:vAlign w:val="center"/>
                </w:tcPr>
                <w:p w14:paraId="6B44D5B8">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物料</w:t>
                  </w:r>
                </w:p>
              </w:tc>
            </w:tr>
            <w:tr w14:paraId="046F30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3" w:type="dxa"/>
                  <w:vMerge w:val="continue"/>
                  <w:tcBorders>
                    <w:top w:val="single" w:color="000000" w:sz="2" w:space="0"/>
                    <w:bottom w:val="single" w:color="000000" w:sz="2" w:space="0"/>
                    <w:right w:val="single" w:color="000000" w:sz="2" w:space="0"/>
                    <w:tl2br w:val="nil"/>
                    <w:tr2bl w:val="nil"/>
                  </w:tcBorders>
                  <w:vAlign w:val="center"/>
                </w:tcPr>
                <w:p w14:paraId="308948F2">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14:paraId="1F0BBEB3">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t/a</w:t>
                  </w: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14:paraId="23C970C9">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含硫率</w:t>
                  </w:r>
                  <w:r>
                    <w:rPr>
                      <w:rFonts w:hint="default" w:ascii="Times New Roman" w:hAnsi="Times New Roman" w:cs="Times New Roman"/>
                      <w:color w:val="auto"/>
                      <w:sz w:val="21"/>
                      <w:szCs w:val="21"/>
                      <w:lang w:val="en-US" w:eastAsia="zh-CN"/>
                    </w:rPr>
                    <w:t>%</w:t>
                  </w: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14:paraId="4D7865A7">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含硫量</w:t>
                  </w:r>
                  <w:r>
                    <w:rPr>
                      <w:rFonts w:hint="default" w:ascii="Times New Roman" w:hAnsi="Times New Roman" w:cs="Times New Roman"/>
                      <w:color w:val="auto"/>
                      <w:sz w:val="21"/>
                      <w:szCs w:val="21"/>
                      <w:lang w:val="en-US" w:eastAsia="zh-CN"/>
                    </w:rPr>
                    <w:t>t/a</w:t>
                  </w: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14:paraId="5589572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比例</w:t>
                  </w:r>
                  <w:r>
                    <w:rPr>
                      <w:rFonts w:hint="default" w:ascii="Times New Roman" w:hAnsi="Times New Roman" w:cs="Times New Roman"/>
                      <w:color w:val="auto"/>
                      <w:sz w:val="21"/>
                      <w:szCs w:val="21"/>
                      <w:lang w:val="en-US" w:eastAsia="zh-CN"/>
                    </w:rPr>
                    <w:t>%</w:t>
                  </w:r>
                </w:p>
              </w:tc>
              <w:tc>
                <w:tcPr>
                  <w:tcW w:w="1145"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14:paraId="358128E7">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14:paraId="226E337D">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t/a</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14:paraId="78F636B5">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含硫率</w:t>
                  </w:r>
                  <w:r>
                    <w:rPr>
                      <w:rFonts w:hint="default" w:ascii="Times New Roman" w:hAnsi="Times New Roman" w:cs="Times New Roman"/>
                      <w:color w:val="auto"/>
                      <w:sz w:val="21"/>
                      <w:szCs w:val="21"/>
                      <w:lang w:val="en-US" w:eastAsia="zh-CN"/>
                    </w:rPr>
                    <w:t>%</w:t>
                  </w:r>
                </w:p>
              </w:tc>
              <w:tc>
                <w:tcPr>
                  <w:tcW w:w="835" w:type="dxa"/>
                  <w:tcBorders>
                    <w:top w:val="single" w:color="000000" w:sz="2" w:space="0"/>
                    <w:left w:val="single" w:color="000000" w:sz="2" w:space="0"/>
                    <w:bottom w:val="single" w:color="auto" w:sz="2" w:space="0"/>
                    <w:right w:val="single" w:color="auto" w:sz="2" w:space="0"/>
                    <w:tl2br w:val="nil"/>
                    <w:tr2bl w:val="nil"/>
                  </w:tcBorders>
                  <w:vAlign w:val="center"/>
                </w:tcPr>
                <w:p w14:paraId="7A8D2481">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含硫量</w:t>
                  </w:r>
                  <w:r>
                    <w:rPr>
                      <w:rFonts w:hint="default" w:ascii="Times New Roman" w:hAnsi="Times New Roman" w:cs="Times New Roman"/>
                      <w:color w:val="auto"/>
                      <w:sz w:val="21"/>
                      <w:szCs w:val="21"/>
                      <w:lang w:val="en-US" w:eastAsia="zh-CN"/>
                    </w:rPr>
                    <w:t>t/a</w:t>
                  </w:r>
                </w:p>
              </w:tc>
              <w:tc>
                <w:tcPr>
                  <w:tcW w:w="684" w:type="dxa"/>
                  <w:tcBorders>
                    <w:top w:val="single" w:color="000000" w:sz="2" w:space="0"/>
                    <w:left w:val="single" w:color="auto" w:sz="2" w:space="0"/>
                    <w:bottom w:val="single" w:color="auto" w:sz="2" w:space="0"/>
                    <w:tl2br w:val="nil"/>
                    <w:tr2bl w:val="nil"/>
                  </w:tcBorders>
                  <w:vAlign w:val="center"/>
                </w:tcPr>
                <w:p w14:paraId="546BC6F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比例</w:t>
                  </w:r>
                  <w:r>
                    <w:rPr>
                      <w:rFonts w:hint="default" w:ascii="Times New Roman" w:hAnsi="Times New Roman" w:cs="Times New Roman"/>
                      <w:color w:val="auto"/>
                      <w:sz w:val="21"/>
                      <w:szCs w:val="21"/>
                      <w:lang w:val="en-US" w:eastAsia="zh-CN"/>
                    </w:rPr>
                    <w:t>%</w:t>
                  </w:r>
                </w:p>
              </w:tc>
            </w:tr>
            <w:tr w14:paraId="2D8E76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3" w:type="dxa"/>
                  <w:tcBorders>
                    <w:top w:val="single" w:color="000000" w:sz="2" w:space="0"/>
                    <w:bottom w:val="single" w:color="000000" w:sz="2" w:space="0"/>
                    <w:right w:val="single" w:color="000000" w:sz="2" w:space="0"/>
                    <w:tl2br w:val="nil"/>
                    <w:tr2bl w:val="nil"/>
                  </w:tcBorders>
                  <w:vAlign w:val="center"/>
                </w:tcPr>
                <w:p w14:paraId="50DAD11D">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棉花秸秆</w:t>
                  </w: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14:paraId="075F73A0">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216000</w:t>
                  </w: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14:paraId="1887631F">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0.208</w:t>
                  </w: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14:paraId="28FED51E">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14:paraId="6FFA40B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145" w:type="dxa"/>
                  <w:tcBorders>
                    <w:top w:val="single" w:color="000000" w:sz="2" w:space="0"/>
                    <w:left w:val="single" w:color="000000" w:sz="2" w:space="0"/>
                    <w:bottom w:val="single" w:color="000000" w:sz="2" w:space="0"/>
                    <w:right w:val="single" w:color="000000" w:sz="2" w:space="0"/>
                    <w:tl2br w:val="nil"/>
                    <w:tr2bl w:val="nil"/>
                  </w:tcBorders>
                  <w:vAlign w:val="center"/>
                </w:tcPr>
                <w:p w14:paraId="0803C546">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棉杆基炭</w:t>
                  </w: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14:paraId="7857D48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64800</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14:paraId="2A790962">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32</w:t>
                  </w:r>
                </w:p>
              </w:tc>
              <w:tc>
                <w:tcPr>
                  <w:tcW w:w="835" w:type="dxa"/>
                  <w:tcBorders>
                    <w:top w:val="single" w:color="auto" w:sz="2" w:space="0"/>
                    <w:left w:val="single" w:color="000000" w:sz="2" w:space="0"/>
                    <w:bottom w:val="single" w:color="auto" w:sz="2" w:space="0"/>
                    <w:right w:val="single" w:color="auto" w:sz="2" w:space="0"/>
                    <w:tl2br w:val="nil"/>
                    <w:tr2bl w:val="nil"/>
                  </w:tcBorders>
                  <w:vAlign w:val="center"/>
                </w:tcPr>
                <w:p w14:paraId="7990DF4B">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207.36</w:t>
                  </w:r>
                </w:p>
              </w:tc>
              <w:tc>
                <w:tcPr>
                  <w:tcW w:w="684" w:type="dxa"/>
                  <w:tcBorders>
                    <w:top w:val="single" w:color="auto" w:sz="2" w:space="0"/>
                    <w:left w:val="single" w:color="auto" w:sz="2" w:space="0"/>
                    <w:bottom w:val="single" w:color="auto" w:sz="2" w:space="0"/>
                    <w:tl2br w:val="nil"/>
                    <w:tr2bl w:val="nil"/>
                  </w:tcBorders>
                  <w:vAlign w:val="center"/>
                </w:tcPr>
                <w:p w14:paraId="02F700DF">
                  <w:pPr>
                    <w:keepNext w:val="0"/>
                    <w:keepLines w:val="0"/>
                    <w:pageBreakBefore w:val="0"/>
                    <w:widowControl/>
                    <w:suppressLineNumbers w:val="0"/>
                    <w:wordWrap/>
                    <w:topLinePunct w:val="0"/>
                    <w:bidi w:val="0"/>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46.2</w:t>
                  </w:r>
                </w:p>
              </w:tc>
            </w:tr>
            <w:tr w14:paraId="29DB3F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3" w:type="dxa"/>
                  <w:tcBorders>
                    <w:top w:val="single" w:color="000000" w:sz="2" w:space="0"/>
                    <w:bottom w:val="single" w:color="000000" w:sz="2" w:space="0"/>
                    <w:right w:val="single" w:color="000000" w:sz="2" w:space="0"/>
                    <w:tl2br w:val="nil"/>
                    <w:tr2bl w:val="nil"/>
                  </w:tcBorders>
                  <w:vAlign w:val="center"/>
                </w:tcPr>
                <w:p w14:paraId="7CC71B41">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14:paraId="1D532226">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14:paraId="4C6A75CA">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14:paraId="05BF4CBA">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14:paraId="3AACCE99">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1145" w:type="dxa"/>
                  <w:tcBorders>
                    <w:top w:val="single" w:color="000000" w:sz="2" w:space="0"/>
                    <w:left w:val="single" w:color="000000" w:sz="2" w:space="0"/>
                    <w:bottom w:val="single" w:color="000000" w:sz="2" w:space="0"/>
                    <w:right w:val="single" w:color="000000" w:sz="2" w:space="0"/>
                    <w:tl2br w:val="nil"/>
                    <w:tr2bl w:val="nil"/>
                  </w:tcBorders>
                  <w:vAlign w:val="center"/>
                </w:tcPr>
                <w:p w14:paraId="18FA0F87">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二氧化硫</w:t>
                  </w: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14:paraId="5BA9C919">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483.84</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14:paraId="58524D5F">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835" w:type="dxa"/>
                  <w:tcBorders>
                    <w:top w:val="single" w:color="auto" w:sz="2" w:space="0"/>
                    <w:left w:val="single" w:color="000000" w:sz="2" w:space="0"/>
                    <w:bottom w:val="single" w:color="auto" w:sz="2" w:space="0"/>
                    <w:right w:val="single" w:color="auto" w:sz="2" w:space="0"/>
                    <w:tl2br w:val="nil"/>
                    <w:tr2bl w:val="nil"/>
                  </w:tcBorders>
                  <w:vAlign w:val="center"/>
                </w:tcPr>
                <w:p w14:paraId="694382B5">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241.92</w:t>
                  </w:r>
                </w:p>
              </w:tc>
              <w:tc>
                <w:tcPr>
                  <w:tcW w:w="684" w:type="dxa"/>
                  <w:tcBorders>
                    <w:top w:val="single" w:color="auto" w:sz="2" w:space="0"/>
                    <w:left w:val="single" w:color="auto" w:sz="2" w:space="0"/>
                    <w:bottom w:val="single" w:color="auto" w:sz="2" w:space="0"/>
                    <w:tl2br w:val="nil"/>
                    <w:tr2bl w:val="nil"/>
                  </w:tcBorders>
                  <w:vAlign w:val="center"/>
                </w:tcPr>
                <w:p w14:paraId="59D37E94">
                  <w:pPr>
                    <w:keepNext w:val="0"/>
                    <w:keepLines w:val="0"/>
                    <w:pageBreakBefore w:val="0"/>
                    <w:widowControl/>
                    <w:suppressLineNumbers w:val="0"/>
                    <w:wordWrap/>
                    <w:topLinePunct w:val="0"/>
                    <w:bidi w:val="0"/>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53.8</w:t>
                  </w:r>
                </w:p>
              </w:tc>
            </w:tr>
            <w:tr w14:paraId="7351B2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5" w:type="dxa"/>
                  <w:gridSpan w:val="3"/>
                  <w:tcBorders>
                    <w:top w:val="single" w:color="000000" w:sz="2" w:space="0"/>
                    <w:right w:val="single" w:color="000000" w:sz="2" w:space="0"/>
                    <w:tl2br w:val="nil"/>
                    <w:tr2bl w:val="nil"/>
                  </w:tcBorders>
                  <w:vAlign w:val="center"/>
                </w:tcPr>
                <w:p w14:paraId="796608C0">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826" w:type="dxa"/>
                  <w:tcBorders>
                    <w:top w:val="single" w:color="000000" w:sz="2" w:space="0"/>
                    <w:left w:val="single" w:color="000000" w:sz="2" w:space="0"/>
                    <w:right w:val="single" w:color="000000" w:sz="2" w:space="0"/>
                    <w:tl2br w:val="nil"/>
                    <w:tr2bl w:val="nil"/>
                  </w:tcBorders>
                  <w:vAlign w:val="center"/>
                </w:tcPr>
                <w:p w14:paraId="65677FF6">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74" w:type="dxa"/>
                  <w:tcBorders>
                    <w:top w:val="single" w:color="000000" w:sz="2" w:space="0"/>
                    <w:left w:val="single" w:color="000000" w:sz="2" w:space="0"/>
                    <w:right w:val="single" w:color="000000" w:sz="2" w:space="0"/>
                    <w:tl2br w:val="nil"/>
                    <w:tr2bl w:val="nil"/>
                  </w:tcBorders>
                  <w:vAlign w:val="center"/>
                </w:tcPr>
                <w:p w14:paraId="20A99357">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628" w:type="dxa"/>
                  <w:gridSpan w:val="3"/>
                  <w:tcBorders>
                    <w:top w:val="single" w:color="000000" w:sz="2" w:space="0"/>
                    <w:left w:val="single" w:color="000000" w:sz="2" w:space="0"/>
                    <w:right w:val="single" w:color="000000" w:sz="2" w:space="0"/>
                    <w:tl2br w:val="nil"/>
                    <w:tr2bl w:val="nil"/>
                  </w:tcBorders>
                  <w:vAlign w:val="center"/>
                </w:tcPr>
                <w:p w14:paraId="5710C56F">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835" w:type="dxa"/>
                  <w:tcBorders>
                    <w:top w:val="single" w:color="auto" w:sz="2" w:space="0"/>
                    <w:left w:val="single" w:color="000000" w:sz="2" w:space="0"/>
                    <w:right w:val="single" w:color="auto" w:sz="2" w:space="0"/>
                    <w:tl2br w:val="nil"/>
                    <w:tr2bl w:val="nil"/>
                  </w:tcBorders>
                  <w:vAlign w:val="center"/>
                </w:tcPr>
                <w:p w14:paraId="41C5FB24">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84" w:type="dxa"/>
                  <w:tcBorders>
                    <w:top w:val="single" w:color="auto" w:sz="2" w:space="0"/>
                    <w:left w:val="single" w:color="auto" w:sz="2" w:space="0"/>
                    <w:tl2br w:val="nil"/>
                    <w:tr2bl w:val="nil"/>
                  </w:tcBorders>
                  <w:vAlign w:val="center"/>
                </w:tcPr>
                <w:p w14:paraId="0DE583F3">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r>
          </w:tbl>
          <w:p w14:paraId="7E7F9CBA">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根据上表结果可知，项目炭化工段二氧化硫产生总量为</w:t>
            </w:r>
            <w:r>
              <w:rPr>
                <w:rFonts w:hint="eastAsia" w:cs="宋体"/>
                <w:color w:val="auto"/>
                <w:sz w:val="24"/>
                <w:szCs w:val="24"/>
                <w:highlight w:val="none"/>
                <w:lang w:val="en-US" w:eastAsia="zh-CN" w:bidi="ar"/>
              </w:rPr>
              <w:t>483.84t/a，产生速率为67.2kg/h。单台炭化炉二氧化硫产生量为24.192t/a，产生速率为3.36kg/h。</w:t>
            </w:r>
          </w:p>
          <w:p w14:paraId="55BF7E9C">
            <w:pPr>
              <w:tabs>
                <w:tab w:val="center" w:pos="4736"/>
              </w:tabs>
              <w:spacing w:line="360" w:lineRule="auto"/>
              <w:ind w:firstLine="480" w:firstLineChars="200"/>
              <w:rPr>
                <w:rFonts w:hint="eastAsia"/>
                <w:color w:val="auto"/>
                <w:sz w:val="24"/>
              </w:rPr>
            </w:pPr>
            <w:r>
              <w:rPr>
                <w:rFonts w:hint="eastAsia"/>
                <w:color w:val="auto"/>
                <w:sz w:val="24"/>
              </w:rPr>
              <w:t>②NOx</w:t>
            </w:r>
          </w:p>
          <w:p w14:paraId="2374CD12">
            <w:pPr>
              <w:tabs>
                <w:tab w:val="center" w:pos="4736"/>
              </w:tabs>
              <w:spacing w:line="360" w:lineRule="auto"/>
              <w:ind w:firstLine="480" w:firstLineChars="200"/>
              <w:rPr>
                <w:rFonts w:hint="eastAsia"/>
                <w:color w:val="auto"/>
                <w:sz w:val="24"/>
              </w:rPr>
            </w:pPr>
            <w:r>
              <w:rPr>
                <w:rFonts w:hint="eastAsia"/>
                <w:color w:val="auto"/>
                <w:sz w:val="24"/>
                <w:lang w:eastAsia="zh-CN"/>
              </w:rPr>
              <w:t>根据项目工艺实验室状态下，实际运行过程的检测数据，项目燃烧烟气中</w:t>
            </w:r>
            <w:r>
              <w:rPr>
                <w:rFonts w:hint="eastAsia"/>
                <w:color w:val="auto"/>
                <w:sz w:val="24"/>
                <w:lang w:val="en-US" w:eastAsia="zh-CN"/>
              </w:rPr>
              <w:t>NOx产生浓度为116ppm，标况下换算浓度约为218.24mg/m</w:t>
            </w:r>
            <w:r>
              <w:rPr>
                <w:rFonts w:hint="eastAsia"/>
                <w:color w:val="auto"/>
                <w:sz w:val="24"/>
                <w:vertAlign w:val="superscript"/>
                <w:lang w:val="en-US" w:eastAsia="zh-CN"/>
              </w:rPr>
              <w:t>3</w:t>
            </w:r>
            <w:r>
              <w:rPr>
                <w:rFonts w:hint="eastAsia"/>
                <w:color w:val="auto"/>
                <w:sz w:val="24"/>
                <w:vertAlign w:val="baseline"/>
                <w:lang w:val="en-US" w:eastAsia="zh-CN"/>
              </w:rPr>
              <w:t>。核算NOx产生量为221.91t/a，产生速率为30.82kg/h。单台炭化炉</w:t>
            </w:r>
            <w:r>
              <w:rPr>
                <w:rFonts w:hint="eastAsia"/>
                <w:color w:val="auto"/>
                <w:sz w:val="24"/>
              </w:rPr>
              <w:t>NOx产生量为</w:t>
            </w:r>
            <w:r>
              <w:rPr>
                <w:rFonts w:hint="eastAsia"/>
                <w:color w:val="auto"/>
                <w:sz w:val="24"/>
                <w:lang w:val="en-US" w:eastAsia="zh-CN"/>
              </w:rPr>
              <w:t>11.0955</w:t>
            </w:r>
            <w:r>
              <w:rPr>
                <w:rFonts w:hint="eastAsia"/>
                <w:color w:val="auto"/>
                <w:sz w:val="24"/>
              </w:rPr>
              <w:t>t/a，产生速率为</w:t>
            </w:r>
            <w:r>
              <w:rPr>
                <w:rFonts w:hint="eastAsia"/>
                <w:color w:val="auto"/>
                <w:sz w:val="24"/>
                <w:lang w:val="en-US" w:eastAsia="zh-CN"/>
              </w:rPr>
              <w:t>1.541</w:t>
            </w:r>
            <w:r>
              <w:rPr>
                <w:rFonts w:hint="eastAsia"/>
                <w:color w:val="auto"/>
                <w:sz w:val="24"/>
              </w:rPr>
              <w:t>kg/</w:t>
            </w:r>
            <w:r>
              <w:rPr>
                <w:rFonts w:hint="eastAsia"/>
                <w:color w:val="auto"/>
                <w:sz w:val="24"/>
                <w:lang w:val="en-US" w:eastAsia="zh-CN"/>
              </w:rPr>
              <w:t>h</w:t>
            </w:r>
            <w:r>
              <w:rPr>
                <w:rFonts w:hint="eastAsia"/>
                <w:color w:val="auto"/>
                <w:sz w:val="24"/>
              </w:rPr>
              <w:t>。</w:t>
            </w:r>
          </w:p>
          <w:p w14:paraId="4F27F4C5">
            <w:pPr>
              <w:tabs>
                <w:tab w:val="center" w:pos="4736"/>
              </w:tabs>
              <w:spacing w:line="360" w:lineRule="auto"/>
              <w:ind w:firstLine="480" w:firstLineChars="200"/>
              <w:rPr>
                <w:rFonts w:hint="eastAsia"/>
                <w:color w:val="auto"/>
                <w:sz w:val="24"/>
              </w:rPr>
            </w:pPr>
            <w:r>
              <w:rPr>
                <w:rFonts w:hint="eastAsia"/>
                <w:color w:val="auto"/>
                <w:sz w:val="24"/>
              </w:rPr>
              <w:t>③颗粒物</w:t>
            </w:r>
          </w:p>
          <w:p w14:paraId="4F81F8DD">
            <w:pPr>
              <w:tabs>
                <w:tab w:val="center" w:pos="4736"/>
              </w:tabs>
              <w:spacing w:line="360" w:lineRule="auto"/>
              <w:ind w:firstLine="480" w:firstLineChars="200"/>
              <w:rPr>
                <w:rFonts w:hint="eastAsia"/>
                <w:color w:val="auto"/>
                <w:sz w:val="24"/>
              </w:rPr>
            </w:pPr>
            <w:r>
              <w:rPr>
                <w:rFonts w:hint="eastAsia"/>
                <w:color w:val="auto"/>
                <w:sz w:val="24"/>
                <w:lang w:eastAsia="zh-CN"/>
              </w:rPr>
              <w:t>根据项目工艺实验室状态下，实际运行过程的检测数据，项目燃烧烟气中</w:t>
            </w:r>
            <w:r>
              <w:rPr>
                <w:rFonts w:hint="eastAsia"/>
                <w:color w:val="auto"/>
                <w:sz w:val="24"/>
                <w:lang w:val="en-US" w:eastAsia="zh-CN"/>
              </w:rPr>
              <w:t>颗粒物产生浓度约为5797.6mg/m</w:t>
            </w:r>
            <w:r>
              <w:rPr>
                <w:rFonts w:hint="eastAsia"/>
                <w:color w:val="auto"/>
                <w:sz w:val="24"/>
                <w:vertAlign w:val="superscript"/>
                <w:lang w:val="en-US" w:eastAsia="zh-CN"/>
              </w:rPr>
              <w:t>3</w:t>
            </w:r>
            <w:r>
              <w:rPr>
                <w:rFonts w:hint="eastAsia"/>
                <w:color w:val="auto"/>
                <w:sz w:val="24"/>
                <w:vertAlign w:val="baseline"/>
                <w:lang w:val="en-US" w:eastAsia="zh-CN"/>
              </w:rPr>
              <w:t>。核算颗粒物产生量为5895.24t/a，产生速率为818.78kg/h。单台炭化炉</w:t>
            </w:r>
            <w:r>
              <w:rPr>
                <w:rFonts w:hint="eastAsia"/>
                <w:color w:val="auto"/>
                <w:sz w:val="24"/>
                <w:lang w:eastAsia="zh-CN"/>
              </w:rPr>
              <w:t>颗粒物</w:t>
            </w:r>
            <w:r>
              <w:rPr>
                <w:rFonts w:hint="eastAsia"/>
                <w:color w:val="auto"/>
                <w:sz w:val="24"/>
              </w:rPr>
              <w:t>产生量为</w:t>
            </w:r>
            <w:r>
              <w:rPr>
                <w:rFonts w:hint="eastAsia"/>
                <w:color w:val="auto"/>
                <w:sz w:val="24"/>
                <w:lang w:val="en-US" w:eastAsia="zh-CN"/>
              </w:rPr>
              <w:t>294.762</w:t>
            </w:r>
            <w:r>
              <w:rPr>
                <w:rFonts w:hint="eastAsia"/>
                <w:color w:val="auto"/>
                <w:sz w:val="24"/>
              </w:rPr>
              <w:t>t/a，产生速率为</w:t>
            </w:r>
            <w:r>
              <w:rPr>
                <w:rFonts w:hint="eastAsia"/>
                <w:color w:val="auto"/>
                <w:sz w:val="24"/>
                <w:lang w:val="en-US" w:eastAsia="zh-CN"/>
              </w:rPr>
              <w:t>40.94</w:t>
            </w:r>
            <w:r>
              <w:rPr>
                <w:rFonts w:hint="eastAsia"/>
                <w:color w:val="auto"/>
                <w:sz w:val="24"/>
              </w:rPr>
              <w:t>kg/</w:t>
            </w:r>
            <w:r>
              <w:rPr>
                <w:rFonts w:hint="eastAsia"/>
                <w:color w:val="auto"/>
                <w:sz w:val="24"/>
                <w:lang w:val="en-US" w:eastAsia="zh-CN"/>
              </w:rPr>
              <w:t>h</w:t>
            </w:r>
            <w:r>
              <w:rPr>
                <w:rFonts w:hint="eastAsia"/>
                <w:color w:val="auto"/>
                <w:sz w:val="24"/>
              </w:rPr>
              <w:t>。</w:t>
            </w:r>
          </w:p>
          <w:p w14:paraId="02C5D987">
            <w:pPr>
              <w:tabs>
                <w:tab w:val="center" w:pos="4736"/>
              </w:tabs>
              <w:spacing w:line="360" w:lineRule="auto"/>
              <w:ind w:firstLine="480" w:firstLineChars="200"/>
              <w:rPr>
                <w:rFonts w:hint="eastAsia"/>
                <w:color w:val="auto"/>
                <w:sz w:val="24"/>
              </w:rPr>
            </w:pPr>
            <w:r>
              <w:rPr>
                <w:rFonts w:hint="eastAsia"/>
                <w:color w:val="auto"/>
                <w:sz w:val="24"/>
              </w:rPr>
              <w:t>根据图</w:t>
            </w:r>
            <w:r>
              <w:rPr>
                <w:rFonts w:hint="eastAsia"/>
                <w:color w:val="auto"/>
                <w:sz w:val="24"/>
                <w:lang w:val="en-US" w:eastAsia="zh-CN"/>
              </w:rPr>
              <w:t>7</w:t>
            </w:r>
            <w:r>
              <w:rPr>
                <w:rFonts w:hint="eastAsia"/>
                <w:color w:val="auto"/>
                <w:sz w:val="24"/>
              </w:rPr>
              <w:t>项目炭化烟气流向图，项目二十台炭化炉燃烧室均采用低氮燃烧</w:t>
            </w:r>
            <w:r>
              <w:rPr>
                <w:rFonts w:hint="eastAsia"/>
                <w:color w:val="auto"/>
                <w:sz w:val="24"/>
                <w:lang w:val="en-US" w:eastAsia="zh-CN"/>
              </w:rPr>
              <w:t>器并辅助烟气外循环（FGR）</w:t>
            </w:r>
            <w:r>
              <w:rPr>
                <w:rFonts w:hint="eastAsia"/>
                <w:color w:val="auto"/>
                <w:sz w:val="24"/>
              </w:rPr>
              <w:t>技术，烟气经炉体和蒸汽蒸发器换热后经三套袋式除尘系统</w:t>
            </w:r>
            <w:r>
              <w:rPr>
                <w:rFonts w:hint="eastAsia"/>
                <w:color w:val="auto"/>
                <w:sz w:val="24"/>
                <w:lang w:eastAsia="zh-CN"/>
              </w:rPr>
              <w:t>和两套石灰石</w:t>
            </w:r>
            <w:r>
              <w:rPr>
                <w:rFonts w:hint="eastAsia"/>
                <w:color w:val="auto"/>
                <w:sz w:val="24"/>
                <w:lang w:val="en-US" w:eastAsia="zh-CN"/>
              </w:rPr>
              <w:t>/石膏脱硫装置</w:t>
            </w:r>
            <w:r>
              <w:rPr>
                <w:rFonts w:hint="eastAsia"/>
                <w:color w:val="auto"/>
                <w:sz w:val="24"/>
              </w:rPr>
              <w:t>处理后通过2根30m高排气筒排放</w:t>
            </w:r>
            <w:r>
              <w:rPr>
                <w:rFonts w:hint="eastAsia"/>
                <w:color w:val="auto"/>
                <w:sz w:val="24"/>
                <w:lang w:eastAsia="zh-CN"/>
              </w:rPr>
              <w:t>。其中低氮燃烧器</w:t>
            </w:r>
            <w:r>
              <w:rPr>
                <w:rFonts w:hint="eastAsia"/>
                <w:color w:val="auto"/>
                <w:sz w:val="24"/>
                <w:lang w:val="en-US" w:eastAsia="zh-CN"/>
              </w:rPr>
              <w:t>+烟气外循环技术脱硝效率以40%计，石灰石/石膏脱硫装置脱硫效率以90%计，袋式除尘器除尘效率以99.9%计，则项目各炭化废气排气筒污染物排放情况见表4-3。</w:t>
            </w:r>
          </w:p>
          <w:p w14:paraId="59E8B6A1">
            <w:pPr>
              <w:keepNext w:val="0"/>
              <w:keepLines w:val="0"/>
              <w:suppressLineNumbers w:val="0"/>
              <w:shd w:val="clear"/>
              <w:spacing w:before="0" w:beforeAutospacing="0" w:after="0" w:afterAutospacing="0" w:line="240" w:lineRule="auto"/>
              <w:ind w:left="0" w:right="110" w:firstLine="420" w:firstLineChars="200"/>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4-3</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项目炭化尾气排放情况表</w:t>
            </w:r>
            <w:r>
              <w:rPr>
                <w:rFonts w:hint="default" w:ascii="黑体" w:hAnsi="黑体" w:eastAsia="黑体" w:cs="Times New Roman"/>
                <w:color w:val="auto"/>
                <w:sz w:val="21"/>
                <w:szCs w:val="21"/>
                <w:highlight w:val="none"/>
              </w:rPr>
              <w:t xml:space="preserve"> </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73"/>
              <w:gridCol w:w="1660"/>
              <w:gridCol w:w="1044"/>
              <w:gridCol w:w="1092"/>
              <w:gridCol w:w="972"/>
              <w:gridCol w:w="1780"/>
            </w:tblGrid>
            <w:tr w14:paraId="327C08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Align w:val="center"/>
                </w:tcPr>
                <w:p w14:paraId="19D109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废气来源</w:t>
                  </w:r>
                </w:p>
              </w:tc>
              <w:tc>
                <w:tcPr>
                  <w:tcW w:w="873" w:type="dxa"/>
                  <w:vAlign w:val="center"/>
                </w:tcPr>
                <w:p w14:paraId="45E3AEC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污染物</w:t>
                  </w:r>
                </w:p>
              </w:tc>
              <w:tc>
                <w:tcPr>
                  <w:tcW w:w="1660" w:type="dxa"/>
                  <w:vAlign w:val="center"/>
                </w:tcPr>
                <w:p w14:paraId="772FDE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产生量</w:t>
                  </w:r>
                </w:p>
              </w:tc>
              <w:tc>
                <w:tcPr>
                  <w:tcW w:w="1044" w:type="dxa"/>
                  <w:vAlign w:val="center"/>
                </w:tcPr>
                <w:p w14:paraId="6DE358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处置措施</w:t>
                  </w:r>
                </w:p>
              </w:tc>
              <w:tc>
                <w:tcPr>
                  <w:tcW w:w="1092" w:type="dxa"/>
                  <w:vAlign w:val="center"/>
                </w:tcPr>
                <w:p w14:paraId="1D5B96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处置效率</w:t>
                  </w:r>
                </w:p>
              </w:tc>
              <w:tc>
                <w:tcPr>
                  <w:tcW w:w="972" w:type="dxa"/>
                  <w:vAlign w:val="center"/>
                </w:tcPr>
                <w:p w14:paraId="106A80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排放口</w:t>
                  </w:r>
                </w:p>
              </w:tc>
              <w:tc>
                <w:tcPr>
                  <w:tcW w:w="1780" w:type="dxa"/>
                  <w:vAlign w:val="center"/>
                </w:tcPr>
                <w:p w14:paraId="0320BA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排放量</w:t>
                  </w:r>
                </w:p>
              </w:tc>
            </w:tr>
            <w:tr w14:paraId="0F981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restart"/>
                  <w:vAlign w:val="center"/>
                </w:tcPr>
                <w:p w14:paraId="1091326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1#~4#炭化炉</w:t>
                  </w:r>
                </w:p>
                <w:p w14:paraId="144DB11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共4台</w:t>
                  </w:r>
                </w:p>
              </w:tc>
              <w:tc>
                <w:tcPr>
                  <w:tcW w:w="873" w:type="dxa"/>
                  <w:vAlign w:val="center"/>
                </w:tcPr>
                <w:p w14:paraId="10649B3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14:paraId="5D6E56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20337万m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14:paraId="6708AE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低氮燃烧器+烟气外循环+袋式除尘器1#+石灰石石膏脱硫装置1#</w:t>
                  </w:r>
                </w:p>
              </w:tc>
              <w:tc>
                <w:tcPr>
                  <w:tcW w:w="1092" w:type="dxa"/>
                  <w:vAlign w:val="center"/>
                </w:tcPr>
                <w:p w14:paraId="6581ED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72" w:type="dxa"/>
                  <w:vMerge w:val="restart"/>
                  <w:vAlign w:val="center"/>
                </w:tcPr>
                <w:p w14:paraId="48A104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30m高烟囱DA001</w:t>
                  </w:r>
                </w:p>
              </w:tc>
              <w:tc>
                <w:tcPr>
                  <w:tcW w:w="1780" w:type="dxa"/>
                  <w:vAlign w:val="center"/>
                </w:tcPr>
                <w:p w14:paraId="352DAD2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20337万m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r>
            <w:tr w14:paraId="7EDA18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1151EF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14:paraId="456C57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14:paraId="66BD08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96.768t/a</w:t>
                  </w:r>
                </w:p>
                <w:p w14:paraId="37F52EF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13.44kg/h</w:t>
                  </w:r>
                </w:p>
                <w:p w14:paraId="129F88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6362EC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14:paraId="34B16D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90%</w:t>
                  </w:r>
                </w:p>
              </w:tc>
              <w:tc>
                <w:tcPr>
                  <w:tcW w:w="972" w:type="dxa"/>
                  <w:vMerge w:val="continue"/>
                  <w:vAlign w:val="center"/>
                </w:tcPr>
                <w:p w14:paraId="45C87CB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14:paraId="7192FA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9.6768t/a</w:t>
                  </w:r>
                </w:p>
                <w:p w14:paraId="28AD397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1.344kg/h</w:t>
                  </w:r>
                </w:p>
                <w:p w14:paraId="7D17D8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r>
            <w:tr w14:paraId="46044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5722AE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14:paraId="7B1A47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14:paraId="5841962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44.382t/a</w:t>
                  </w:r>
                </w:p>
                <w:p w14:paraId="06FCA1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6.164kg/h</w:t>
                  </w:r>
                </w:p>
                <w:p w14:paraId="1309DB6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0AAF04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14:paraId="1B08520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72" w:type="dxa"/>
                  <w:vMerge w:val="continue"/>
                  <w:vAlign w:val="center"/>
                </w:tcPr>
                <w:p w14:paraId="6D1C46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14:paraId="0138E9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26.6292t/a</w:t>
                  </w:r>
                </w:p>
                <w:p w14:paraId="3AC251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3.6984kg/h</w:t>
                  </w:r>
                </w:p>
                <w:p w14:paraId="73B0BD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130.94mg/m</w:t>
                  </w:r>
                  <w:r>
                    <w:rPr>
                      <w:rFonts w:hint="eastAsia" w:cs="Times New Roman"/>
                      <w:color w:val="auto"/>
                      <w:sz w:val="21"/>
                      <w:szCs w:val="21"/>
                      <w:highlight w:val="none"/>
                      <w:vertAlign w:val="superscript"/>
                      <w:lang w:val="en-US" w:eastAsia="zh-CN"/>
                    </w:rPr>
                    <w:t>3</w:t>
                  </w:r>
                </w:p>
              </w:tc>
            </w:tr>
            <w:tr w14:paraId="7493FE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3FE384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14:paraId="19DA226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14:paraId="0A4477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1179.05t/a</w:t>
                  </w:r>
                </w:p>
                <w:p w14:paraId="5ECB77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163.76kg/h</w:t>
                  </w:r>
                </w:p>
                <w:p w14:paraId="1BCD7C3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67DB989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14:paraId="3C4BE16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99.9%</w:t>
                  </w:r>
                </w:p>
              </w:tc>
              <w:tc>
                <w:tcPr>
                  <w:tcW w:w="972" w:type="dxa"/>
                  <w:vMerge w:val="continue"/>
                  <w:vAlign w:val="center"/>
                </w:tcPr>
                <w:p w14:paraId="24463CE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14:paraId="1F82F5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1.179t/a</w:t>
                  </w:r>
                </w:p>
                <w:p w14:paraId="2CE2DDC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0.164kg/h</w:t>
                  </w:r>
                </w:p>
                <w:p w14:paraId="20D900F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val="en-US" w:eastAsia="zh-CN"/>
                    </w:rPr>
                  </w:pPr>
                  <w:r>
                    <w:rPr>
                      <w:rFonts w:hint="eastAsia" w:cs="Times New Roman"/>
                      <w:color w:val="auto"/>
                      <w:sz w:val="21"/>
                      <w:szCs w:val="21"/>
                      <w:highlight w:val="none"/>
                      <w:lang w:val="en-US" w:eastAsia="zh-CN"/>
                    </w:rPr>
                    <w:t>5.8mg/m</w:t>
                  </w:r>
                  <w:r>
                    <w:rPr>
                      <w:rFonts w:hint="eastAsia" w:cs="Times New Roman"/>
                      <w:color w:val="auto"/>
                      <w:sz w:val="21"/>
                      <w:szCs w:val="21"/>
                      <w:highlight w:val="none"/>
                      <w:vertAlign w:val="superscript"/>
                      <w:lang w:val="en-US" w:eastAsia="zh-CN"/>
                    </w:rPr>
                    <w:t>3</w:t>
                  </w:r>
                </w:p>
              </w:tc>
            </w:tr>
            <w:tr w14:paraId="0E2736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restart"/>
                  <w:vAlign w:val="center"/>
                </w:tcPr>
                <w:p w14:paraId="57A7051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val="en-US" w:eastAsia="zh-CN"/>
                    </w:rPr>
                    <w:t>5#~12#炭化炉共8台</w:t>
                  </w:r>
                </w:p>
              </w:tc>
              <w:tc>
                <w:tcPr>
                  <w:tcW w:w="873" w:type="dxa"/>
                  <w:vAlign w:val="center"/>
                </w:tcPr>
                <w:p w14:paraId="4560DF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14:paraId="5AEDA0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val="en-US" w:eastAsia="zh-CN"/>
                    </w:rPr>
                    <w:t>40674万m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14:paraId="25D32D8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低氮燃烧器+烟气外循环+袋式除尘器2#+石灰石石膏脱硫装置2#</w:t>
                  </w:r>
                </w:p>
              </w:tc>
              <w:tc>
                <w:tcPr>
                  <w:tcW w:w="1092" w:type="dxa"/>
                  <w:vAlign w:val="center"/>
                </w:tcPr>
                <w:p w14:paraId="60FE27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972" w:type="dxa"/>
                  <w:vMerge w:val="restart"/>
                  <w:vAlign w:val="center"/>
                </w:tcPr>
                <w:p w14:paraId="538100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30m高烟囱DA002</w:t>
                  </w:r>
                </w:p>
              </w:tc>
              <w:tc>
                <w:tcPr>
                  <w:tcW w:w="1780" w:type="dxa"/>
                  <w:vMerge w:val="restart"/>
                  <w:vAlign w:val="center"/>
                </w:tcPr>
                <w:p w14:paraId="1B3978B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废气量:81348万m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r>
            <w:tr w14:paraId="67C17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0294EBB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p>
              </w:tc>
              <w:tc>
                <w:tcPr>
                  <w:tcW w:w="873" w:type="dxa"/>
                  <w:vAlign w:val="center"/>
                </w:tcPr>
                <w:p w14:paraId="5A17557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14:paraId="18B032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193.536t/a</w:t>
                  </w:r>
                </w:p>
                <w:p w14:paraId="10C3BA8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26.88kg/h</w:t>
                  </w:r>
                </w:p>
                <w:p w14:paraId="68D88E0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35A4CD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14:paraId="74206E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90%</w:t>
                  </w:r>
                </w:p>
              </w:tc>
              <w:tc>
                <w:tcPr>
                  <w:tcW w:w="972" w:type="dxa"/>
                  <w:vMerge w:val="continue"/>
                  <w:vAlign w:val="center"/>
                </w:tcPr>
                <w:p w14:paraId="2C9DF84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Merge w:val="continue"/>
                  <w:vAlign w:val="center"/>
                </w:tcPr>
                <w:p w14:paraId="149B48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2AB259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02F37C9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873" w:type="dxa"/>
                  <w:vAlign w:val="center"/>
                </w:tcPr>
                <w:p w14:paraId="4E45BB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14:paraId="39AA0B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88.764t/a</w:t>
                  </w:r>
                </w:p>
                <w:p w14:paraId="5E06A1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12.33kg/h</w:t>
                  </w:r>
                </w:p>
                <w:p w14:paraId="0FD2599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69ADE78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092" w:type="dxa"/>
                  <w:vAlign w:val="center"/>
                </w:tcPr>
                <w:p w14:paraId="1CDD662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w:t>
                  </w:r>
                </w:p>
              </w:tc>
              <w:tc>
                <w:tcPr>
                  <w:tcW w:w="972" w:type="dxa"/>
                  <w:vMerge w:val="continue"/>
                  <w:vAlign w:val="center"/>
                </w:tcPr>
                <w:p w14:paraId="3066B13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restart"/>
                  <w:vAlign w:val="center"/>
                </w:tcPr>
                <w:p w14:paraId="3654EB7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r>
                    <w:rPr>
                      <w:rFonts w:hint="eastAsia" w:cs="Times New Roman"/>
                      <w:color w:val="auto"/>
                      <w:sz w:val="21"/>
                      <w:szCs w:val="21"/>
                      <w:highlight w:val="none"/>
                      <w:lang w:val="en-US" w:eastAsia="zh-CN"/>
                    </w:rPr>
                    <w:t>：38.7072t/a</w:t>
                  </w:r>
                </w:p>
                <w:p w14:paraId="451ED05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5.376kg/h</w:t>
                  </w:r>
                </w:p>
                <w:p w14:paraId="168A75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r>
            <w:tr w14:paraId="3BDFD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65631F2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873" w:type="dxa"/>
                  <w:vAlign w:val="center"/>
                </w:tcPr>
                <w:p w14:paraId="5976045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14:paraId="1935BD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2358.1t/a</w:t>
                  </w:r>
                </w:p>
                <w:p w14:paraId="527E57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327.51kg/h</w:t>
                  </w:r>
                </w:p>
                <w:p w14:paraId="45FD13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4B08FB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092" w:type="dxa"/>
                  <w:vAlign w:val="center"/>
                </w:tcPr>
                <w:p w14:paraId="10B200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99.9%</w:t>
                  </w:r>
                </w:p>
              </w:tc>
              <w:tc>
                <w:tcPr>
                  <w:tcW w:w="972" w:type="dxa"/>
                  <w:vMerge w:val="continue"/>
                  <w:vAlign w:val="center"/>
                </w:tcPr>
                <w:p w14:paraId="2057919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continue"/>
                  <w:vAlign w:val="center"/>
                </w:tcPr>
                <w:p w14:paraId="3C29AD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r>
            <w:tr w14:paraId="77820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restart"/>
                  <w:vAlign w:val="center"/>
                </w:tcPr>
                <w:p w14:paraId="39D29DF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13#~20#炭化炉</w:t>
                  </w:r>
                </w:p>
                <w:p w14:paraId="3ECCBB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共8台</w:t>
                  </w:r>
                </w:p>
              </w:tc>
              <w:tc>
                <w:tcPr>
                  <w:tcW w:w="873" w:type="dxa"/>
                  <w:vAlign w:val="center"/>
                </w:tcPr>
                <w:p w14:paraId="3A7E16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14:paraId="0B95D46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40674万m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14:paraId="670F81A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低氮燃烧器+烟气外循环+袋式除尘器3#+石灰石石膏脱硫装置2#</w:t>
                  </w:r>
                </w:p>
              </w:tc>
              <w:tc>
                <w:tcPr>
                  <w:tcW w:w="1092" w:type="dxa"/>
                  <w:vAlign w:val="center"/>
                </w:tcPr>
                <w:p w14:paraId="3098F8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972" w:type="dxa"/>
                  <w:vMerge w:val="continue"/>
                  <w:vAlign w:val="center"/>
                </w:tcPr>
                <w:p w14:paraId="1A55E06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restart"/>
                  <w:vAlign w:val="center"/>
                </w:tcPr>
                <w:p w14:paraId="5C4234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r>
                    <w:rPr>
                      <w:rFonts w:hint="eastAsia" w:cs="Times New Roman"/>
                      <w:color w:val="auto"/>
                      <w:sz w:val="21"/>
                      <w:szCs w:val="21"/>
                      <w:highlight w:val="none"/>
                      <w:vertAlign w:val="baseline"/>
                      <w:lang w:val="en-US" w:eastAsia="zh-CN"/>
                    </w:rPr>
                    <w:t>：</w:t>
                  </w:r>
                  <w:r>
                    <w:rPr>
                      <w:rFonts w:hint="eastAsia" w:cs="Times New Roman"/>
                      <w:color w:val="auto"/>
                      <w:sz w:val="21"/>
                      <w:szCs w:val="21"/>
                      <w:highlight w:val="none"/>
                      <w:lang w:val="en-US" w:eastAsia="zh-CN"/>
                    </w:rPr>
                    <w:t>106.5168t/a</w:t>
                  </w:r>
                </w:p>
                <w:p w14:paraId="4B97889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14.794kg/h</w:t>
                  </w:r>
                </w:p>
                <w:p w14:paraId="6DC30A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130.94mg/m</w:t>
                  </w:r>
                  <w:r>
                    <w:rPr>
                      <w:rFonts w:hint="eastAsia" w:cs="Times New Roman"/>
                      <w:color w:val="auto"/>
                      <w:sz w:val="21"/>
                      <w:szCs w:val="21"/>
                      <w:highlight w:val="none"/>
                      <w:vertAlign w:val="superscript"/>
                      <w:lang w:val="en-US" w:eastAsia="zh-CN"/>
                    </w:rPr>
                    <w:t>3</w:t>
                  </w:r>
                </w:p>
              </w:tc>
            </w:tr>
            <w:tr w14:paraId="2EFB13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3A114F7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14:paraId="220071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14:paraId="46B73B4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193.536t/a</w:t>
                  </w:r>
                </w:p>
                <w:p w14:paraId="58D7801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26.88kg/h</w:t>
                  </w:r>
                </w:p>
                <w:p w14:paraId="501F2F2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1493AF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14:paraId="680824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90%</w:t>
                  </w:r>
                </w:p>
              </w:tc>
              <w:tc>
                <w:tcPr>
                  <w:tcW w:w="972" w:type="dxa"/>
                  <w:vMerge w:val="continue"/>
                  <w:vAlign w:val="center"/>
                </w:tcPr>
                <w:p w14:paraId="5793B53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continue"/>
                  <w:vAlign w:val="center"/>
                </w:tcPr>
                <w:p w14:paraId="2D806E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eastAsia="zh-CN"/>
                    </w:rPr>
                  </w:pPr>
                </w:p>
              </w:tc>
            </w:tr>
            <w:tr w14:paraId="20B55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3BBFC73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14:paraId="7A9861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14:paraId="27A8B66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88.764t/a</w:t>
                  </w:r>
                </w:p>
                <w:p w14:paraId="6475FB6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12.33kg/h</w:t>
                  </w:r>
                </w:p>
                <w:p w14:paraId="2C6BDB5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45CC8A0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14:paraId="724EC9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40%</w:t>
                  </w:r>
                </w:p>
              </w:tc>
              <w:tc>
                <w:tcPr>
                  <w:tcW w:w="972" w:type="dxa"/>
                  <w:vMerge w:val="continue"/>
                  <w:vAlign w:val="center"/>
                </w:tcPr>
                <w:p w14:paraId="579999B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restart"/>
                  <w:vAlign w:val="center"/>
                </w:tcPr>
                <w:p w14:paraId="4B9BF0C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颗粒物：4.716t/a</w:t>
                  </w:r>
                </w:p>
                <w:p w14:paraId="27A89D1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0.655kg/h</w:t>
                  </w:r>
                </w:p>
                <w:p w14:paraId="406660A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eastAsia="zh-CN"/>
                    </w:rPr>
                  </w:pPr>
                  <w:r>
                    <w:rPr>
                      <w:rFonts w:hint="eastAsia" w:cs="Times New Roman"/>
                      <w:color w:val="auto"/>
                      <w:sz w:val="21"/>
                      <w:szCs w:val="21"/>
                      <w:highlight w:val="none"/>
                      <w:lang w:val="en-US" w:eastAsia="zh-CN"/>
                    </w:rPr>
                    <w:t>5.8mg/m</w:t>
                  </w:r>
                  <w:r>
                    <w:rPr>
                      <w:rFonts w:hint="eastAsia" w:cs="Times New Roman"/>
                      <w:color w:val="auto"/>
                      <w:sz w:val="21"/>
                      <w:szCs w:val="21"/>
                      <w:highlight w:val="none"/>
                      <w:vertAlign w:val="superscript"/>
                      <w:lang w:val="en-US" w:eastAsia="zh-CN"/>
                    </w:rPr>
                    <w:t>3</w:t>
                  </w:r>
                </w:p>
              </w:tc>
            </w:tr>
            <w:tr w14:paraId="11DF9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1" w:type="dxa"/>
                  <w:vMerge w:val="continue"/>
                  <w:vAlign w:val="center"/>
                </w:tcPr>
                <w:p w14:paraId="6293F5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14:paraId="130235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14:paraId="554941F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2358.1t/a</w:t>
                  </w:r>
                </w:p>
                <w:p w14:paraId="70E9E2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327.51kg/h</w:t>
                  </w:r>
                </w:p>
                <w:p w14:paraId="7AC6DE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14:paraId="54C698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14:paraId="761D779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99.9%</w:t>
                  </w:r>
                </w:p>
              </w:tc>
              <w:tc>
                <w:tcPr>
                  <w:tcW w:w="972" w:type="dxa"/>
                  <w:vMerge w:val="continue"/>
                  <w:vAlign w:val="center"/>
                </w:tcPr>
                <w:p w14:paraId="33290E9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continue"/>
                  <w:vAlign w:val="center"/>
                </w:tcPr>
                <w:p w14:paraId="51513AE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r>
          </w:tbl>
          <w:p w14:paraId="092E8022">
            <w:pPr>
              <w:tabs>
                <w:tab w:val="center" w:pos="4736"/>
              </w:tabs>
              <w:spacing w:line="360" w:lineRule="auto"/>
              <w:ind w:firstLine="480" w:firstLineChars="200"/>
              <w:rPr>
                <w:rFonts w:hint="eastAsia"/>
                <w:color w:val="auto"/>
                <w:sz w:val="24"/>
              </w:rPr>
            </w:pPr>
            <w:r>
              <w:rPr>
                <w:rFonts w:hint="eastAsia"/>
                <w:color w:val="auto"/>
                <w:sz w:val="24"/>
              </w:rPr>
              <w:t>（3）制炭粉尘G3</w:t>
            </w:r>
          </w:p>
          <w:p w14:paraId="1A7DDABA">
            <w:pPr>
              <w:tabs>
                <w:tab w:val="center" w:pos="4736"/>
              </w:tabs>
              <w:spacing w:line="360" w:lineRule="auto"/>
              <w:ind w:firstLine="480" w:firstLineChars="200"/>
              <w:rPr>
                <w:rFonts w:hint="eastAsia"/>
                <w:color w:val="auto"/>
                <w:sz w:val="24"/>
              </w:rPr>
            </w:pPr>
            <w:r>
              <w:rPr>
                <w:rFonts w:hint="eastAsia"/>
                <w:color w:val="auto"/>
                <w:sz w:val="24"/>
              </w:rPr>
              <w:t>棉杆基炭经密闭冷却后由输送带送入机制炭车间破碎成型，其破碎和成型过程会产生粉尘，其产生量参考《逸散性工业粉尘控制技术》产尘量按照破碎原料的1‰计算。项目棉杆基炭产生量为64800t/a，其破碎成型过程粉尘产生量为64.8t/a。根据设计资料，本项目机制炭车间为封闭式，本次评价要求企业将破碎机、成型机等设备安装于厂房内，并设置集气设施，产生粉尘经收集后采用一台袋式除尘器处理后通过15m高排气筒排放，集气设施收集效率以90%计，袋式除尘器除尘效率按99</w:t>
            </w:r>
            <w:r>
              <w:rPr>
                <w:rFonts w:hint="eastAsia"/>
                <w:color w:val="auto"/>
                <w:sz w:val="24"/>
                <w:lang w:val="en-US" w:eastAsia="zh-CN"/>
              </w:rPr>
              <w:t>.9</w:t>
            </w:r>
            <w:r>
              <w:rPr>
                <w:rFonts w:hint="eastAsia"/>
                <w:color w:val="auto"/>
                <w:sz w:val="24"/>
              </w:rPr>
              <w:t>%计，尾部引风机风量为10000m</w:t>
            </w:r>
            <w:r>
              <w:rPr>
                <w:rFonts w:hint="eastAsia"/>
                <w:color w:val="auto"/>
                <w:sz w:val="24"/>
                <w:vertAlign w:val="superscript"/>
              </w:rPr>
              <w:t>3</w:t>
            </w:r>
            <w:r>
              <w:rPr>
                <w:rFonts w:hint="eastAsia"/>
                <w:color w:val="auto"/>
                <w:sz w:val="24"/>
              </w:rPr>
              <w:t>/h。</w:t>
            </w:r>
          </w:p>
          <w:p w14:paraId="04876DF5">
            <w:pPr>
              <w:tabs>
                <w:tab w:val="center" w:pos="4736"/>
              </w:tabs>
              <w:spacing w:line="360" w:lineRule="auto"/>
              <w:ind w:firstLine="480" w:firstLineChars="200"/>
              <w:rPr>
                <w:rFonts w:hint="eastAsia"/>
                <w:color w:val="auto"/>
                <w:sz w:val="24"/>
              </w:rPr>
            </w:pPr>
            <w:r>
              <w:rPr>
                <w:rFonts w:hint="eastAsia"/>
                <w:color w:val="auto"/>
                <w:sz w:val="24"/>
              </w:rPr>
              <w:t>故项目机制炭车间有组织粉尘排放量为0.</w:t>
            </w:r>
            <w:r>
              <w:rPr>
                <w:rFonts w:hint="eastAsia"/>
                <w:color w:val="auto"/>
                <w:sz w:val="24"/>
                <w:lang w:val="en-US" w:eastAsia="zh-CN"/>
              </w:rPr>
              <w:t>0</w:t>
            </w:r>
            <w:r>
              <w:rPr>
                <w:rFonts w:hint="eastAsia"/>
                <w:color w:val="auto"/>
                <w:sz w:val="24"/>
              </w:rPr>
              <w:t>58t/a，0.0</w:t>
            </w:r>
            <w:r>
              <w:rPr>
                <w:rFonts w:hint="eastAsia"/>
                <w:color w:val="auto"/>
                <w:sz w:val="24"/>
                <w:lang w:val="en-US" w:eastAsia="zh-CN"/>
              </w:rPr>
              <w:t>0</w:t>
            </w:r>
            <w:r>
              <w:rPr>
                <w:rFonts w:hint="eastAsia"/>
                <w:color w:val="auto"/>
                <w:sz w:val="24"/>
              </w:rPr>
              <w:t>8kg/h，</w:t>
            </w:r>
            <w:r>
              <w:rPr>
                <w:rFonts w:hint="eastAsia"/>
                <w:color w:val="auto"/>
                <w:sz w:val="24"/>
                <w:lang w:val="en-US" w:eastAsia="zh-CN"/>
              </w:rPr>
              <w:t>0.81</w:t>
            </w:r>
            <w:r>
              <w:rPr>
                <w:rFonts w:hint="eastAsia"/>
                <w:color w:val="auto"/>
                <w:sz w:val="24"/>
              </w:rPr>
              <w:t>mg/m</w:t>
            </w:r>
            <w:r>
              <w:rPr>
                <w:rFonts w:hint="eastAsia"/>
                <w:color w:val="auto"/>
                <w:sz w:val="24"/>
                <w:vertAlign w:val="superscript"/>
              </w:rPr>
              <w:t>3</w:t>
            </w:r>
            <w:r>
              <w:rPr>
                <w:rFonts w:hint="eastAsia"/>
                <w:color w:val="auto"/>
                <w:sz w:val="24"/>
              </w:rPr>
              <w:t>；无组织粉尘排放量为6.48t/a，0.9kg/h。</w:t>
            </w:r>
          </w:p>
          <w:p w14:paraId="57F0EA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eastAsia="zh-CN" w:bidi="ar"/>
              </w:rPr>
            </w:pP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4</w:t>
            </w:r>
            <w:r>
              <w:rPr>
                <w:rFonts w:hint="eastAsia" w:cs="宋体"/>
                <w:color w:val="auto"/>
                <w:sz w:val="24"/>
                <w:szCs w:val="24"/>
                <w:highlight w:val="none"/>
                <w:lang w:eastAsia="zh-CN" w:bidi="ar"/>
              </w:rPr>
              <w:t>）食堂油烟</w:t>
            </w:r>
            <w:r>
              <w:rPr>
                <w:rFonts w:hint="eastAsia" w:cs="宋体"/>
                <w:color w:val="auto"/>
                <w:sz w:val="24"/>
                <w:szCs w:val="24"/>
                <w:highlight w:val="none"/>
                <w:lang w:val="en-US" w:eastAsia="zh-CN" w:bidi="ar"/>
              </w:rPr>
              <w:t>G4</w:t>
            </w:r>
          </w:p>
          <w:p w14:paraId="3AC60CA2">
            <w:pPr>
              <w:keepNext w:val="0"/>
              <w:keepLines w:val="0"/>
              <w:suppressLineNumbers w:val="0"/>
              <w:spacing w:before="0" w:beforeAutospacing="0" w:after="0" w:afterAutospacing="0" w:line="360" w:lineRule="auto"/>
              <w:ind w:left="0" w:right="0" w:firstLine="360" w:firstLineChars="150"/>
              <w:rPr>
                <w:rFonts w:hint="eastAsia"/>
                <w:snapToGrid w:val="0"/>
                <w:color w:val="auto"/>
                <w:kern w:val="0"/>
                <w:sz w:val="24"/>
                <w:szCs w:val="24"/>
                <w:lang w:bidi="ar"/>
              </w:rPr>
            </w:pPr>
            <w:r>
              <w:rPr>
                <w:rFonts w:hint="eastAsia"/>
                <w:snapToGrid w:val="0"/>
                <w:color w:val="auto"/>
                <w:kern w:val="0"/>
                <w:sz w:val="24"/>
                <w:szCs w:val="24"/>
                <w:lang w:bidi="ar"/>
              </w:rPr>
              <w:t>本项目</w:t>
            </w:r>
            <w:r>
              <w:rPr>
                <w:rFonts w:hint="default"/>
                <w:snapToGrid w:val="0"/>
                <w:color w:val="auto"/>
                <w:kern w:val="0"/>
                <w:sz w:val="24"/>
                <w:szCs w:val="24"/>
                <w:lang w:bidi="ar"/>
              </w:rPr>
              <w:t>工作人员</w:t>
            </w:r>
            <w:r>
              <w:rPr>
                <w:rFonts w:hint="eastAsia"/>
                <w:snapToGrid w:val="0"/>
                <w:color w:val="auto"/>
                <w:kern w:val="0"/>
                <w:sz w:val="24"/>
                <w:szCs w:val="24"/>
                <w:lang w:bidi="ar"/>
              </w:rPr>
              <w:t>共</w:t>
            </w:r>
            <w:r>
              <w:rPr>
                <w:rFonts w:hint="eastAsia"/>
                <w:snapToGrid w:val="0"/>
                <w:color w:val="auto"/>
                <w:kern w:val="0"/>
                <w:sz w:val="24"/>
                <w:szCs w:val="24"/>
                <w:lang w:val="en-US" w:eastAsia="zh-CN" w:bidi="ar"/>
              </w:rPr>
              <w:t>80</w:t>
            </w:r>
            <w:r>
              <w:rPr>
                <w:rFonts w:hint="eastAsia"/>
                <w:snapToGrid w:val="0"/>
                <w:color w:val="auto"/>
                <w:kern w:val="0"/>
                <w:sz w:val="24"/>
                <w:szCs w:val="24"/>
                <w:lang w:bidi="ar"/>
              </w:rPr>
              <w:t>人，人均</w:t>
            </w:r>
            <w:r>
              <w:rPr>
                <w:rFonts w:hint="default"/>
                <w:snapToGrid w:val="0"/>
                <w:color w:val="auto"/>
                <w:kern w:val="0"/>
                <w:sz w:val="24"/>
                <w:szCs w:val="24"/>
                <w:lang w:bidi="ar"/>
              </w:rPr>
              <w:t>食用油用量约为</w:t>
            </w:r>
            <w:r>
              <w:rPr>
                <w:rFonts w:hint="eastAsia"/>
                <w:snapToGrid w:val="0"/>
                <w:color w:val="auto"/>
                <w:kern w:val="0"/>
                <w:sz w:val="24"/>
                <w:szCs w:val="24"/>
                <w:lang w:bidi="ar"/>
              </w:rPr>
              <w:t>20</w:t>
            </w:r>
            <w:r>
              <w:rPr>
                <w:rFonts w:hint="default"/>
                <w:snapToGrid w:val="0"/>
                <w:color w:val="auto"/>
                <w:kern w:val="0"/>
                <w:sz w:val="24"/>
                <w:szCs w:val="24"/>
                <w:lang w:bidi="ar"/>
              </w:rPr>
              <w:t>g/</w:t>
            </w:r>
            <w:r>
              <w:rPr>
                <w:rFonts w:hint="eastAsia"/>
                <w:snapToGrid w:val="0"/>
                <w:color w:val="auto"/>
                <w:kern w:val="0"/>
                <w:sz w:val="24"/>
                <w:szCs w:val="24"/>
                <w:lang w:bidi="ar"/>
              </w:rPr>
              <w:t>人</w:t>
            </w:r>
            <w:r>
              <w:rPr>
                <w:rFonts w:hint="eastAsia"/>
                <w:snapToGrid w:val="0"/>
                <w:color w:val="auto"/>
                <w:kern w:val="0"/>
                <w:sz w:val="24"/>
                <w:szCs w:val="24"/>
                <w:lang w:val="en-US" w:eastAsia="zh-CN" w:bidi="ar"/>
              </w:rPr>
              <w:t>·d</w:t>
            </w:r>
            <w:r>
              <w:rPr>
                <w:rFonts w:hint="default"/>
                <w:snapToGrid w:val="0"/>
                <w:color w:val="auto"/>
                <w:kern w:val="0"/>
                <w:sz w:val="24"/>
                <w:szCs w:val="24"/>
                <w:lang w:bidi="ar"/>
              </w:rPr>
              <w:t>。一般</w:t>
            </w:r>
            <w:r>
              <w:rPr>
                <w:rFonts w:hint="eastAsia"/>
                <w:snapToGrid w:val="0"/>
                <w:color w:val="auto"/>
                <w:kern w:val="0"/>
                <w:sz w:val="24"/>
                <w:szCs w:val="24"/>
                <w:lang w:bidi="ar"/>
              </w:rPr>
              <w:t>油烟挥发量为</w:t>
            </w:r>
            <w:r>
              <w:rPr>
                <w:rFonts w:hint="default"/>
                <w:snapToGrid w:val="0"/>
                <w:color w:val="auto"/>
                <w:kern w:val="0"/>
                <w:sz w:val="24"/>
                <w:szCs w:val="24"/>
                <w:lang w:bidi="ar"/>
              </w:rPr>
              <w:t>总耗油量的</w:t>
            </w:r>
            <w:r>
              <w:rPr>
                <w:rFonts w:hint="eastAsia"/>
                <w:snapToGrid w:val="0"/>
                <w:color w:val="auto"/>
                <w:kern w:val="0"/>
                <w:sz w:val="24"/>
                <w:szCs w:val="24"/>
                <w:lang w:bidi="ar"/>
              </w:rPr>
              <w:t>2</w:t>
            </w:r>
            <w:r>
              <w:rPr>
                <w:rFonts w:hint="default"/>
                <w:snapToGrid w:val="0"/>
                <w:color w:val="auto"/>
                <w:kern w:val="0"/>
                <w:sz w:val="24"/>
                <w:szCs w:val="24"/>
                <w:lang w:bidi="ar"/>
              </w:rPr>
              <w:t>~4%</w:t>
            </w:r>
            <w:r>
              <w:rPr>
                <w:rFonts w:hint="eastAsia"/>
                <w:snapToGrid w:val="0"/>
                <w:color w:val="auto"/>
                <w:kern w:val="0"/>
                <w:sz w:val="24"/>
                <w:szCs w:val="24"/>
                <w:lang w:bidi="ar"/>
              </w:rPr>
              <w:t>，</w:t>
            </w:r>
            <w:r>
              <w:rPr>
                <w:rFonts w:hint="default"/>
                <w:snapToGrid w:val="0"/>
                <w:color w:val="auto"/>
                <w:kern w:val="0"/>
                <w:sz w:val="24"/>
                <w:szCs w:val="24"/>
                <w:lang w:bidi="ar"/>
              </w:rPr>
              <w:t>本次取3%</w:t>
            </w:r>
            <w:r>
              <w:rPr>
                <w:rFonts w:hint="eastAsia"/>
                <w:snapToGrid w:val="0"/>
                <w:color w:val="auto"/>
                <w:kern w:val="0"/>
                <w:sz w:val="24"/>
                <w:szCs w:val="24"/>
                <w:lang w:bidi="ar"/>
              </w:rPr>
              <w:t>，</w:t>
            </w:r>
            <w:r>
              <w:rPr>
                <w:rFonts w:hint="default"/>
                <w:snapToGrid w:val="0"/>
                <w:color w:val="auto"/>
                <w:kern w:val="0"/>
                <w:sz w:val="24"/>
                <w:szCs w:val="24"/>
                <w:lang w:bidi="ar"/>
              </w:rPr>
              <w:t>厨房油烟产生量为0.0</w:t>
            </w:r>
            <w:r>
              <w:rPr>
                <w:rFonts w:hint="eastAsia"/>
                <w:snapToGrid w:val="0"/>
                <w:color w:val="auto"/>
                <w:kern w:val="0"/>
                <w:sz w:val="24"/>
                <w:szCs w:val="24"/>
                <w:lang w:val="en-US" w:eastAsia="zh-CN" w:bidi="ar"/>
              </w:rPr>
              <w:t>144</w:t>
            </w:r>
            <w:r>
              <w:rPr>
                <w:rFonts w:hint="default"/>
                <w:snapToGrid w:val="0"/>
                <w:color w:val="auto"/>
                <w:kern w:val="0"/>
                <w:sz w:val="24"/>
                <w:szCs w:val="24"/>
                <w:lang w:bidi="ar"/>
              </w:rPr>
              <w:t>t/a</w:t>
            </w:r>
            <w:r>
              <w:rPr>
                <w:rFonts w:hint="eastAsia"/>
                <w:snapToGrid w:val="0"/>
                <w:color w:val="auto"/>
                <w:kern w:val="0"/>
                <w:sz w:val="24"/>
                <w:szCs w:val="24"/>
                <w:lang w:bidi="ar"/>
              </w:rPr>
              <w:t>（</w:t>
            </w:r>
            <w:r>
              <w:rPr>
                <w:rFonts w:hint="default"/>
                <w:snapToGrid w:val="0"/>
                <w:color w:val="auto"/>
                <w:kern w:val="0"/>
                <w:sz w:val="24"/>
                <w:szCs w:val="24"/>
                <w:lang w:bidi="ar"/>
              </w:rPr>
              <w:t>0.</w:t>
            </w:r>
            <w:r>
              <w:rPr>
                <w:rFonts w:hint="eastAsia"/>
                <w:snapToGrid w:val="0"/>
                <w:color w:val="auto"/>
                <w:kern w:val="0"/>
                <w:sz w:val="24"/>
                <w:szCs w:val="24"/>
                <w:lang w:val="en-US" w:eastAsia="zh-CN" w:bidi="ar"/>
              </w:rPr>
              <w:t>048</w:t>
            </w:r>
            <w:r>
              <w:rPr>
                <w:rFonts w:hint="eastAsia"/>
                <w:snapToGrid w:val="0"/>
                <w:color w:val="auto"/>
                <w:kern w:val="0"/>
                <w:sz w:val="24"/>
                <w:szCs w:val="24"/>
                <w:lang w:bidi="ar"/>
              </w:rPr>
              <w:t>kg/</w:t>
            </w:r>
            <w:r>
              <w:rPr>
                <w:rFonts w:hint="default"/>
                <w:snapToGrid w:val="0"/>
                <w:color w:val="auto"/>
                <w:kern w:val="0"/>
                <w:sz w:val="24"/>
                <w:szCs w:val="24"/>
                <w:lang w:bidi="ar"/>
              </w:rPr>
              <w:t>d</w:t>
            </w:r>
            <w:r>
              <w:rPr>
                <w:rFonts w:hint="eastAsia"/>
                <w:snapToGrid w:val="0"/>
                <w:color w:val="auto"/>
                <w:kern w:val="0"/>
                <w:sz w:val="24"/>
                <w:szCs w:val="24"/>
                <w:lang w:bidi="ar"/>
              </w:rPr>
              <w:t>）。本项目</w:t>
            </w:r>
            <w:r>
              <w:rPr>
                <w:rFonts w:hint="default"/>
                <w:snapToGrid w:val="0"/>
                <w:color w:val="auto"/>
                <w:kern w:val="0"/>
                <w:sz w:val="24"/>
                <w:szCs w:val="24"/>
                <w:lang w:bidi="ar"/>
              </w:rPr>
              <w:t>设置</w:t>
            </w:r>
            <w:r>
              <w:rPr>
                <w:rFonts w:hint="eastAsia"/>
                <w:snapToGrid w:val="0"/>
                <w:color w:val="auto"/>
                <w:kern w:val="0"/>
                <w:sz w:val="24"/>
                <w:szCs w:val="24"/>
                <w:lang w:bidi="ar"/>
              </w:rPr>
              <w:t>1台小型</w:t>
            </w:r>
            <w:r>
              <w:rPr>
                <w:rFonts w:hint="default"/>
                <w:snapToGrid w:val="0"/>
                <w:color w:val="auto"/>
                <w:kern w:val="0"/>
                <w:sz w:val="24"/>
                <w:szCs w:val="24"/>
                <w:lang w:bidi="ar"/>
              </w:rPr>
              <w:t>油烟净化器，排风量为</w:t>
            </w:r>
            <w:r>
              <w:rPr>
                <w:rFonts w:hint="eastAsia"/>
                <w:snapToGrid w:val="0"/>
                <w:color w:val="auto"/>
                <w:kern w:val="0"/>
                <w:sz w:val="24"/>
                <w:szCs w:val="24"/>
                <w:lang w:val="en-US" w:eastAsia="zh-CN" w:bidi="ar"/>
              </w:rPr>
              <w:t>4</w:t>
            </w:r>
            <w:r>
              <w:rPr>
                <w:rFonts w:hint="default"/>
                <w:snapToGrid w:val="0"/>
                <w:color w:val="auto"/>
                <w:kern w:val="0"/>
                <w:sz w:val="24"/>
                <w:szCs w:val="24"/>
                <w:lang w:bidi="ar"/>
              </w:rPr>
              <w:t>000m</w:t>
            </w:r>
            <w:r>
              <w:rPr>
                <w:rFonts w:hint="default"/>
                <w:snapToGrid w:val="0"/>
                <w:color w:val="auto"/>
                <w:kern w:val="0"/>
                <w:sz w:val="24"/>
                <w:szCs w:val="24"/>
                <w:vertAlign w:val="superscript"/>
                <w:lang w:bidi="ar"/>
              </w:rPr>
              <w:t>3</w:t>
            </w:r>
            <w:r>
              <w:rPr>
                <w:rFonts w:hint="default"/>
                <w:snapToGrid w:val="0"/>
                <w:color w:val="auto"/>
                <w:kern w:val="0"/>
                <w:sz w:val="24"/>
                <w:szCs w:val="24"/>
                <w:lang w:bidi="ar"/>
              </w:rPr>
              <w:t>/h·台，</w:t>
            </w:r>
            <w:r>
              <w:rPr>
                <w:rFonts w:hint="eastAsia"/>
                <w:snapToGrid w:val="0"/>
                <w:color w:val="auto"/>
                <w:kern w:val="0"/>
                <w:sz w:val="24"/>
                <w:szCs w:val="24"/>
                <w:lang w:eastAsia="zh-CN" w:bidi="ar"/>
              </w:rPr>
              <w:t>食堂</w:t>
            </w:r>
            <w:r>
              <w:rPr>
                <w:rFonts w:hint="default"/>
                <w:snapToGrid w:val="0"/>
                <w:color w:val="auto"/>
                <w:kern w:val="0"/>
                <w:sz w:val="24"/>
                <w:szCs w:val="24"/>
                <w:lang w:bidi="ar"/>
              </w:rPr>
              <w:t>每天工作4小时计算</w:t>
            </w:r>
            <w:r>
              <w:rPr>
                <w:rFonts w:hint="eastAsia"/>
                <w:snapToGrid w:val="0"/>
                <w:color w:val="auto"/>
                <w:kern w:val="0"/>
                <w:sz w:val="24"/>
                <w:szCs w:val="24"/>
                <w:lang w:bidi="ar"/>
              </w:rPr>
              <w:t>，</w:t>
            </w:r>
            <w:r>
              <w:rPr>
                <w:rFonts w:hint="default"/>
                <w:snapToGrid w:val="0"/>
                <w:color w:val="auto"/>
                <w:kern w:val="0"/>
                <w:sz w:val="24"/>
                <w:szCs w:val="24"/>
                <w:lang w:bidi="ar"/>
              </w:rPr>
              <w:t>油烟去除效率按60%计算。</w:t>
            </w:r>
            <w:r>
              <w:rPr>
                <w:rFonts w:hint="eastAsia"/>
                <w:snapToGrid w:val="0"/>
                <w:color w:val="auto"/>
                <w:kern w:val="0"/>
                <w:sz w:val="24"/>
                <w:szCs w:val="24"/>
                <w:lang w:bidi="ar"/>
              </w:rPr>
              <w:t>本项目</w:t>
            </w:r>
            <w:r>
              <w:rPr>
                <w:rFonts w:hint="default"/>
                <w:snapToGrid w:val="0"/>
                <w:color w:val="auto"/>
                <w:kern w:val="0"/>
                <w:sz w:val="24"/>
                <w:szCs w:val="24"/>
                <w:lang w:bidi="ar"/>
              </w:rPr>
              <w:t>油烟排放情况见表</w:t>
            </w:r>
            <w:r>
              <w:rPr>
                <w:rFonts w:hint="eastAsia"/>
                <w:snapToGrid w:val="0"/>
                <w:color w:val="auto"/>
                <w:kern w:val="0"/>
                <w:sz w:val="24"/>
                <w:szCs w:val="24"/>
                <w:lang w:val="en-US" w:eastAsia="zh-CN" w:bidi="ar"/>
              </w:rPr>
              <w:t>4-4</w:t>
            </w:r>
            <w:r>
              <w:rPr>
                <w:rFonts w:hint="eastAsia"/>
                <w:snapToGrid w:val="0"/>
                <w:color w:val="auto"/>
                <w:kern w:val="0"/>
                <w:sz w:val="24"/>
                <w:szCs w:val="24"/>
                <w:lang w:bidi="ar"/>
              </w:rPr>
              <w:t>。</w:t>
            </w:r>
          </w:p>
          <w:p w14:paraId="14ADF10F">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312" w:lineRule="auto"/>
              <w:ind w:left="0" w:leftChars="0" w:right="0" w:rightChars="0" w:firstLine="420" w:firstLineChars="200"/>
              <w:jc w:val="both"/>
              <w:textAlignment w:val="auto"/>
              <w:outlineLvl w:val="9"/>
              <w:rPr>
                <w:rFonts w:hint="default"/>
                <w:snapToGrid w:val="0"/>
                <w:color w:val="auto"/>
              </w:rPr>
            </w:pPr>
            <w:r>
              <w:rPr>
                <w:rFonts w:hint="default"/>
                <w:snapToGrid w:val="0"/>
                <w:color w:val="auto"/>
              </w:rPr>
              <w:t>表</w:t>
            </w:r>
            <w:r>
              <w:rPr>
                <w:rFonts w:hint="eastAsia"/>
                <w:snapToGrid w:val="0"/>
                <w:color w:val="auto"/>
                <w:lang w:val="en-US" w:eastAsia="zh-CN"/>
              </w:rPr>
              <w:t>4-4</w:t>
            </w:r>
            <w:r>
              <w:rPr>
                <w:rFonts w:hint="default"/>
                <w:snapToGrid w:val="0"/>
                <w:color w:val="auto"/>
              </w:rPr>
              <w:t xml:space="preserve">            </w:t>
            </w:r>
            <w:r>
              <w:rPr>
                <w:rFonts w:hint="eastAsia"/>
                <w:snapToGrid w:val="0"/>
                <w:color w:val="auto"/>
                <w:lang w:val="en-US" w:eastAsia="zh-CN"/>
              </w:rPr>
              <w:t xml:space="preserve">  </w:t>
            </w:r>
            <w:r>
              <w:rPr>
                <w:rFonts w:hint="default"/>
                <w:snapToGrid w:val="0"/>
                <w:color w:val="auto"/>
              </w:rPr>
              <w:t xml:space="preserve"> 项目油烟排放情况一览表</w:t>
            </w:r>
          </w:p>
          <w:tbl>
            <w:tblPr>
              <w:tblStyle w:val="22"/>
              <w:tblW w:w="8302" w:type="dxa"/>
              <w:tblInd w:w="5"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06"/>
              <w:gridCol w:w="911"/>
              <w:gridCol w:w="1361"/>
              <w:gridCol w:w="1244"/>
              <w:gridCol w:w="1056"/>
              <w:gridCol w:w="1445"/>
              <w:gridCol w:w="1379"/>
            </w:tblGrid>
            <w:tr w14:paraId="000D481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06" w:type="dxa"/>
                  <w:vAlign w:val="center"/>
                </w:tcPr>
                <w:p w14:paraId="45771D00">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类型</w:t>
                  </w:r>
                </w:p>
              </w:tc>
              <w:tc>
                <w:tcPr>
                  <w:tcW w:w="911" w:type="dxa"/>
                  <w:vAlign w:val="center"/>
                </w:tcPr>
                <w:p w14:paraId="08A7F51F">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规模</w:t>
                  </w:r>
                </w:p>
              </w:tc>
              <w:tc>
                <w:tcPr>
                  <w:tcW w:w="1361" w:type="dxa"/>
                  <w:vAlign w:val="center"/>
                </w:tcPr>
                <w:p w14:paraId="1BB8794A">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油烟产生量</w:t>
                  </w:r>
                </w:p>
              </w:tc>
              <w:tc>
                <w:tcPr>
                  <w:tcW w:w="1244" w:type="dxa"/>
                  <w:vAlign w:val="center"/>
                </w:tcPr>
                <w:p w14:paraId="4F980F23">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产生浓度</w:t>
                  </w:r>
                </w:p>
              </w:tc>
              <w:tc>
                <w:tcPr>
                  <w:tcW w:w="1056" w:type="dxa"/>
                  <w:vAlign w:val="center"/>
                </w:tcPr>
                <w:p w14:paraId="0656C91F">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去除效率</w:t>
                  </w:r>
                </w:p>
              </w:tc>
              <w:tc>
                <w:tcPr>
                  <w:tcW w:w="1445" w:type="dxa"/>
                  <w:vAlign w:val="center"/>
                </w:tcPr>
                <w:p w14:paraId="3AC21DFA">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油烟排放量</w:t>
                  </w:r>
                </w:p>
              </w:tc>
              <w:tc>
                <w:tcPr>
                  <w:tcW w:w="1379" w:type="dxa"/>
                  <w:vAlign w:val="center"/>
                </w:tcPr>
                <w:p w14:paraId="2C9EE922">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排放浓度</w:t>
                  </w:r>
                </w:p>
              </w:tc>
            </w:tr>
            <w:tr w14:paraId="78F9CC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06" w:type="dxa"/>
                  <w:vAlign w:val="center"/>
                </w:tcPr>
                <w:p w14:paraId="787D7BB5">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w:t>
                  </w:r>
                </w:p>
              </w:tc>
              <w:tc>
                <w:tcPr>
                  <w:tcW w:w="911" w:type="dxa"/>
                  <w:vAlign w:val="center"/>
                </w:tcPr>
                <w:p w14:paraId="58A9E7B0">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小型</w:t>
                  </w:r>
                </w:p>
              </w:tc>
              <w:tc>
                <w:tcPr>
                  <w:tcW w:w="1361" w:type="dxa"/>
                  <w:vAlign w:val="center"/>
                </w:tcPr>
                <w:p w14:paraId="3D640BF7">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0.0144</w:t>
                  </w:r>
                  <w:r>
                    <w:rPr>
                      <w:rFonts w:hint="default"/>
                      <w:snapToGrid w:val="0"/>
                      <w:color w:val="auto"/>
                      <w:lang w:bidi="en-US"/>
                    </w:rPr>
                    <w:t>t/a</w:t>
                  </w:r>
                </w:p>
              </w:tc>
              <w:tc>
                <w:tcPr>
                  <w:tcW w:w="1244" w:type="dxa"/>
                  <w:vAlign w:val="center"/>
                </w:tcPr>
                <w:p w14:paraId="0A03E6D8">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3</w:t>
                  </w:r>
                  <w:r>
                    <w:rPr>
                      <w:rFonts w:hint="default"/>
                      <w:snapToGrid w:val="0"/>
                      <w:color w:val="auto"/>
                      <w:lang w:bidi="ar"/>
                    </w:rPr>
                    <w:t>mg/m</w:t>
                  </w:r>
                  <w:r>
                    <w:rPr>
                      <w:rFonts w:hint="default"/>
                      <w:snapToGrid w:val="0"/>
                      <w:color w:val="auto"/>
                      <w:vertAlign w:val="superscript"/>
                      <w:lang w:bidi="ar"/>
                    </w:rPr>
                    <w:t>3</w:t>
                  </w:r>
                </w:p>
              </w:tc>
              <w:tc>
                <w:tcPr>
                  <w:tcW w:w="1056" w:type="dxa"/>
                  <w:vAlign w:val="center"/>
                </w:tcPr>
                <w:p w14:paraId="5337BE8E">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60%</w:t>
                  </w:r>
                </w:p>
              </w:tc>
              <w:tc>
                <w:tcPr>
                  <w:tcW w:w="1445" w:type="dxa"/>
                  <w:vAlign w:val="center"/>
                </w:tcPr>
                <w:p w14:paraId="24657939">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0.00</w:t>
                  </w:r>
                  <w:r>
                    <w:rPr>
                      <w:rFonts w:hint="eastAsia"/>
                      <w:snapToGrid w:val="0"/>
                      <w:color w:val="auto"/>
                      <w:lang w:val="en-US" w:eastAsia="zh-CN" w:bidi="ar"/>
                    </w:rPr>
                    <w:t>58</w:t>
                  </w:r>
                  <w:r>
                    <w:rPr>
                      <w:rFonts w:hint="default"/>
                      <w:snapToGrid w:val="0"/>
                      <w:color w:val="auto"/>
                      <w:lang w:bidi="ar"/>
                    </w:rPr>
                    <w:t xml:space="preserve"> t/a</w:t>
                  </w:r>
                </w:p>
              </w:tc>
              <w:tc>
                <w:tcPr>
                  <w:tcW w:w="1379" w:type="dxa"/>
                  <w:vAlign w:val="center"/>
                </w:tcPr>
                <w:p w14:paraId="114ECB80">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1.2</w:t>
                  </w:r>
                  <w:r>
                    <w:rPr>
                      <w:rFonts w:hint="default"/>
                      <w:snapToGrid w:val="0"/>
                      <w:color w:val="auto"/>
                      <w:lang w:bidi="ar"/>
                    </w:rPr>
                    <w:t>mg/m</w:t>
                  </w:r>
                  <w:r>
                    <w:rPr>
                      <w:rFonts w:hint="default"/>
                      <w:snapToGrid w:val="0"/>
                      <w:color w:val="auto"/>
                      <w:vertAlign w:val="superscript"/>
                      <w:lang w:bidi="ar"/>
                    </w:rPr>
                    <w:t>3</w:t>
                  </w:r>
                </w:p>
              </w:tc>
            </w:tr>
          </w:tbl>
          <w:p w14:paraId="5670A442">
            <w:p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）开停机过程污染物产生量</w:t>
            </w:r>
          </w:p>
          <w:p w14:paraId="3FCBEA2A">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项目卧式旋芯炭化炉正常工况下持续运行，设计每运行</w:t>
            </w:r>
            <w:r>
              <w:rPr>
                <w:rFonts w:hint="eastAsia" w:cs="宋体"/>
                <w:color w:val="auto"/>
                <w:sz w:val="24"/>
                <w:szCs w:val="24"/>
                <w:highlight w:val="none"/>
                <w:lang w:val="en-US" w:eastAsia="zh-CN" w:bidi="ar"/>
              </w:rPr>
              <w:t>1440h进行停机检修，每年停机重启次数为5次/a。每次其重启过程需使用柴油作为初始热源，持续运行2h，每次开停机全厂共消耗柴油为5t/次，年使用柴油25t/a。</w:t>
            </w:r>
          </w:p>
          <w:p w14:paraId="7F45D859">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项目开停机所用柴油由外部采购，符合</w:t>
            </w:r>
            <w:r>
              <w:rPr>
                <w:rFonts w:hint="eastAsia" w:cs="宋体"/>
                <w:color w:val="auto"/>
                <w:sz w:val="24"/>
                <w:szCs w:val="24"/>
                <w:highlight w:val="none"/>
                <w:lang w:val="en-US" w:eastAsia="zh-CN" w:bidi="ar"/>
              </w:rPr>
              <w:t>GB19147-2016要求，含硫率以0.035%计，其在燃烧室中燃烧产生的污染物参考《排污许可证申请与核发技术规范 锅炉》（HJ953-2018）中的产污系数确定，单次事故状态下：</w:t>
            </w:r>
          </w:p>
          <w:p w14:paraId="2FF60E73">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lang w:val="en-US" w:eastAsia="zh-CN" w:bidi="ar"/>
              </w:rPr>
              <w:t>废气产生量为：17804Nm</w:t>
            </w:r>
            <w:r>
              <w:rPr>
                <w:rFonts w:hint="eastAsia" w:cs="宋体"/>
                <w:color w:val="auto"/>
                <w:sz w:val="24"/>
                <w:szCs w:val="24"/>
                <w:highlight w:val="none"/>
                <w:vertAlign w:val="superscript"/>
                <w:lang w:val="en-US" w:eastAsia="zh-CN" w:bidi="ar"/>
              </w:rPr>
              <w:t>3</w:t>
            </w:r>
            <w:r>
              <w:rPr>
                <w:rFonts w:hint="eastAsia" w:cs="宋体"/>
                <w:color w:val="auto"/>
                <w:sz w:val="24"/>
                <w:szCs w:val="24"/>
                <w:highlight w:val="none"/>
                <w:vertAlign w:val="baseline"/>
                <w:lang w:val="en-US" w:eastAsia="zh-CN" w:bidi="ar"/>
              </w:rPr>
              <w:t>/t-原料×5t/次=89020m</w:t>
            </w:r>
            <w:r>
              <w:rPr>
                <w:rFonts w:hint="eastAsia" w:cs="宋体"/>
                <w:color w:val="auto"/>
                <w:sz w:val="24"/>
                <w:szCs w:val="24"/>
                <w:highlight w:val="none"/>
                <w:vertAlign w:val="superscript"/>
                <w:lang w:val="en-US" w:eastAsia="zh-CN" w:bidi="ar"/>
              </w:rPr>
              <w:t>3</w:t>
            </w:r>
            <w:r>
              <w:rPr>
                <w:rFonts w:hint="eastAsia" w:cs="宋体"/>
                <w:color w:val="auto"/>
                <w:sz w:val="24"/>
                <w:szCs w:val="24"/>
                <w:highlight w:val="none"/>
                <w:vertAlign w:val="baseline"/>
                <w:lang w:val="en-US" w:eastAsia="zh-CN" w:bidi="ar"/>
              </w:rPr>
              <w:t>/次；</w:t>
            </w:r>
          </w:p>
          <w:p w14:paraId="620C4AE1">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SO</w:t>
            </w:r>
            <w:r>
              <w:rPr>
                <w:rFonts w:hint="eastAsia" w:cs="宋体"/>
                <w:color w:val="auto"/>
                <w:sz w:val="24"/>
                <w:szCs w:val="24"/>
                <w:highlight w:val="none"/>
                <w:vertAlign w:val="subscript"/>
                <w:lang w:val="en-US" w:eastAsia="zh-CN" w:bidi="ar"/>
              </w:rPr>
              <w:t>2</w:t>
            </w:r>
            <w:r>
              <w:rPr>
                <w:rFonts w:hint="eastAsia" w:cs="宋体"/>
                <w:color w:val="auto"/>
                <w:sz w:val="24"/>
                <w:szCs w:val="24"/>
                <w:highlight w:val="none"/>
                <w:vertAlign w:val="baseline"/>
                <w:lang w:val="en-US" w:eastAsia="zh-CN" w:bidi="ar"/>
              </w:rPr>
              <w:t>产生量为：19×0.035kg/t-原料×5t/次=3.325kg/次；</w:t>
            </w:r>
          </w:p>
          <w:p w14:paraId="302D4C4E">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NO</w:t>
            </w:r>
            <w:r>
              <w:rPr>
                <w:rFonts w:hint="eastAsia" w:cs="宋体"/>
                <w:color w:val="auto"/>
                <w:sz w:val="24"/>
                <w:szCs w:val="24"/>
                <w:highlight w:val="none"/>
                <w:vertAlign w:val="subscript"/>
                <w:lang w:val="en-US" w:eastAsia="zh-CN" w:bidi="ar"/>
              </w:rPr>
              <w:t>x</w:t>
            </w:r>
            <w:r>
              <w:rPr>
                <w:rFonts w:hint="eastAsia" w:cs="宋体"/>
                <w:color w:val="auto"/>
                <w:sz w:val="24"/>
                <w:szCs w:val="24"/>
                <w:highlight w:val="none"/>
                <w:vertAlign w:val="baseline"/>
                <w:lang w:val="en-US" w:eastAsia="zh-CN" w:bidi="ar"/>
              </w:rPr>
              <w:t>产生量为：3.67kg/t-原料×5t/次=18.35kg/次；</w:t>
            </w:r>
          </w:p>
          <w:p w14:paraId="0BF6700D">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颗粒物产生量为：0.26kg/t-原料×5t/次=1.3kg/次；</w:t>
            </w:r>
          </w:p>
          <w:p w14:paraId="34F302E0">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故项目事故状态下污染物的产生及排放情况见表4-5。</w:t>
            </w:r>
          </w:p>
          <w:p w14:paraId="692F5B61">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312" w:lineRule="auto"/>
              <w:ind w:left="0" w:leftChars="0" w:right="0" w:rightChars="0" w:firstLine="420" w:firstLineChars="200"/>
              <w:jc w:val="both"/>
              <w:textAlignment w:val="auto"/>
              <w:outlineLvl w:val="9"/>
              <w:rPr>
                <w:rFonts w:hint="default"/>
                <w:snapToGrid w:val="0"/>
                <w:color w:val="auto"/>
              </w:rPr>
            </w:pPr>
            <w:r>
              <w:rPr>
                <w:rFonts w:hint="default"/>
                <w:snapToGrid w:val="0"/>
                <w:color w:val="auto"/>
              </w:rPr>
              <w:t>表</w:t>
            </w:r>
            <w:r>
              <w:rPr>
                <w:rFonts w:hint="eastAsia"/>
                <w:snapToGrid w:val="0"/>
                <w:color w:val="auto"/>
                <w:lang w:val="en-US" w:eastAsia="zh-CN"/>
              </w:rPr>
              <w:t>4-5</w:t>
            </w:r>
            <w:r>
              <w:rPr>
                <w:rFonts w:hint="default"/>
                <w:snapToGrid w:val="0"/>
                <w:color w:val="auto"/>
              </w:rPr>
              <w:t xml:space="preserve">           </w:t>
            </w:r>
            <w:r>
              <w:rPr>
                <w:rFonts w:hint="eastAsia"/>
                <w:snapToGrid w:val="0"/>
                <w:color w:val="auto"/>
                <w:lang w:val="en-US" w:eastAsia="zh-CN"/>
              </w:rPr>
              <w:t xml:space="preserve">  </w:t>
            </w:r>
            <w:r>
              <w:rPr>
                <w:rFonts w:hint="default"/>
                <w:snapToGrid w:val="0"/>
                <w:color w:val="auto"/>
              </w:rPr>
              <w:t xml:space="preserve"> 项目</w:t>
            </w:r>
            <w:r>
              <w:rPr>
                <w:rFonts w:hint="eastAsia"/>
                <w:snapToGrid w:val="0"/>
                <w:color w:val="auto"/>
                <w:lang w:eastAsia="zh-CN"/>
              </w:rPr>
              <w:t>非正常工况废气污染物排放</w:t>
            </w:r>
            <w:r>
              <w:rPr>
                <w:rFonts w:hint="default"/>
                <w:snapToGrid w:val="0"/>
                <w:color w:val="auto"/>
              </w:rPr>
              <w:t>一览表</w:t>
            </w:r>
          </w:p>
          <w:tbl>
            <w:tblPr>
              <w:tblStyle w:val="22"/>
              <w:tblW w:w="8234"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44"/>
              <w:gridCol w:w="1472"/>
              <w:gridCol w:w="1472"/>
              <w:gridCol w:w="1472"/>
              <w:gridCol w:w="1474"/>
            </w:tblGrid>
            <w:tr w14:paraId="0DCF74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569C6CC1">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项目</w:t>
                  </w:r>
                </w:p>
              </w:tc>
              <w:tc>
                <w:tcPr>
                  <w:tcW w:w="5890" w:type="dxa"/>
                  <w:gridSpan w:val="4"/>
                  <w:vAlign w:val="center"/>
                </w:tcPr>
                <w:p w14:paraId="1F07968E">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内容</w:t>
                  </w:r>
                </w:p>
              </w:tc>
            </w:tr>
            <w:tr w14:paraId="466894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7DEBF3E8">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非正常工况类型</w:t>
                  </w:r>
                </w:p>
              </w:tc>
              <w:tc>
                <w:tcPr>
                  <w:tcW w:w="5890" w:type="dxa"/>
                  <w:gridSpan w:val="4"/>
                  <w:vAlign w:val="center"/>
                </w:tcPr>
                <w:p w14:paraId="4ECC911C">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开停炉（机）</w:t>
                  </w:r>
                </w:p>
              </w:tc>
            </w:tr>
            <w:tr w14:paraId="44D336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021C1999">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非正常工况频次</w:t>
                  </w:r>
                </w:p>
              </w:tc>
              <w:tc>
                <w:tcPr>
                  <w:tcW w:w="5890" w:type="dxa"/>
                  <w:gridSpan w:val="4"/>
                  <w:vAlign w:val="center"/>
                </w:tcPr>
                <w:p w14:paraId="16E20F8A">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snapToGrid w:val="0"/>
                      <w:color w:val="auto"/>
                      <w:lang w:val="en-US" w:eastAsia="zh-CN" w:bidi="ar"/>
                    </w:rPr>
                    <w:t>5次/a</w:t>
                  </w:r>
                </w:p>
              </w:tc>
            </w:tr>
            <w:tr w14:paraId="28D6DFC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59CD9D27">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非正常工况持续时间</w:t>
                  </w:r>
                </w:p>
              </w:tc>
              <w:tc>
                <w:tcPr>
                  <w:tcW w:w="5890" w:type="dxa"/>
                  <w:gridSpan w:val="4"/>
                  <w:vAlign w:val="center"/>
                </w:tcPr>
                <w:p w14:paraId="7BA46D68">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snapToGrid w:val="0"/>
                      <w:color w:val="auto"/>
                      <w:lang w:val="en-US" w:eastAsia="zh-CN" w:bidi="ar"/>
                    </w:rPr>
                    <w:t>2h/次</w:t>
                  </w:r>
                </w:p>
              </w:tc>
            </w:tr>
            <w:tr w14:paraId="053523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7524D287">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14:paraId="1AEADDAF">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产生情况</w:t>
                  </w:r>
                </w:p>
              </w:tc>
              <w:tc>
                <w:tcPr>
                  <w:tcW w:w="1472" w:type="dxa"/>
                  <w:vAlign w:val="center"/>
                </w:tcPr>
                <w:p w14:paraId="27E15E62">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废气量</w:t>
                  </w:r>
                  <w:r>
                    <w:rPr>
                      <w:rFonts w:hint="eastAsia"/>
                      <w:snapToGrid w:val="0"/>
                      <w:color w:val="auto"/>
                      <w:lang w:val="en-US" w:eastAsia="zh-CN" w:bidi="ar"/>
                    </w:rPr>
                    <w:t>89020</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r>
                    <w:rPr>
                      <w:rFonts w:hint="eastAsia" w:cs="宋体"/>
                      <w:color w:val="auto"/>
                      <w:sz w:val="21"/>
                      <w:szCs w:val="21"/>
                      <w:highlight w:val="none"/>
                      <w:vertAlign w:val="baseline"/>
                      <w:lang w:val="en-US" w:eastAsia="zh-CN" w:bidi="ar"/>
                    </w:rPr>
                    <w:t>/次</w:t>
                  </w:r>
                </w:p>
              </w:tc>
              <w:tc>
                <w:tcPr>
                  <w:tcW w:w="1472" w:type="dxa"/>
                  <w:vAlign w:val="center"/>
                </w:tcPr>
                <w:p w14:paraId="33F71A26">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14:paraId="3D6EBA81">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cs="宋体"/>
                      <w:color w:val="auto"/>
                      <w:sz w:val="24"/>
                      <w:szCs w:val="24"/>
                      <w:highlight w:val="none"/>
                      <w:vertAlign w:val="baseline"/>
                      <w:lang w:val="en-US" w:eastAsia="zh-CN" w:bidi="ar"/>
                    </w:rPr>
                    <w:t>3.325kg/次</w:t>
                  </w:r>
                </w:p>
              </w:tc>
              <w:tc>
                <w:tcPr>
                  <w:tcW w:w="1472" w:type="dxa"/>
                  <w:vAlign w:val="center"/>
                </w:tcPr>
                <w:p w14:paraId="40FA02E4">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14:paraId="083C258A">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cs="宋体"/>
                      <w:color w:val="auto"/>
                      <w:sz w:val="24"/>
                      <w:szCs w:val="24"/>
                      <w:highlight w:val="none"/>
                      <w:vertAlign w:val="baseline"/>
                      <w:lang w:val="en-US" w:eastAsia="zh-CN" w:bidi="ar"/>
                    </w:rPr>
                    <w:t>18.35kg/次</w:t>
                  </w:r>
                </w:p>
              </w:tc>
              <w:tc>
                <w:tcPr>
                  <w:tcW w:w="1474" w:type="dxa"/>
                  <w:vAlign w:val="center"/>
                </w:tcPr>
                <w:p w14:paraId="6883C7E1">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颗粒物</w:t>
                  </w:r>
                  <w:r>
                    <w:rPr>
                      <w:rFonts w:hint="eastAsia" w:cs="宋体"/>
                      <w:color w:val="auto"/>
                      <w:sz w:val="24"/>
                      <w:szCs w:val="24"/>
                      <w:highlight w:val="none"/>
                      <w:vertAlign w:val="baseline"/>
                      <w:lang w:val="en-US" w:eastAsia="zh-CN" w:bidi="ar"/>
                    </w:rPr>
                    <w:t>1.3kg/次</w:t>
                  </w:r>
                </w:p>
              </w:tc>
            </w:tr>
            <w:tr w14:paraId="025A5A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7D72F6C9">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非正常工况采取的措施</w:t>
                  </w:r>
                </w:p>
              </w:tc>
              <w:tc>
                <w:tcPr>
                  <w:tcW w:w="5890" w:type="dxa"/>
                  <w:gridSpan w:val="4"/>
                  <w:vAlign w:val="center"/>
                </w:tcPr>
                <w:p w14:paraId="27A5E063">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开停机期间柴油燃烧废气进入各炭化炉后采取的低氮燃烧装置</w:t>
                  </w:r>
                  <w:r>
                    <w:rPr>
                      <w:rFonts w:hint="eastAsia"/>
                      <w:snapToGrid w:val="0"/>
                      <w:color w:val="auto"/>
                      <w:lang w:val="en-US" w:eastAsia="zh-CN" w:bidi="ar"/>
                    </w:rPr>
                    <w:t>+烟气外循环+袋式除尘器+石灰石/石膏脱硫措施处置后排放</w:t>
                  </w:r>
                </w:p>
              </w:tc>
            </w:tr>
            <w:tr w14:paraId="331A83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2E2756E1">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14:paraId="0E247B72">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排放浓度</w:t>
                  </w:r>
                </w:p>
              </w:tc>
              <w:tc>
                <w:tcPr>
                  <w:tcW w:w="1472" w:type="dxa"/>
                  <w:vAlign w:val="center"/>
                </w:tcPr>
                <w:p w14:paraId="1E5CC61A">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废气量</w:t>
                  </w:r>
                  <w:r>
                    <w:rPr>
                      <w:rFonts w:hint="eastAsia"/>
                      <w:snapToGrid w:val="0"/>
                      <w:color w:val="auto"/>
                      <w:lang w:val="en-US" w:eastAsia="zh-CN" w:bidi="ar"/>
                    </w:rPr>
                    <w:t>89020</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p>
              </w:tc>
              <w:tc>
                <w:tcPr>
                  <w:tcW w:w="1472" w:type="dxa"/>
                  <w:vAlign w:val="center"/>
                </w:tcPr>
                <w:p w14:paraId="2E2CEE29">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14:paraId="448BDF67">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20.7mg/m</w:t>
                  </w:r>
                  <w:r>
                    <w:rPr>
                      <w:rFonts w:hint="eastAsia" w:cs="宋体"/>
                      <w:color w:val="auto"/>
                      <w:sz w:val="24"/>
                      <w:szCs w:val="24"/>
                      <w:highlight w:val="none"/>
                      <w:vertAlign w:val="superscript"/>
                      <w:lang w:val="en-US" w:eastAsia="zh-CN" w:bidi="ar"/>
                    </w:rPr>
                    <w:t>3</w:t>
                  </w:r>
                </w:p>
              </w:tc>
              <w:tc>
                <w:tcPr>
                  <w:tcW w:w="1472" w:type="dxa"/>
                  <w:vAlign w:val="center"/>
                </w:tcPr>
                <w:p w14:paraId="65D775F7">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14:paraId="4312F481">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123.7mg/m</w:t>
                  </w:r>
                  <w:r>
                    <w:rPr>
                      <w:rFonts w:hint="eastAsia" w:cs="宋体"/>
                      <w:color w:val="auto"/>
                      <w:sz w:val="24"/>
                      <w:szCs w:val="24"/>
                      <w:highlight w:val="none"/>
                      <w:vertAlign w:val="superscript"/>
                      <w:lang w:val="en-US" w:eastAsia="zh-CN" w:bidi="ar"/>
                    </w:rPr>
                    <w:t>3</w:t>
                  </w:r>
                </w:p>
              </w:tc>
              <w:tc>
                <w:tcPr>
                  <w:tcW w:w="1474" w:type="dxa"/>
                  <w:vAlign w:val="center"/>
                </w:tcPr>
                <w:p w14:paraId="46013480">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颗粒物</w:t>
                  </w:r>
                  <w:r>
                    <w:rPr>
                      <w:rFonts w:hint="eastAsia"/>
                      <w:snapToGrid w:val="0"/>
                      <w:color w:val="auto"/>
                      <w:lang w:val="en-US" w:eastAsia="zh-CN" w:bidi="ar"/>
                    </w:rPr>
                    <w:t>0.15</w:t>
                  </w:r>
                  <w:r>
                    <w:rPr>
                      <w:rFonts w:hint="eastAsia" w:cs="宋体"/>
                      <w:color w:val="auto"/>
                      <w:sz w:val="24"/>
                      <w:szCs w:val="24"/>
                      <w:highlight w:val="none"/>
                      <w:vertAlign w:val="baseline"/>
                      <w:lang w:val="en-US" w:eastAsia="zh-CN" w:bidi="ar"/>
                    </w:rPr>
                    <w:t>mg/m</w:t>
                  </w:r>
                  <w:r>
                    <w:rPr>
                      <w:rFonts w:hint="eastAsia" w:cs="宋体"/>
                      <w:color w:val="auto"/>
                      <w:sz w:val="24"/>
                      <w:szCs w:val="24"/>
                      <w:highlight w:val="none"/>
                      <w:vertAlign w:val="superscript"/>
                      <w:lang w:val="en-US" w:eastAsia="zh-CN" w:bidi="ar"/>
                    </w:rPr>
                    <w:t>3</w:t>
                  </w:r>
                </w:p>
              </w:tc>
            </w:tr>
            <w:tr w14:paraId="0EE954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344" w:type="dxa"/>
                  <w:vAlign w:val="center"/>
                </w:tcPr>
                <w:p w14:paraId="163DE183">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14:paraId="6DB50427">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排放量</w:t>
                  </w:r>
                </w:p>
              </w:tc>
              <w:tc>
                <w:tcPr>
                  <w:tcW w:w="1472" w:type="dxa"/>
                  <w:vAlign w:val="center"/>
                </w:tcPr>
                <w:p w14:paraId="038FA995">
                  <w:pPr>
                    <w:pStyle w:val="58"/>
                    <w:keepNext w:val="0"/>
                    <w:keepLines w:val="0"/>
                    <w:suppressLineNumbers w:val="0"/>
                    <w:spacing w:before="0" w:beforeAutospacing="0" w:after="0" w:afterAutospacing="0"/>
                    <w:ind w:left="0" w:leftChars="0" w:right="0" w:rightChars="0"/>
                    <w:rPr>
                      <w:rFonts w:hint="eastAsia"/>
                      <w:snapToGrid w:val="0"/>
                      <w:color w:val="auto"/>
                      <w:lang w:eastAsia="zh-CN" w:bidi="ar"/>
                    </w:rPr>
                  </w:pPr>
                  <w:r>
                    <w:rPr>
                      <w:rFonts w:hint="eastAsia"/>
                      <w:snapToGrid w:val="0"/>
                      <w:color w:val="auto"/>
                      <w:lang w:eastAsia="zh-CN" w:bidi="ar"/>
                    </w:rPr>
                    <w:t>废气量</w:t>
                  </w:r>
                </w:p>
                <w:p w14:paraId="0A29A801">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val="en-US" w:eastAsia="zh-CN" w:bidi="ar"/>
                    </w:rPr>
                    <w:t>44.6万</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r>
                    <w:rPr>
                      <w:rFonts w:hint="eastAsia" w:cs="宋体"/>
                      <w:color w:val="auto"/>
                      <w:sz w:val="21"/>
                      <w:szCs w:val="21"/>
                      <w:highlight w:val="none"/>
                      <w:vertAlign w:val="baseline"/>
                      <w:lang w:val="en-US" w:eastAsia="zh-CN" w:bidi="ar"/>
                    </w:rPr>
                    <w:t>/a</w:t>
                  </w:r>
                </w:p>
              </w:tc>
              <w:tc>
                <w:tcPr>
                  <w:tcW w:w="1472" w:type="dxa"/>
                  <w:vAlign w:val="center"/>
                </w:tcPr>
                <w:p w14:paraId="524DDE95">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14:paraId="781EE53B">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9.214kg/a</w:t>
                  </w:r>
                </w:p>
              </w:tc>
              <w:tc>
                <w:tcPr>
                  <w:tcW w:w="1472" w:type="dxa"/>
                  <w:vAlign w:val="center"/>
                </w:tcPr>
                <w:p w14:paraId="523D45ED">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14:paraId="2AB87C3C">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55.05kg/a</w:t>
                  </w:r>
                </w:p>
              </w:tc>
              <w:tc>
                <w:tcPr>
                  <w:tcW w:w="1474" w:type="dxa"/>
                  <w:vAlign w:val="center"/>
                </w:tcPr>
                <w:p w14:paraId="249C1190">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颗粒物</w:t>
                  </w:r>
                  <w:r>
                    <w:rPr>
                      <w:rFonts w:hint="eastAsia" w:cs="宋体"/>
                      <w:color w:val="auto"/>
                      <w:sz w:val="24"/>
                      <w:szCs w:val="24"/>
                      <w:highlight w:val="none"/>
                      <w:vertAlign w:val="baseline"/>
                      <w:lang w:val="en-US" w:eastAsia="zh-CN" w:bidi="ar"/>
                    </w:rPr>
                    <w:t>0.067kg/a</w:t>
                  </w:r>
                </w:p>
              </w:tc>
            </w:tr>
          </w:tbl>
          <w:p w14:paraId="3CD44773">
            <w:p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）污染源强汇总</w:t>
            </w:r>
          </w:p>
          <w:p w14:paraId="3CDDCC8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根据《排污许可证申请与核发技术规范</w:t>
            </w:r>
            <w:r>
              <w:rPr>
                <w:rFonts w:hint="eastAsia" w:cs="宋体"/>
                <w:color w:val="auto"/>
                <w:sz w:val="24"/>
                <w:szCs w:val="24"/>
                <w:highlight w:val="none"/>
                <w:lang w:val="en-US" w:eastAsia="zh-CN" w:bidi="ar"/>
              </w:rPr>
              <w:t xml:space="preserve"> 锅炉</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HJ953-2018</w:t>
            </w:r>
            <w:r>
              <w:rPr>
                <w:rFonts w:hint="eastAsia" w:cs="宋体"/>
                <w:color w:val="auto"/>
                <w:sz w:val="24"/>
                <w:szCs w:val="24"/>
                <w:highlight w:val="none"/>
                <w:lang w:eastAsia="zh-CN" w:bidi="ar"/>
              </w:rPr>
              <w:t>）、《排污许可证申请与核发技术规范</w:t>
            </w:r>
            <w:r>
              <w:rPr>
                <w:rFonts w:hint="eastAsia" w:cs="宋体"/>
                <w:color w:val="auto"/>
                <w:sz w:val="24"/>
                <w:szCs w:val="24"/>
                <w:highlight w:val="none"/>
                <w:lang w:val="en-US" w:eastAsia="zh-CN" w:bidi="ar"/>
              </w:rPr>
              <w:t xml:space="preserve"> 工业炉窑</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HJ1121-2020</w:t>
            </w:r>
            <w:r>
              <w:rPr>
                <w:rFonts w:hint="eastAsia" w:cs="宋体"/>
                <w:color w:val="auto"/>
                <w:sz w:val="24"/>
                <w:szCs w:val="24"/>
                <w:highlight w:val="none"/>
                <w:lang w:eastAsia="zh-CN" w:bidi="ar"/>
              </w:rPr>
              <w:t>）中附录</w:t>
            </w:r>
            <w:r>
              <w:rPr>
                <w:rFonts w:hint="eastAsia" w:cs="宋体"/>
                <w:color w:val="auto"/>
                <w:sz w:val="24"/>
                <w:szCs w:val="24"/>
                <w:highlight w:val="none"/>
                <w:lang w:val="en-US" w:eastAsia="zh-CN" w:bidi="ar"/>
              </w:rPr>
              <w:t>A内容，项目采用的低氮燃烧技术、石灰石石膏湿法脱硫技术、袋式除尘技术均为可行技术</w:t>
            </w:r>
            <w:r>
              <w:rPr>
                <w:rFonts w:hint="eastAsia" w:cs="宋体"/>
                <w:color w:val="auto"/>
                <w:sz w:val="24"/>
                <w:szCs w:val="24"/>
                <w:highlight w:val="none"/>
                <w:lang w:eastAsia="zh-CN" w:bidi="ar"/>
              </w:rPr>
              <w:t>，在采取以上措施后项目营运期大气污染物产生及排放情况见表</w:t>
            </w:r>
            <w:r>
              <w:rPr>
                <w:rFonts w:hint="eastAsia" w:cs="宋体"/>
                <w:color w:val="auto"/>
                <w:sz w:val="24"/>
                <w:szCs w:val="24"/>
                <w:highlight w:val="none"/>
                <w:lang w:val="en-US" w:eastAsia="zh-CN" w:bidi="ar"/>
              </w:rPr>
              <w:t>4-6。</w:t>
            </w:r>
          </w:p>
          <w:p w14:paraId="2710F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30" w:firstLineChars="300"/>
              <w:jc w:val="left"/>
              <w:textAlignment w:val="auto"/>
              <w:outlineLvl w:val="9"/>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eastAsia" w:eastAsia="黑体" w:cs="Times New Roman"/>
                <w:color w:val="auto"/>
                <w:sz w:val="21"/>
                <w:szCs w:val="21"/>
                <w:lang w:val="en-US" w:eastAsia="zh-CN"/>
              </w:rPr>
              <w:t>4-6</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项目大气污染物排放情况一览表</w:t>
            </w:r>
          </w:p>
          <w:tbl>
            <w:tblPr>
              <w:tblStyle w:val="22"/>
              <w:tblW w:w="8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10"/>
              <w:gridCol w:w="845"/>
              <w:gridCol w:w="680"/>
              <w:gridCol w:w="699"/>
              <w:gridCol w:w="1403"/>
              <w:gridCol w:w="709"/>
              <w:gridCol w:w="636"/>
              <w:gridCol w:w="744"/>
              <w:gridCol w:w="658"/>
              <w:gridCol w:w="412"/>
              <w:gridCol w:w="428"/>
              <w:gridCol w:w="378"/>
            </w:tblGrid>
            <w:tr w14:paraId="18DC9E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55" w:type="dxa"/>
                  <w:gridSpan w:val="2"/>
                  <w:vMerge w:val="restart"/>
                  <w:vAlign w:val="center"/>
                </w:tcPr>
                <w:p w14:paraId="18D86F7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680" w:type="dxa"/>
                  <w:vMerge w:val="restart"/>
                  <w:vAlign w:val="center"/>
                </w:tcPr>
                <w:p w14:paraId="4A238DA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排气量</w:t>
                  </w:r>
                </w:p>
                <w:p w14:paraId="6F1F133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699" w:type="dxa"/>
                  <w:vMerge w:val="restart"/>
                  <w:vAlign w:val="center"/>
                </w:tcPr>
                <w:p w14:paraId="41E3B8C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运行</w:t>
                  </w:r>
                </w:p>
                <w:p w14:paraId="34D5A05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时间</w:t>
                  </w:r>
                </w:p>
              </w:tc>
              <w:tc>
                <w:tcPr>
                  <w:tcW w:w="1403" w:type="dxa"/>
                  <w:vMerge w:val="restart"/>
                  <w:vAlign w:val="center"/>
                </w:tcPr>
                <w:p w14:paraId="2BFCDBC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c>
                <w:tcPr>
                  <w:tcW w:w="709" w:type="dxa"/>
                  <w:vMerge w:val="restart"/>
                  <w:vAlign w:val="center"/>
                </w:tcPr>
                <w:p w14:paraId="5478D89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w:t>
                  </w:r>
                </w:p>
                <w:p w14:paraId="7A69B1E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因子</w:t>
                  </w:r>
                </w:p>
              </w:tc>
              <w:tc>
                <w:tcPr>
                  <w:tcW w:w="2038" w:type="dxa"/>
                  <w:gridSpan w:val="3"/>
                  <w:vAlign w:val="center"/>
                </w:tcPr>
                <w:p w14:paraId="5747F81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排放源强</w:t>
                  </w:r>
                </w:p>
              </w:tc>
              <w:tc>
                <w:tcPr>
                  <w:tcW w:w="1218" w:type="dxa"/>
                  <w:gridSpan w:val="3"/>
                  <w:vAlign w:val="center"/>
                </w:tcPr>
                <w:p w14:paraId="4B69CED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w:t>
                  </w:r>
                </w:p>
              </w:tc>
            </w:tr>
            <w:tr w14:paraId="18D6E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55" w:type="dxa"/>
                  <w:gridSpan w:val="2"/>
                  <w:vMerge w:val="continue"/>
                  <w:vAlign w:val="center"/>
                </w:tcPr>
                <w:p w14:paraId="2EB8B4C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80" w:type="dxa"/>
                  <w:vMerge w:val="continue"/>
                  <w:vAlign w:val="center"/>
                </w:tcPr>
                <w:p w14:paraId="41E3DC6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14:paraId="2297703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14:paraId="3E1C49A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Merge w:val="continue"/>
                  <w:vAlign w:val="center"/>
                </w:tcPr>
                <w:p w14:paraId="6D97553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36" w:type="dxa"/>
                  <w:vAlign w:val="center"/>
                </w:tcPr>
                <w:p w14:paraId="63FB870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浓度mg/m</w:t>
                  </w:r>
                  <w:r>
                    <w:rPr>
                      <w:rFonts w:hint="default" w:ascii="Times New Roman" w:hAnsi="Times New Roman" w:cs="Times New Roman"/>
                      <w:color w:val="auto"/>
                      <w:sz w:val="21"/>
                      <w:szCs w:val="21"/>
                      <w:vertAlign w:val="superscript"/>
                    </w:rPr>
                    <w:t>3</w:t>
                  </w:r>
                </w:p>
              </w:tc>
              <w:tc>
                <w:tcPr>
                  <w:tcW w:w="744" w:type="dxa"/>
                  <w:vAlign w:val="center"/>
                </w:tcPr>
                <w:p w14:paraId="500C823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速率kg/h</w:t>
                  </w:r>
                </w:p>
              </w:tc>
              <w:tc>
                <w:tcPr>
                  <w:tcW w:w="658" w:type="dxa"/>
                  <w:vAlign w:val="center"/>
                </w:tcPr>
                <w:p w14:paraId="6870087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c>
                <w:tcPr>
                  <w:tcW w:w="412" w:type="dxa"/>
                  <w:vAlign w:val="center"/>
                </w:tcPr>
                <w:p w14:paraId="3A698AB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w:t>
                  </w:r>
                </w:p>
                <w:p w14:paraId="0348512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428" w:type="dxa"/>
                  <w:vAlign w:val="center"/>
                </w:tcPr>
                <w:p w14:paraId="4E34A6F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温度℃</w:t>
                  </w:r>
                </w:p>
              </w:tc>
              <w:tc>
                <w:tcPr>
                  <w:tcW w:w="378" w:type="dxa"/>
                  <w:vAlign w:val="center"/>
                </w:tcPr>
                <w:p w14:paraId="3CB5BFF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内径m</w:t>
                  </w:r>
                </w:p>
              </w:tc>
            </w:tr>
            <w:tr w14:paraId="2C02B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Merge w:val="restart"/>
                  <w:vAlign w:val="center"/>
                </w:tcPr>
                <w:p w14:paraId="1C31AC01">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1#~4#炭化炉烟气</w:t>
                  </w:r>
                </w:p>
              </w:tc>
              <w:tc>
                <w:tcPr>
                  <w:tcW w:w="845" w:type="dxa"/>
                  <w:vMerge w:val="restart"/>
                  <w:vAlign w:val="center"/>
                </w:tcPr>
                <w:p w14:paraId="54D0578F">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eastAsia="zh-CN"/>
                    </w:rPr>
                    <w:t>炭化炉烟气</w:t>
                  </w:r>
                  <w:r>
                    <w:rPr>
                      <w:rFonts w:hint="eastAsia" w:eastAsia="宋体" w:cs="Times New Roman"/>
                      <w:b w:val="0"/>
                      <w:snapToGrid w:val="0"/>
                      <w:color w:val="auto"/>
                      <w:spacing w:val="0"/>
                      <w:kern w:val="0"/>
                      <w:sz w:val="21"/>
                      <w:szCs w:val="21"/>
                      <w:lang w:val="en-US" w:eastAsia="zh-CN"/>
                    </w:rPr>
                    <w:t>DA001</w:t>
                  </w:r>
                </w:p>
                <w:p w14:paraId="46D2C1CE">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w:t>
                  </w:r>
                </w:p>
                <w:p w14:paraId="66F4F779">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86.428E</w:t>
                  </w:r>
                </w:p>
                <w:p w14:paraId="68669BCC">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44.294N</w:t>
                  </w:r>
                </w:p>
              </w:tc>
              <w:tc>
                <w:tcPr>
                  <w:tcW w:w="680" w:type="dxa"/>
                  <w:vMerge w:val="restart"/>
                  <w:vAlign w:val="center"/>
                </w:tcPr>
                <w:p w14:paraId="3EB9FBF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28246</w:t>
                  </w:r>
                </w:p>
              </w:tc>
              <w:tc>
                <w:tcPr>
                  <w:tcW w:w="699" w:type="dxa"/>
                  <w:vMerge w:val="restart"/>
                  <w:vAlign w:val="center"/>
                </w:tcPr>
                <w:p w14:paraId="28A0F63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Merge w:val="restart"/>
                  <w:vAlign w:val="center"/>
                </w:tcPr>
                <w:p w14:paraId="0C183E6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低氮燃烧器+烟气外循环+袋式除尘器1#+石灰石石膏脱硫装置1#</w:t>
                  </w:r>
                </w:p>
              </w:tc>
              <w:tc>
                <w:tcPr>
                  <w:tcW w:w="709" w:type="dxa"/>
                  <w:vAlign w:val="center"/>
                </w:tcPr>
                <w:p w14:paraId="2CAF1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颗粒物</w:t>
                  </w:r>
                </w:p>
              </w:tc>
              <w:tc>
                <w:tcPr>
                  <w:tcW w:w="636" w:type="dxa"/>
                  <w:vAlign w:val="center"/>
                </w:tcPr>
                <w:p w14:paraId="2F012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5.8</w:t>
                  </w:r>
                </w:p>
              </w:tc>
              <w:tc>
                <w:tcPr>
                  <w:tcW w:w="744" w:type="dxa"/>
                  <w:vAlign w:val="center"/>
                </w:tcPr>
                <w:p w14:paraId="79E8D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0.164</w:t>
                  </w:r>
                </w:p>
              </w:tc>
              <w:tc>
                <w:tcPr>
                  <w:tcW w:w="658" w:type="dxa"/>
                  <w:vAlign w:val="center"/>
                </w:tcPr>
                <w:p w14:paraId="085D2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1.179</w:t>
                  </w:r>
                </w:p>
              </w:tc>
              <w:tc>
                <w:tcPr>
                  <w:tcW w:w="412" w:type="dxa"/>
                  <w:vMerge w:val="restart"/>
                  <w:vAlign w:val="center"/>
                </w:tcPr>
                <w:p w14:paraId="0EEF0C5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30</w:t>
                  </w:r>
                </w:p>
              </w:tc>
              <w:tc>
                <w:tcPr>
                  <w:tcW w:w="428" w:type="dxa"/>
                  <w:vMerge w:val="restart"/>
                  <w:vAlign w:val="center"/>
                </w:tcPr>
                <w:p w14:paraId="1C3BFCC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7</w:t>
                  </w:r>
                  <w:r>
                    <w:rPr>
                      <w:rFonts w:hint="default" w:ascii="Times New Roman" w:hAnsi="Times New Roman" w:cs="Times New Roman"/>
                      <w:color w:val="auto"/>
                      <w:sz w:val="21"/>
                      <w:szCs w:val="21"/>
                    </w:rPr>
                    <w:t>0</w:t>
                  </w:r>
                </w:p>
              </w:tc>
              <w:tc>
                <w:tcPr>
                  <w:tcW w:w="378" w:type="dxa"/>
                  <w:vMerge w:val="restart"/>
                  <w:vAlign w:val="center"/>
                </w:tcPr>
                <w:p w14:paraId="6DC2273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r>
            <w:tr w14:paraId="17F3EE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710" w:type="dxa"/>
                  <w:vMerge w:val="continue"/>
                  <w:vAlign w:val="center"/>
                </w:tcPr>
                <w:p w14:paraId="431B556A">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14:paraId="691E755C">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14:paraId="31AD696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14:paraId="4598B4D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14:paraId="080BFCE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14:paraId="7F8850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636" w:type="dxa"/>
                  <w:vAlign w:val="center"/>
                </w:tcPr>
                <w:p w14:paraId="35EB1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47.582</w:t>
                  </w:r>
                </w:p>
              </w:tc>
              <w:tc>
                <w:tcPr>
                  <w:tcW w:w="744" w:type="dxa"/>
                  <w:vAlign w:val="center"/>
                </w:tcPr>
                <w:p w14:paraId="21245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1.344</w:t>
                  </w:r>
                </w:p>
              </w:tc>
              <w:tc>
                <w:tcPr>
                  <w:tcW w:w="658" w:type="dxa"/>
                  <w:vAlign w:val="center"/>
                </w:tcPr>
                <w:p w14:paraId="157D6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9.6768</w:t>
                  </w:r>
                </w:p>
              </w:tc>
              <w:tc>
                <w:tcPr>
                  <w:tcW w:w="412" w:type="dxa"/>
                  <w:vMerge w:val="continue"/>
                  <w:vAlign w:val="center"/>
                </w:tcPr>
                <w:p w14:paraId="3971BB1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14:paraId="73577CC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14:paraId="7CC2EAA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61EB7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Merge w:val="continue"/>
                  <w:vAlign w:val="center"/>
                </w:tcPr>
                <w:p w14:paraId="39035981">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14:paraId="275D4C62">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14:paraId="5EF204C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14:paraId="1B88782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14:paraId="3F04DC7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14:paraId="5FE5F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636" w:type="dxa"/>
                  <w:vAlign w:val="center"/>
                </w:tcPr>
                <w:p w14:paraId="642D63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130.94</w:t>
                  </w:r>
                </w:p>
              </w:tc>
              <w:tc>
                <w:tcPr>
                  <w:tcW w:w="744" w:type="dxa"/>
                  <w:vAlign w:val="center"/>
                </w:tcPr>
                <w:p w14:paraId="3EB70B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3.6984</w:t>
                  </w:r>
                </w:p>
              </w:tc>
              <w:tc>
                <w:tcPr>
                  <w:tcW w:w="658" w:type="dxa"/>
                  <w:vAlign w:val="center"/>
                </w:tcPr>
                <w:p w14:paraId="41DF5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26.6292</w:t>
                  </w:r>
                </w:p>
              </w:tc>
              <w:tc>
                <w:tcPr>
                  <w:tcW w:w="412" w:type="dxa"/>
                  <w:vMerge w:val="continue"/>
                  <w:vAlign w:val="center"/>
                </w:tcPr>
                <w:p w14:paraId="7CBF737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14:paraId="7F06FB9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14:paraId="421BC6A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7C863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Merge w:val="restart"/>
                  <w:vAlign w:val="center"/>
                </w:tcPr>
                <w:p w14:paraId="5A8E05BB">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5#~20#炭化炉烟气</w:t>
                  </w:r>
                </w:p>
              </w:tc>
              <w:tc>
                <w:tcPr>
                  <w:tcW w:w="845" w:type="dxa"/>
                  <w:vMerge w:val="restart"/>
                  <w:vAlign w:val="center"/>
                </w:tcPr>
                <w:p w14:paraId="2C55C356">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eastAsia="zh-CN"/>
                    </w:rPr>
                    <w:t>炭化炉烟气</w:t>
                  </w:r>
                  <w:r>
                    <w:rPr>
                      <w:rFonts w:hint="eastAsia" w:eastAsia="宋体" w:cs="Times New Roman"/>
                      <w:b w:val="0"/>
                      <w:snapToGrid w:val="0"/>
                      <w:color w:val="auto"/>
                      <w:spacing w:val="0"/>
                      <w:kern w:val="0"/>
                      <w:sz w:val="21"/>
                      <w:szCs w:val="21"/>
                      <w:lang w:val="en-US" w:eastAsia="zh-CN"/>
                    </w:rPr>
                    <w:t>DA002</w:t>
                  </w:r>
                </w:p>
                <w:p w14:paraId="66F62AA1">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w:t>
                  </w:r>
                </w:p>
                <w:p w14:paraId="33C8A5BA">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86.429E</w:t>
                  </w:r>
                </w:p>
                <w:p w14:paraId="79A9B3E1">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44.292N</w:t>
                  </w:r>
                </w:p>
              </w:tc>
              <w:tc>
                <w:tcPr>
                  <w:tcW w:w="680" w:type="dxa"/>
                  <w:vMerge w:val="restart"/>
                  <w:vAlign w:val="center"/>
                </w:tcPr>
                <w:p w14:paraId="3741B98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112983</w:t>
                  </w:r>
                </w:p>
              </w:tc>
              <w:tc>
                <w:tcPr>
                  <w:tcW w:w="699" w:type="dxa"/>
                  <w:vMerge w:val="restart"/>
                  <w:vAlign w:val="center"/>
                </w:tcPr>
                <w:p w14:paraId="697FAFF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Merge w:val="restart"/>
                  <w:vAlign w:val="center"/>
                </w:tcPr>
                <w:p w14:paraId="3DF9FC1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cs="Times New Roman"/>
                      <w:color w:val="auto"/>
                      <w:sz w:val="21"/>
                      <w:szCs w:val="21"/>
                      <w:highlight w:val="none"/>
                      <w:lang w:val="en-US" w:eastAsia="zh-CN"/>
                    </w:rPr>
                    <w:t>低氮燃烧器+烟气外循环+袋式除尘器2#3#+石灰石石膏脱硫装置2#</w:t>
                  </w:r>
                </w:p>
              </w:tc>
              <w:tc>
                <w:tcPr>
                  <w:tcW w:w="709" w:type="dxa"/>
                  <w:vAlign w:val="center"/>
                </w:tcPr>
                <w:p w14:paraId="35810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颗粒物</w:t>
                  </w:r>
                </w:p>
              </w:tc>
              <w:tc>
                <w:tcPr>
                  <w:tcW w:w="636" w:type="dxa"/>
                  <w:vAlign w:val="center"/>
                </w:tcPr>
                <w:p w14:paraId="09FE9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5.8</w:t>
                  </w:r>
                </w:p>
              </w:tc>
              <w:tc>
                <w:tcPr>
                  <w:tcW w:w="744" w:type="dxa"/>
                  <w:vAlign w:val="center"/>
                </w:tcPr>
                <w:p w14:paraId="1FF29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0.655</w:t>
                  </w:r>
                </w:p>
              </w:tc>
              <w:tc>
                <w:tcPr>
                  <w:tcW w:w="658" w:type="dxa"/>
                  <w:vAlign w:val="center"/>
                </w:tcPr>
                <w:p w14:paraId="568383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4.716</w:t>
                  </w:r>
                </w:p>
              </w:tc>
              <w:tc>
                <w:tcPr>
                  <w:tcW w:w="412" w:type="dxa"/>
                  <w:vMerge w:val="restart"/>
                  <w:vAlign w:val="center"/>
                </w:tcPr>
                <w:p w14:paraId="779890A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428" w:type="dxa"/>
                  <w:vMerge w:val="restart"/>
                  <w:vAlign w:val="center"/>
                </w:tcPr>
                <w:p w14:paraId="4B52E61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7</w:t>
                  </w:r>
                  <w:r>
                    <w:rPr>
                      <w:rFonts w:hint="eastAsia" w:ascii="Times New Roman" w:hAnsi="Times New Roman" w:cs="Times New Roman"/>
                      <w:color w:val="auto"/>
                      <w:sz w:val="21"/>
                      <w:szCs w:val="21"/>
                      <w:lang w:val="en-US" w:eastAsia="zh-CN"/>
                    </w:rPr>
                    <w:t>0</w:t>
                  </w:r>
                </w:p>
              </w:tc>
              <w:tc>
                <w:tcPr>
                  <w:tcW w:w="378" w:type="dxa"/>
                  <w:vMerge w:val="restart"/>
                  <w:vAlign w:val="center"/>
                </w:tcPr>
                <w:p w14:paraId="49C2BE1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r>
            <w:tr w14:paraId="732C2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Merge w:val="continue"/>
                  <w:vAlign w:val="center"/>
                </w:tcPr>
                <w:p w14:paraId="261A6607">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14:paraId="3BEFAF06">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14:paraId="35DE9C4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14:paraId="0A5F0C2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14:paraId="1BF0B2F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14:paraId="7D80A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636" w:type="dxa"/>
                  <w:vAlign w:val="center"/>
                </w:tcPr>
                <w:p w14:paraId="707D4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47.582</w:t>
                  </w:r>
                </w:p>
              </w:tc>
              <w:tc>
                <w:tcPr>
                  <w:tcW w:w="744" w:type="dxa"/>
                  <w:vAlign w:val="center"/>
                </w:tcPr>
                <w:p w14:paraId="10A23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5.376</w:t>
                  </w:r>
                </w:p>
              </w:tc>
              <w:tc>
                <w:tcPr>
                  <w:tcW w:w="658" w:type="dxa"/>
                  <w:vAlign w:val="center"/>
                </w:tcPr>
                <w:p w14:paraId="30A35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38.7072</w:t>
                  </w:r>
                </w:p>
              </w:tc>
              <w:tc>
                <w:tcPr>
                  <w:tcW w:w="412" w:type="dxa"/>
                  <w:vMerge w:val="continue"/>
                  <w:vAlign w:val="center"/>
                </w:tcPr>
                <w:p w14:paraId="62104D8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14:paraId="18DA764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14:paraId="1974DF9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00C1FE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Merge w:val="continue"/>
                  <w:vAlign w:val="center"/>
                </w:tcPr>
                <w:p w14:paraId="387B86CA">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14:paraId="2E3BC289">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14:paraId="3E4938A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14:paraId="4578C25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14:paraId="788FF81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14:paraId="1CDDA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636" w:type="dxa"/>
                  <w:vAlign w:val="center"/>
                </w:tcPr>
                <w:p w14:paraId="603E3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130.94</w:t>
                  </w:r>
                </w:p>
              </w:tc>
              <w:tc>
                <w:tcPr>
                  <w:tcW w:w="744" w:type="dxa"/>
                  <w:vAlign w:val="center"/>
                </w:tcPr>
                <w:p w14:paraId="75EE1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14.794</w:t>
                  </w:r>
                </w:p>
              </w:tc>
              <w:tc>
                <w:tcPr>
                  <w:tcW w:w="658" w:type="dxa"/>
                  <w:vAlign w:val="center"/>
                </w:tcPr>
                <w:p w14:paraId="0AB478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106.5168</w:t>
                  </w:r>
                </w:p>
              </w:tc>
              <w:tc>
                <w:tcPr>
                  <w:tcW w:w="412" w:type="dxa"/>
                  <w:vMerge w:val="continue"/>
                  <w:vAlign w:val="center"/>
                </w:tcPr>
                <w:p w14:paraId="0C45C35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14:paraId="6160B36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14:paraId="0647EA1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6F7B3C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10" w:type="dxa"/>
                  <w:vAlign w:val="center"/>
                </w:tcPr>
                <w:p w14:paraId="05BF4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机制炭车间废气</w:t>
                  </w:r>
                </w:p>
              </w:tc>
              <w:tc>
                <w:tcPr>
                  <w:tcW w:w="845" w:type="dxa"/>
                  <w:vAlign w:val="center"/>
                </w:tcPr>
                <w:p w14:paraId="6D86136C">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default" w:ascii="Times New Roman" w:hAnsi="Times New Roman" w:eastAsia="宋体" w:cs="Times New Roman"/>
                      <w:b w:val="0"/>
                      <w:bCs w:val="0"/>
                      <w:color w:val="auto"/>
                      <w:sz w:val="21"/>
                      <w:szCs w:val="21"/>
                      <w:lang w:eastAsia="zh-CN"/>
                    </w:rPr>
                    <w:t>制炭废气</w:t>
                  </w:r>
                  <w:r>
                    <w:rPr>
                      <w:rFonts w:hint="eastAsia" w:ascii="Times New Roman" w:hAnsi="Times New Roman" w:eastAsia="宋体" w:cs="Times New Roman"/>
                      <w:b w:val="0"/>
                      <w:bCs w:val="0"/>
                      <w:color w:val="auto"/>
                      <w:sz w:val="21"/>
                      <w:szCs w:val="21"/>
                      <w:lang w:val="en-US" w:eastAsia="zh-CN"/>
                    </w:rPr>
                    <w:t>DA003</w:t>
                  </w:r>
                  <w:r>
                    <w:rPr>
                      <w:rFonts w:hint="eastAsia" w:eastAsia="宋体" w:cs="Times New Roman"/>
                      <w:b w:val="0"/>
                      <w:snapToGrid w:val="0"/>
                      <w:color w:val="auto"/>
                      <w:spacing w:val="0"/>
                      <w:kern w:val="0"/>
                      <w:sz w:val="21"/>
                      <w:szCs w:val="21"/>
                      <w:lang w:val="en-US" w:eastAsia="zh-CN"/>
                    </w:rPr>
                    <w:t>坐标</w:t>
                  </w:r>
                </w:p>
                <w:p w14:paraId="55B22E68">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86.428E</w:t>
                  </w:r>
                </w:p>
                <w:p w14:paraId="59BAA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lang w:eastAsia="zh-CN"/>
                    </w:rPr>
                  </w:pPr>
                  <w:r>
                    <w:rPr>
                      <w:rFonts w:hint="eastAsia" w:eastAsia="宋体" w:cs="Times New Roman"/>
                      <w:b w:val="0"/>
                      <w:snapToGrid w:val="0"/>
                      <w:color w:val="auto"/>
                      <w:spacing w:val="0"/>
                      <w:kern w:val="0"/>
                      <w:sz w:val="21"/>
                      <w:szCs w:val="21"/>
                      <w:lang w:val="en-US" w:eastAsia="zh-CN"/>
                    </w:rPr>
                    <w:t>44.29</w:t>
                  </w:r>
                  <w:r>
                    <w:rPr>
                      <w:rFonts w:hint="eastAsia" w:cs="Times New Roman"/>
                      <w:b w:val="0"/>
                      <w:snapToGrid w:val="0"/>
                      <w:color w:val="auto"/>
                      <w:spacing w:val="0"/>
                      <w:kern w:val="0"/>
                      <w:sz w:val="21"/>
                      <w:szCs w:val="21"/>
                      <w:lang w:val="en-US" w:eastAsia="zh-CN"/>
                    </w:rPr>
                    <w:t>0</w:t>
                  </w:r>
                  <w:r>
                    <w:rPr>
                      <w:rFonts w:hint="eastAsia" w:eastAsia="宋体" w:cs="Times New Roman"/>
                      <w:b w:val="0"/>
                      <w:snapToGrid w:val="0"/>
                      <w:color w:val="auto"/>
                      <w:spacing w:val="0"/>
                      <w:kern w:val="0"/>
                      <w:sz w:val="21"/>
                      <w:szCs w:val="21"/>
                      <w:lang w:val="en-US" w:eastAsia="zh-CN"/>
                    </w:rPr>
                    <w:t>N</w:t>
                  </w:r>
                </w:p>
              </w:tc>
              <w:tc>
                <w:tcPr>
                  <w:tcW w:w="680" w:type="dxa"/>
                  <w:vAlign w:val="center"/>
                </w:tcPr>
                <w:p w14:paraId="36C3902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10000</w:t>
                  </w:r>
                </w:p>
              </w:tc>
              <w:tc>
                <w:tcPr>
                  <w:tcW w:w="699" w:type="dxa"/>
                  <w:vAlign w:val="center"/>
                </w:tcPr>
                <w:p w14:paraId="31CDBA2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Align w:val="center"/>
                </w:tcPr>
                <w:p w14:paraId="772349E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4#袋式除尘器+15m高排气筒</w:t>
                  </w:r>
                </w:p>
              </w:tc>
              <w:tc>
                <w:tcPr>
                  <w:tcW w:w="709" w:type="dxa"/>
                  <w:vAlign w:val="center"/>
                </w:tcPr>
                <w:p w14:paraId="0007102D">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颗粒物</w:t>
                  </w:r>
                </w:p>
              </w:tc>
              <w:tc>
                <w:tcPr>
                  <w:tcW w:w="636" w:type="dxa"/>
                  <w:vAlign w:val="center"/>
                </w:tcPr>
                <w:p w14:paraId="54930CE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0.81</w:t>
                  </w:r>
                </w:p>
              </w:tc>
              <w:tc>
                <w:tcPr>
                  <w:tcW w:w="744" w:type="dxa"/>
                  <w:vAlign w:val="center"/>
                </w:tcPr>
                <w:p w14:paraId="64B4186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w:t>
                  </w:r>
                  <w:r>
                    <w:rPr>
                      <w:rFonts w:hint="eastAsia"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8</w:t>
                  </w:r>
                </w:p>
              </w:tc>
              <w:tc>
                <w:tcPr>
                  <w:tcW w:w="658" w:type="dxa"/>
                  <w:vAlign w:val="center"/>
                </w:tcPr>
                <w:p w14:paraId="7CD8975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58</w:t>
                  </w:r>
                </w:p>
              </w:tc>
              <w:tc>
                <w:tcPr>
                  <w:tcW w:w="412" w:type="dxa"/>
                  <w:vAlign w:val="center"/>
                </w:tcPr>
                <w:p w14:paraId="62ADC0A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428" w:type="dxa"/>
                  <w:vAlign w:val="center"/>
                </w:tcPr>
                <w:p w14:paraId="7902BEA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c>
                <w:tcPr>
                  <w:tcW w:w="378" w:type="dxa"/>
                  <w:vAlign w:val="center"/>
                </w:tcPr>
                <w:p w14:paraId="7B30E34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r>
            <w:tr w14:paraId="51836F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55" w:type="dxa"/>
                  <w:gridSpan w:val="2"/>
                  <w:vAlign w:val="center"/>
                </w:tcPr>
                <w:p w14:paraId="1D395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eastAsia="zh-CN"/>
                    </w:rPr>
                    <w:t>食堂油烟</w:t>
                  </w:r>
                </w:p>
              </w:tc>
              <w:tc>
                <w:tcPr>
                  <w:tcW w:w="680" w:type="dxa"/>
                  <w:vAlign w:val="center"/>
                </w:tcPr>
                <w:p w14:paraId="3373AFD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4000</w:t>
                  </w:r>
                </w:p>
              </w:tc>
              <w:tc>
                <w:tcPr>
                  <w:tcW w:w="699" w:type="dxa"/>
                  <w:vAlign w:val="center"/>
                </w:tcPr>
                <w:p w14:paraId="37DF4A2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1200h/a</w:t>
                  </w:r>
                </w:p>
              </w:tc>
              <w:tc>
                <w:tcPr>
                  <w:tcW w:w="1403" w:type="dxa"/>
                  <w:vAlign w:val="center"/>
                </w:tcPr>
                <w:p w14:paraId="4EA79CF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油烟净化器</w:t>
                  </w:r>
                </w:p>
              </w:tc>
              <w:tc>
                <w:tcPr>
                  <w:tcW w:w="709" w:type="dxa"/>
                  <w:vAlign w:val="center"/>
                </w:tcPr>
                <w:p w14:paraId="0CE95B8C">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油烟</w:t>
                  </w:r>
                </w:p>
              </w:tc>
              <w:tc>
                <w:tcPr>
                  <w:tcW w:w="636" w:type="dxa"/>
                  <w:vAlign w:val="center"/>
                </w:tcPr>
                <w:p w14:paraId="2C209CE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744" w:type="dxa"/>
                  <w:vAlign w:val="center"/>
                </w:tcPr>
                <w:p w14:paraId="58BF073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0.005</w:t>
                  </w:r>
                </w:p>
              </w:tc>
              <w:tc>
                <w:tcPr>
                  <w:tcW w:w="658" w:type="dxa"/>
                  <w:vAlign w:val="center"/>
                </w:tcPr>
                <w:p w14:paraId="7743E83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0.0058</w:t>
                  </w:r>
                </w:p>
              </w:tc>
              <w:tc>
                <w:tcPr>
                  <w:tcW w:w="412" w:type="dxa"/>
                  <w:vAlign w:val="center"/>
                </w:tcPr>
                <w:p w14:paraId="2EC838D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28" w:type="dxa"/>
                  <w:vAlign w:val="center"/>
                </w:tcPr>
                <w:p w14:paraId="2607151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378" w:type="dxa"/>
                  <w:vAlign w:val="center"/>
                </w:tcPr>
                <w:p w14:paraId="7636D56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4778F5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55" w:type="dxa"/>
                  <w:gridSpan w:val="2"/>
                  <w:vAlign w:val="center"/>
                </w:tcPr>
                <w:p w14:paraId="7A9DE968">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eastAsia" w:eastAsia="宋体" w:cs="Times New Roman"/>
                      <w:b w:val="0"/>
                      <w:snapToGrid w:val="0"/>
                      <w:color w:val="auto"/>
                      <w:spacing w:val="0"/>
                      <w:kern w:val="0"/>
                      <w:sz w:val="21"/>
                      <w:szCs w:val="21"/>
                      <w:lang w:eastAsia="zh-CN"/>
                    </w:rPr>
                    <w:t>上料</w:t>
                  </w:r>
                  <w:r>
                    <w:rPr>
                      <w:rFonts w:hint="default" w:ascii="Times New Roman" w:hAnsi="Times New Roman" w:eastAsia="宋体" w:cs="Times New Roman"/>
                      <w:b w:val="0"/>
                      <w:snapToGrid w:val="0"/>
                      <w:color w:val="auto"/>
                      <w:spacing w:val="0"/>
                      <w:kern w:val="0"/>
                      <w:sz w:val="21"/>
                      <w:szCs w:val="21"/>
                    </w:rPr>
                    <w:t>车间无组织</w:t>
                  </w:r>
                </w:p>
                <w:p w14:paraId="638A89B7">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废气</w:t>
                  </w:r>
                </w:p>
                <w:p w14:paraId="12A82FC8">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坐标：86.430E</w:t>
                  </w:r>
                </w:p>
                <w:p w14:paraId="37C3159B">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eastAsia" w:eastAsia="宋体" w:cs="Times New Roman"/>
                      <w:b w:val="0"/>
                      <w:snapToGrid w:val="0"/>
                      <w:color w:val="auto"/>
                      <w:spacing w:val="0"/>
                      <w:kern w:val="0"/>
                      <w:sz w:val="21"/>
                      <w:szCs w:val="21"/>
                      <w:lang w:val="en-US" w:eastAsia="zh-CN"/>
                    </w:rPr>
                    <w:t>44.295N</w:t>
                  </w:r>
                </w:p>
              </w:tc>
              <w:tc>
                <w:tcPr>
                  <w:tcW w:w="680" w:type="dxa"/>
                  <w:vAlign w:val="center"/>
                </w:tcPr>
                <w:p w14:paraId="6B3EE47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99" w:type="dxa"/>
                  <w:vMerge w:val="restart"/>
                  <w:vAlign w:val="center"/>
                </w:tcPr>
                <w:p w14:paraId="1287BF7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7200h/a</w:t>
                  </w:r>
                </w:p>
              </w:tc>
              <w:tc>
                <w:tcPr>
                  <w:tcW w:w="1403" w:type="dxa"/>
                  <w:vAlign w:val="center"/>
                </w:tcPr>
                <w:p w14:paraId="0D24FA4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09" w:type="dxa"/>
                  <w:vAlign w:val="center"/>
                </w:tcPr>
                <w:p w14:paraId="09C44F64">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颗粒物</w:t>
                  </w:r>
                </w:p>
              </w:tc>
              <w:tc>
                <w:tcPr>
                  <w:tcW w:w="636" w:type="dxa"/>
                  <w:vAlign w:val="center"/>
                </w:tcPr>
                <w:p w14:paraId="38B47EB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44" w:type="dxa"/>
                  <w:vAlign w:val="center"/>
                </w:tcPr>
                <w:p w14:paraId="29DAC90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1.385</w:t>
                  </w:r>
                </w:p>
              </w:tc>
              <w:tc>
                <w:tcPr>
                  <w:tcW w:w="658" w:type="dxa"/>
                  <w:vAlign w:val="center"/>
                </w:tcPr>
                <w:p w14:paraId="36967EA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9.97</w:t>
                  </w:r>
                </w:p>
              </w:tc>
              <w:tc>
                <w:tcPr>
                  <w:tcW w:w="1218" w:type="dxa"/>
                  <w:gridSpan w:val="3"/>
                  <w:vAlign w:val="center"/>
                </w:tcPr>
                <w:p w14:paraId="5FA5C0C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90*54m</w:t>
                  </w:r>
                </w:p>
              </w:tc>
            </w:tr>
            <w:tr w14:paraId="3CD80D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55" w:type="dxa"/>
                  <w:gridSpan w:val="2"/>
                  <w:vAlign w:val="center"/>
                </w:tcPr>
                <w:p w14:paraId="65AB01CA">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机制炭车间无组织废气</w:t>
                  </w:r>
                </w:p>
                <w:p w14:paraId="3FD29137">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坐标：86.428E</w:t>
                  </w:r>
                </w:p>
                <w:p w14:paraId="60C90EB6">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44.289N</w:t>
                  </w:r>
                </w:p>
              </w:tc>
              <w:tc>
                <w:tcPr>
                  <w:tcW w:w="680" w:type="dxa"/>
                  <w:vAlign w:val="center"/>
                </w:tcPr>
                <w:p w14:paraId="1576D20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99" w:type="dxa"/>
                  <w:vMerge w:val="continue"/>
                  <w:vAlign w:val="center"/>
                </w:tcPr>
                <w:p w14:paraId="057C02D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Align w:val="center"/>
                </w:tcPr>
                <w:p w14:paraId="780EBF7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09" w:type="dxa"/>
                  <w:vAlign w:val="center"/>
                </w:tcPr>
                <w:p w14:paraId="66AE9BC3">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颗粒物</w:t>
                  </w:r>
                </w:p>
              </w:tc>
              <w:tc>
                <w:tcPr>
                  <w:tcW w:w="636" w:type="dxa"/>
                  <w:vAlign w:val="center"/>
                </w:tcPr>
                <w:p w14:paraId="3395D18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44" w:type="dxa"/>
                  <w:vAlign w:val="center"/>
                </w:tcPr>
                <w:p w14:paraId="2B4C723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w:t>
                  </w:r>
                </w:p>
              </w:tc>
              <w:tc>
                <w:tcPr>
                  <w:tcW w:w="658" w:type="dxa"/>
                  <w:vAlign w:val="center"/>
                </w:tcPr>
                <w:p w14:paraId="5B9631F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6.48</w:t>
                  </w:r>
                </w:p>
              </w:tc>
              <w:tc>
                <w:tcPr>
                  <w:tcW w:w="1218" w:type="dxa"/>
                  <w:gridSpan w:val="3"/>
                  <w:vAlign w:val="center"/>
                </w:tcPr>
                <w:p w14:paraId="46F5592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35*33m</w:t>
                  </w:r>
                </w:p>
              </w:tc>
            </w:tr>
            <w:tr w14:paraId="0BC82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02" w:type="dxa"/>
                  <w:gridSpan w:val="12"/>
                  <w:vAlign w:val="center"/>
                </w:tcPr>
                <w:p w14:paraId="7143696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备注：无组织废气坐标为源中心坐标</w:t>
                  </w:r>
                </w:p>
              </w:tc>
            </w:tr>
          </w:tbl>
          <w:p w14:paraId="27082CF5">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2、污染治理措施可行性分析</w:t>
            </w:r>
          </w:p>
          <w:p w14:paraId="71F65388">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（1）脱硫设施可行性分析</w:t>
            </w:r>
          </w:p>
          <w:p w14:paraId="3D805ED3">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项目拟采用的石灰石/石膏湿法脱硫技术，是以钙基物质作为吸收剂，脱除烟气中二氧化硫并回收副产物的烟气脱硫工艺，属于《排污许可证申请与核发技术规范 工业炉窑》（HJ1121-2020）附录A中的可行技术。</w:t>
            </w:r>
          </w:p>
          <w:p w14:paraId="5A0D471E">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根据《石灰石/石灰-石膏湿法烟气脱硫工程通用技术规范》（HJ179-2018）中内容，该技术吸收塔入口烟气SO</w:t>
            </w:r>
            <w:r>
              <w:rPr>
                <w:rFonts w:hint="eastAsia"/>
                <w:color w:val="auto"/>
                <w:sz w:val="24"/>
                <w:vertAlign w:val="subscript"/>
                <w:lang w:val="en-US" w:eastAsia="zh-CN"/>
              </w:rPr>
              <w:t>2</w:t>
            </w:r>
            <w:r>
              <w:rPr>
                <w:rFonts w:hint="eastAsia"/>
                <w:color w:val="auto"/>
                <w:sz w:val="24"/>
                <w:lang w:val="en-US" w:eastAsia="zh-CN"/>
              </w:rPr>
              <w:t>浓度（干基折算）不宜高于12000 mg/m</w:t>
            </w:r>
            <w:r>
              <w:rPr>
                <w:rFonts w:hint="eastAsia"/>
                <w:color w:val="auto"/>
                <w:sz w:val="24"/>
                <w:vertAlign w:val="superscript"/>
                <w:lang w:val="en-US" w:eastAsia="zh-CN"/>
              </w:rPr>
              <w:t>3</w:t>
            </w:r>
            <w:r>
              <w:rPr>
                <w:rFonts w:hint="eastAsia"/>
                <w:color w:val="auto"/>
                <w:sz w:val="24"/>
                <w:lang w:val="en-US" w:eastAsia="zh-CN"/>
              </w:rPr>
              <w:t>；颗粒物浓度（干基折算）不宜高于200 mg/m</w:t>
            </w:r>
            <w:r>
              <w:rPr>
                <w:rFonts w:hint="eastAsia"/>
                <w:color w:val="auto"/>
                <w:sz w:val="24"/>
                <w:vertAlign w:val="superscript"/>
                <w:lang w:val="en-US" w:eastAsia="zh-CN"/>
              </w:rPr>
              <w:t>3</w:t>
            </w:r>
            <w:r>
              <w:rPr>
                <w:rFonts w:hint="eastAsia"/>
                <w:color w:val="auto"/>
                <w:sz w:val="24"/>
                <w:lang w:val="en-US" w:eastAsia="zh-CN"/>
              </w:rPr>
              <w:t>。项目炭化烟气中SO</w:t>
            </w:r>
            <w:r>
              <w:rPr>
                <w:rFonts w:hint="eastAsia"/>
                <w:color w:val="auto"/>
                <w:sz w:val="24"/>
                <w:vertAlign w:val="subscript"/>
                <w:lang w:val="en-US" w:eastAsia="zh-CN"/>
              </w:rPr>
              <w:t>2</w:t>
            </w:r>
            <w:r>
              <w:rPr>
                <w:rFonts w:hint="eastAsia"/>
                <w:color w:val="auto"/>
                <w:sz w:val="24"/>
                <w:lang w:val="en-US" w:eastAsia="zh-CN"/>
              </w:rPr>
              <w:t>产生浓度为475.82mg/m</w:t>
            </w:r>
            <w:r>
              <w:rPr>
                <w:rFonts w:hint="eastAsia"/>
                <w:color w:val="auto"/>
                <w:sz w:val="24"/>
                <w:vertAlign w:val="superscript"/>
                <w:lang w:val="en-US" w:eastAsia="zh-CN"/>
              </w:rPr>
              <w:t>3</w:t>
            </w:r>
            <w:r>
              <w:rPr>
                <w:rFonts w:hint="eastAsia"/>
                <w:color w:val="auto"/>
                <w:sz w:val="24"/>
                <w:vertAlign w:val="baseline"/>
                <w:lang w:val="en-US" w:eastAsia="zh-CN"/>
              </w:rPr>
              <w:t>，颗粒物经袋式除尘器处理后浓度为5.8mg/m</w:t>
            </w:r>
            <w:r>
              <w:rPr>
                <w:rFonts w:hint="eastAsia"/>
                <w:color w:val="auto"/>
                <w:sz w:val="24"/>
                <w:vertAlign w:val="superscript"/>
                <w:lang w:val="en-US" w:eastAsia="zh-CN"/>
              </w:rPr>
              <w:t>3</w:t>
            </w:r>
            <w:r>
              <w:rPr>
                <w:rFonts w:hint="eastAsia"/>
                <w:color w:val="auto"/>
                <w:sz w:val="24"/>
                <w:vertAlign w:val="baseline"/>
                <w:lang w:val="en-US" w:eastAsia="zh-CN"/>
              </w:rPr>
              <w:t>，可以满足《技术规范》要求，符合技术使用条件。</w:t>
            </w:r>
          </w:p>
          <w:p w14:paraId="27F456C7">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根据《工业锅炉及炉窑湿法烟气脱硫工程技术规范》（HJ462-2009）中内容，石灰石/石膏湿法脱硫技术脱硫效率大于90%，本次评价取90%，符合规范要求，故项目采用的脱硫技术可行。</w:t>
            </w:r>
          </w:p>
          <w:p w14:paraId="58D563DF">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（2）脱硝设施可行性分析</w:t>
            </w:r>
          </w:p>
          <w:p w14:paraId="6D27B8F8">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炭化过程产生的生物质燃气在燃烧室内燃烧，其燃烧过程与锅炉燃烧室类似。项目拟采用的低氮燃烧器（LNB）技术是通过特殊设计的燃烧器结构，控制燃烧器喉部燃料和空气的动量及流动方向，使燃烧器出口实现分级送风并与燃料合理配比，减少NO</w:t>
            </w:r>
            <w:r>
              <w:rPr>
                <w:rFonts w:hint="eastAsia"/>
                <w:color w:val="auto"/>
                <w:sz w:val="24"/>
                <w:vertAlign w:val="subscript"/>
                <w:lang w:val="en-US" w:eastAsia="zh-CN"/>
              </w:rPr>
              <w:t>X</w:t>
            </w:r>
            <w:r>
              <w:rPr>
                <w:rFonts w:hint="eastAsia"/>
                <w:color w:val="auto"/>
                <w:sz w:val="24"/>
                <w:lang w:val="en-US" w:eastAsia="zh-CN"/>
              </w:rPr>
              <w:t>生成的技术；烟气外循环技术（FGR）是通过风机和外部烟道，将部分尾部烟气与助燃空气混合送入燃烧器参与燃烧的烟气循环流程。</w:t>
            </w:r>
          </w:p>
          <w:p w14:paraId="4D6C07A2">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其中低氮燃烧技术是《污染源源强核算技术指南 锅炉》（HJ991-2018）中的可行技术，脱硝效率约为30%，烟气外循环技术脱硝效率参考新疆维吾尔自治区地标《燃气锅炉烟气再循环降氮技术规范》（DB65/T 4243-2019）中内容为50%，本次评价低氮燃烧器+烟气外循环技术联合装置脱硝效率取均值40%，符合规范要求，故项目采用的脱硝设施可行。</w:t>
            </w:r>
          </w:p>
          <w:p w14:paraId="3D986977">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（3）除尘设施可行性分析</w:t>
            </w:r>
          </w:p>
          <w:p w14:paraId="17B0C8EF">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拟采用的袋式除尘技术是以纺织的滤布或非纺织的毡为滤袋，利用纤维织物的过滤作用对含尘气体进行过滤，粉尘在通过滤袋时被阻留，滤下的粉尘经重力沉降，落入灰斗，使气体得到净化。属于《排污许可证申请与核发技术规范 工业炉窑》（HJ1121-2020）附录A中的可行技术。参考《污染源源强核算技术指南 锅炉》（HJ991-2018）中附录B中内容，袋式除尘器除尘效率在99%~99.99%之间，本次评价除尘效率取99.9%符合规范要求，故项目采用的除尘设施可行。</w:t>
            </w:r>
          </w:p>
          <w:p w14:paraId="39CE2270">
            <w:pPr>
              <w:tabs>
                <w:tab w:val="center" w:pos="4736"/>
              </w:tabs>
              <w:spacing w:line="360" w:lineRule="auto"/>
              <w:ind w:firstLine="480" w:firstLineChars="200"/>
              <w:rPr>
                <w:color w:val="auto"/>
                <w:sz w:val="24"/>
              </w:rPr>
            </w:pPr>
            <w:r>
              <w:rPr>
                <w:rFonts w:hint="eastAsia"/>
                <w:color w:val="auto"/>
                <w:sz w:val="24"/>
                <w:lang w:val="en-US" w:eastAsia="zh-CN"/>
              </w:rPr>
              <w:t>3</w:t>
            </w:r>
            <w:r>
              <w:rPr>
                <w:rFonts w:hint="eastAsia"/>
                <w:color w:val="auto"/>
                <w:sz w:val="24"/>
              </w:rPr>
              <w:t>、</w:t>
            </w:r>
            <w:r>
              <w:rPr>
                <w:rFonts w:hint="eastAsia"/>
                <w:color w:val="auto"/>
                <w:sz w:val="24"/>
                <w:lang w:eastAsia="zh-CN"/>
              </w:rPr>
              <w:t>废气污染影响分析</w:t>
            </w:r>
          </w:p>
          <w:p w14:paraId="6C24A3F8">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）废气排放达标性分析</w:t>
            </w:r>
          </w:p>
          <w:p w14:paraId="375A28F7">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rPr>
              <w:t>项目</w:t>
            </w:r>
            <w:r>
              <w:rPr>
                <w:rFonts w:hint="eastAsia"/>
                <w:color w:val="auto"/>
                <w:sz w:val="24"/>
                <w:lang w:eastAsia="zh-CN"/>
              </w:rPr>
              <w:t>各项废气排放情况达标性分析见表</w:t>
            </w:r>
            <w:r>
              <w:rPr>
                <w:rFonts w:hint="eastAsia"/>
                <w:color w:val="auto"/>
                <w:sz w:val="24"/>
                <w:lang w:val="en-US" w:eastAsia="zh-CN"/>
              </w:rPr>
              <w:t>4-7。</w:t>
            </w:r>
          </w:p>
          <w:p w14:paraId="7374C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表4-7                    项目大气污染物排放达标分析</w:t>
            </w:r>
          </w:p>
          <w:tbl>
            <w:tblPr>
              <w:tblStyle w:val="22"/>
              <w:tblW w:w="823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80"/>
              <w:gridCol w:w="1410"/>
              <w:gridCol w:w="2597"/>
              <w:gridCol w:w="1613"/>
              <w:gridCol w:w="654"/>
            </w:tblGrid>
            <w:tr w14:paraId="4DEDF3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80" w:type="dxa"/>
                  <w:vAlign w:val="center"/>
                </w:tcPr>
                <w:p w14:paraId="648F5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污染源</w:t>
                  </w:r>
                </w:p>
              </w:tc>
              <w:tc>
                <w:tcPr>
                  <w:tcW w:w="980" w:type="dxa"/>
                  <w:vAlign w:val="center"/>
                </w:tcPr>
                <w:p w14:paraId="1342E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污染物</w:t>
                  </w:r>
                </w:p>
              </w:tc>
              <w:tc>
                <w:tcPr>
                  <w:tcW w:w="1410" w:type="dxa"/>
                  <w:vAlign w:val="center"/>
                </w:tcPr>
                <w:p w14:paraId="7C947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排放情况</w:t>
                  </w:r>
                </w:p>
              </w:tc>
              <w:tc>
                <w:tcPr>
                  <w:tcW w:w="2597" w:type="dxa"/>
                  <w:vAlign w:val="center"/>
                </w:tcPr>
                <w:p w14:paraId="4DDEC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标准来源</w:t>
                  </w:r>
                </w:p>
              </w:tc>
              <w:tc>
                <w:tcPr>
                  <w:tcW w:w="1613" w:type="dxa"/>
                  <w:vAlign w:val="center"/>
                </w:tcPr>
                <w:p w14:paraId="1F065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标准限值</w:t>
                  </w:r>
                </w:p>
              </w:tc>
              <w:tc>
                <w:tcPr>
                  <w:tcW w:w="654" w:type="dxa"/>
                  <w:vAlign w:val="center"/>
                </w:tcPr>
                <w:p w14:paraId="461AB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是否达标</w:t>
                  </w:r>
                </w:p>
              </w:tc>
            </w:tr>
            <w:tr w14:paraId="3400C8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restart"/>
                  <w:shd w:val="clear" w:color="auto" w:fill="auto"/>
                  <w:vAlign w:val="center"/>
                </w:tcPr>
                <w:p w14:paraId="42718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炭化烟气DA001</w:t>
                  </w:r>
                </w:p>
              </w:tc>
              <w:tc>
                <w:tcPr>
                  <w:tcW w:w="980" w:type="dxa"/>
                  <w:vAlign w:val="center"/>
                </w:tcPr>
                <w:p w14:paraId="6459F216">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10" w:type="dxa"/>
                  <w:vAlign w:val="center"/>
                </w:tcPr>
                <w:p w14:paraId="094330E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47.582</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restart"/>
                  <w:vAlign w:val="center"/>
                </w:tcPr>
                <w:p w14:paraId="19FB8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c>
                <w:tcPr>
                  <w:tcW w:w="1613" w:type="dxa"/>
                  <w:vAlign w:val="center"/>
                </w:tcPr>
                <w:p w14:paraId="21444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200mg/m</w:t>
                  </w:r>
                  <w:r>
                    <w:rPr>
                      <w:rFonts w:hint="eastAsia" w:cs="Times New Roman"/>
                      <w:color w:val="auto"/>
                      <w:sz w:val="21"/>
                      <w:szCs w:val="21"/>
                      <w:highlight w:val="none"/>
                      <w:vertAlign w:val="superscript"/>
                      <w:lang w:val="en-US" w:eastAsia="zh-CN"/>
                    </w:rPr>
                    <w:t>3</w:t>
                  </w:r>
                </w:p>
              </w:tc>
              <w:tc>
                <w:tcPr>
                  <w:tcW w:w="654" w:type="dxa"/>
                  <w:vAlign w:val="center"/>
                </w:tcPr>
                <w:p w14:paraId="4CD52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是</w:t>
                  </w:r>
                </w:p>
              </w:tc>
            </w:tr>
            <w:tr w14:paraId="2E2E2F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continue"/>
                  <w:vAlign w:val="center"/>
                </w:tcPr>
                <w:p w14:paraId="6CE50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14:paraId="0C863D05">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NOx</w:t>
                  </w:r>
                </w:p>
              </w:tc>
              <w:tc>
                <w:tcPr>
                  <w:tcW w:w="1410" w:type="dxa"/>
                  <w:vAlign w:val="center"/>
                </w:tcPr>
                <w:p w14:paraId="4A84C6D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130.94mg/m</w:t>
                  </w:r>
                  <w:r>
                    <w:rPr>
                      <w:rFonts w:hint="eastAsia" w:cs="Times New Roman"/>
                      <w:color w:val="auto"/>
                      <w:sz w:val="21"/>
                      <w:szCs w:val="21"/>
                      <w:highlight w:val="none"/>
                      <w:vertAlign w:val="superscript"/>
                      <w:lang w:val="en-US" w:eastAsia="zh-CN"/>
                    </w:rPr>
                    <w:t>3</w:t>
                  </w:r>
                </w:p>
              </w:tc>
              <w:tc>
                <w:tcPr>
                  <w:tcW w:w="2597" w:type="dxa"/>
                  <w:vMerge w:val="continue"/>
                  <w:vAlign w:val="center"/>
                </w:tcPr>
                <w:p w14:paraId="1B8F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14:paraId="77177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300mg/m</w:t>
                  </w:r>
                  <w:r>
                    <w:rPr>
                      <w:rFonts w:hint="eastAsia" w:cs="Times New Roman"/>
                      <w:color w:val="auto"/>
                      <w:sz w:val="21"/>
                      <w:szCs w:val="21"/>
                      <w:highlight w:val="none"/>
                      <w:vertAlign w:val="superscript"/>
                      <w:lang w:val="en-US" w:eastAsia="zh-CN"/>
                    </w:rPr>
                    <w:t>3</w:t>
                  </w:r>
                </w:p>
              </w:tc>
              <w:tc>
                <w:tcPr>
                  <w:tcW w:w="654" w:type="dxa"/>
                  <w:vAlign w:val="center"/>
                </w:tcPr>
                <w:p w14:paraId="51EFB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203977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continue"/>
                  <w:vAlign w:val="center"/>
                </w:tcPr>
                <w:p w14:paraId="0158D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14:paraId="6BD01835">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rPr>
                    <w:t>颗粒物</w:t>
                  </w:r>
                </w:p>
              </w:tc>
              <w:tc>
                <w:tcPr>
                  <w:tcW w:w="1410" w:type="dxa"/>
                  <w:vAlign w:val="center"/>
                </w:tcPr>
                <w:p w14:paraId="16B5D85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5.8</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14:paraId="4815A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14:paraId="5322D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30mg/m</w:t>
                  </w:r>
                  <w:r>
                    <w:rPr>
                      <w:rFonts w:hint="eastAsia" w:cs="Times New Roman"/>
                      <w:color w:val="auto"/>
                      <w:sz w:val="21"/>
                      <w:szCs w:val="21"/>
                      <w:highlight w:val="none"/>
                      <w:vertAlign w:val="superscript"/>
                      <w:lang w:val="en-US" w:eastAsia="zh-CN"/>
                    </w:rPr>
                    <w:t>3</w:t>
                  </w:r>
                </w:p>
              </w:tc>
              <w:tc>
                <w:tcPr>
                  <w:tcW w:w="654" w:type="dxa"/>
                  <w:vAlign w:val="center"/>
                </w:tcPr>
                <w:p w14:paraId="69202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191C04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restart"/>
                  <w:shd w:val="clear" w:color="auto" w:fill="auto"/>
                  <w:vAlign w:val="center"/>
                </w:tcPr>
                <w:p w14:paraId="0C5AE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炭化烟气</w:t>
                  </w:r>
                  <w:r>
                    <w:rPr>
                      <w:rFonts w:hint="eastAsia" w:cs="Times New Roman"/>
                      <w:color w:val="auto"/>
                      <w:sz w:val="21"/>
                      <w:szCs w:val="21"/>
                      <w:lang w:val="en-US" w:eastAsia="zh-CN"/>
                    </w:rPr>
                    <w:t>DA002</w:t>
                  </w:r>
                </w:p>
              </w:tc>
              <w:tc>
                <w:tcPr>
                  <w:tcW w:w="980" w:type="dxa"/>
                  <w:vAlign w:val="center"/>
                </w:tcPr>
                <w:p w14:paraId="03DFF088">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10" w:type="dxa"/>
                  <w:vAlign w:val="center"/>
                </w:tcPr>
                <w:p w14:paraId="60575E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14:paraId="283EB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14:paraId="5B3FF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200mg/m</w:t>
                  </w:r>
                  <w:r>
                    <w:rPr>
                      <w:rFonts w:hint="eastAsia" w:cs="Times New Roman"/>
                      <w:color w:val="auto"/>
                      <w:sz w:val="21"/>
                      <w:szCs w:val="21"/>
                      <w:highlight w:val="none"/>
                      <w:vertAlign w:val="superscript"/>
                      <w:lang w:val="en-US" w:eastAsia="zh-CN"/>
                    </w:rPr>
                    <w:t>3</w:t>
                  </w:r>
                </w:p>
              </w:tc>
              <w:tc>
                <w:tcPr>
                  <w:tcW w:w="654" w:type="dxa"/>
                  <w:vAlign w:val="center"/>
                </w:tcPr>
                <w:p w14:paraId="2A9D1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40D0C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continue"/>
                  <w:vAlign w:val="center"/>
                </w:tcPr>
                <w:p w14:paraId="1E47F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14:paraId="26361A07">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NOx</w:t>
                  </w:r>
                </w:p>
              </w:tc>
              <w:tc>
                <w:tcPr>
                  <w:tcW w:w="1410" w:type="dxa"/>
                  <w:vAlign w:val="center"/>
                </w:tcPr>
                <w:p w14:paraId="3C1007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130.94mg/m</w:t>
                  </w:r>
                  <w:r>
                    <w:rPr>
                      <w:rFonts w:hint="eastAsia" w:cs="Times New Roman"/>
                      <w:color w:val="auto"/>
                      <w:sz w:val="21"/>
                      <w:szCs w:val="21"/>
                      <w:highlight w:val="none"/>
                      <w:vertAlign w:val="superscript"/>
                      <w:lang w:val="en-US" w:eastAsia="zh-CN"/>
                    </w:rPr>
                    <w:t>3</w:t>
                  </w:r>
                </w:p>
              </w:tc>
              <w:tc>
                <w:tcPr>
                  <w:tcW w:w="2597" w:type="dxa"/>
                  <w:vMerge w:val="continue"/>
                  <w:vAlign w:val="center"/>
                </w:tcPr>
                <w:p w14:paraId="7DCE5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14:paraId="259E8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300mg/m</w:t>
                  </w:r>
                  <w:r>
                    <w:rPr>
                      <w:rFonts w:hint="eastAsia" w:cs="Times New Roman"/>
                      <w:color w:val="auto"/>
                      <w:sz w:val="21"/>
                      <w:szCs w:val="21"/>
                      <w:highlight w:val="none"/>
                      <w:vertAlign w:val="superscript"/>
                      <w:lang w:val="en-US" w:eastAsia="zh-CN"/>
                    </w:rPr>
                    <w:t>3</w:t>
                  </w:r>
                </w:p>
              </w:tc>
              <w:tc>
                <w:tcPr>
                  <w:tcW w:w="654" w:type="dxa"/>
                  <w:vAlign w:val="center"/>
                </w:tcPr>
                <w:p w14:paraId="2EEC1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4904D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vMerge w:val="continue"/>
                  <w:vAlign w:val="center"/>
                </w:tcPr>
                <w:p w14:paraId="2F029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14:paraId="6CF8EA6B">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颗粒物</w:t>
                  </w:r>
                </w:p>
              </w:tc>
              <w:tc>
                <w:tcPr>
                  <w:tcW w:w="1410" w:type="dxa"/>
                  <w:vAlign w:val="center"/>
                </w:tcPr>
                <w:p w14:paraId="6E4058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5.8</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14:paraId="7BAB3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14:paraId="0FCFA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30mg/m</w:t>
                  </w:r>
                  <w:r>
                    <w:rPr>
                      <w:rFonts w:hint="eastAsia" w:cs="Times New Roman"/>
                      <w:color w:val="auto"/>
                      <w:sz w:val="21"/>
                      <w:szCs w:val="21"/>
                      <w:highlight w:val="none"/>
                      <w:vertAlign w:val="superscript"/>
                      <w:lang w:val="en-US" w:eastAsia="zh-CN"/>
                    </w:rPr>
                    <w:t>3</w:t>
                  </w:r>
                </w:p>
              </w:tc>
              <w:tc>
                <w:tcPr>
                  <w:tcW w:w="654" w:type="dxa"/>
                  <w:vAlign w:val="center"/>
                </w:tcPr>
                <w:p w14:paraId="65C49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46A0B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shd w:val="clear" w:color="auto" w:fill="auto"/>
                  <w:vAlign w:val="center"/>
                </w:tcPr>
                <w:p w14:paraId="2F834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制炭废气</w:t>
                  </w:r>
                  <w:r>
                    <w:rPr>
                      <w:rFonts w:hint="eastAsia" w:cs="Times New Roman"/>
                      <w:color w:val="auto"/>
                      <w:sz w:val="21"/>
                      <w:szCs w:val="21"/>
                      <w:lang w:val="en-US" w:eastAsia="zh-CN"/>
                    </w:rPr>
                    <w:t>DA003</w:t>
                  </w:r>
                </w:p>
              </w:tc>
              <w:tc>
                <w:tcPr>
                  <w:tcW w:w="980" w:type="dxa"/>
                  <w:vAlign w:val="center"/>
                </w:tcPr>
                <w:p w14:paraId="12EAC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颗粒物</w:t>
                  </w:r>
                </w:p>
              </w:tc>
              <w:tc>
                <w:tcPr>
                  <w:tcW w:w="1410" w:type="dxa"/>
                  <w:vAlign w:val="center"/>
                </w:tcPr>
                <w:p w14:paraId="40D354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0.81mg/m</w:t>
                  </w:r>
                  <w:r>
                    <w:rPr>
                      <w:rFonts w:hint="eastAsia" w:cs="Times New Roman"/>
                      <w:color w:val="auto"/>
                      <w:sz w:val="21"/>
                      <w:szCs w:val="21"/>
                      <w:highlight w:val="none"/>
                      <w:vertAlign w:val="superscript"/>
                      <w:lang w:val="en-US" w:eastAsia="zh-CN"/>
                    </w:rPr>
                    <w:t>3</w:t>
                  </w:r>
                </w:p>
              </w:tc>
              <w:tc>
                <w:tcPr>
                  <w:tcW w:w="2597" w:type="dxa"/>
                  <w:vAlign w:val="center"/>
                </w:tcPr>
                <w:p w14:paraId="7B76C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《大气污染物综合排放标准》（GB16297-1996）</w:t>
                  </w:r>
                </w:p>
              </w:tc>
              <w:tc>
                <w:tcPr>
                  <w:tcW w:w="1613" w:type="dxa"/>
                  <w:vAlign w:val="center"/>
                </w:tcPr>
                <w:p w14:paraId="3F6A6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120mg/m</w:t>
                  </w:r>
                  <w:r>
                    <w:rPr>
                      <w:rFonts w:hint="eastAsia" w:cs="Times New Roman"/>
                      <w:color w:val="auto"/>
                      <w:sz w:val="21"/>
                      <w:szCs w:val="21"/>
                      <w:highlight w:val="none"/>
                      <w:vertAlign w:val="superscript"/>
                      <w:lang w:val="en-US" w:eastAsia="zh-CN"/>
                    </w:rPr>
                    <w:t>3</w:t>
                  </w:r>
                </w:p>
              </w:tc>
              <w:tc>
                <w:tcPr>
                  <w:tcW w:w="654" w:type="dxa"/>
                  <w:vAlign w:val="center"/>
                </w:tcPr>
                <w:p w14:paraId="23988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14:paraId="793FB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0" w:type="dxa"/>
                  <w:shd w:val="clear" w:color="auto" w:fill="auto"/>
                  <w:vAlign w:val="center"/>
                </w:tcPr>
                <w:p w14:paraId="39933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eastAsia="zh-CN"/>
                    </w:rPr>
                  </w:pPr>
                  <w:r>
                    <w:rPr>
                      <w:rFonts w:hint="eastAsia" w:cs="Times New Roman"/>
                      <w:color w:val="auto"/>
                      <w:sz w:val="21"/>
                      <w:szCs w:val="21"/>
                      <w:lang w:eastAsia="zh-CN"/>
                    </w:rPr>
                    <w:t>职工食堂</w:t>
                  </w:r>
                </w:p>
              </w:tc>
              <w:tc>
                <w:tcPr>
                  <w:tcW w:w="980" w:type="dxa"/>
                  <w:vAlign w:val="center"/>
                </w:tcPr>
                <w:p w14:paraId="00756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食堂油烟</w:t>
                  </w:r>
                </w:p>
              </w:tc>
              <w:tc>
                <w:tcPr>
                  <w:tcW w:w="1410" w:type="dxa"/>
                  <w:vAlign w:val="center"/>
                </w:tcPr>
                <w:p w14:paraId="4EF24ED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1.2mg/m</w:t>
                  </w:r>
                  <w:r>
                    <w:rPr>
                      <w:rFonts w:hint="eastAsia" w:cs="Times New Roman"/>
                      <w:color w:val="auto"/>
                      <w:sz w:val="21"/>
                      <w:szCs w:val="21"/>
                      <w:highlight w:val="none"/>
                      <w:vertAlign w:val="superscript"/>
                      <w:lang w:val="en-US" w:eastAsia="zh-CN"/>
                    </w:rPr>
                    <w:t>3</w:t>
                  </w:r>
                </w:p>
              </w:tc>
              <w:tc>
                <w:tcPr>
                  <w:tcW w:w="2597" w:type="dxa"/>
                  <w:vAlign w:val="center"/>
                </w:tcPr>
                <w:p w14:paraId="7FED3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《饮食业油烟排放标准》（GB18483-2001）</w:t>
                  </w:r>
                </w:p>
              </w:tc>
              <w:tc>
                <w:tcPr>
                  <w:tcW w:w="1613" w:type="dxa"/>
                  <w:vAlign w:val="center"/>
                </w:tcPr>
                <w:p w14:paraId="3B341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654" w:type="dxa"/>
                  <w:vAlign w:val="center"/>
                </w:tcPr>
                <w:p w14:paraId="410FD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eastAsia="zh-CN"/>
                    </w:rPr>
                  </w:pPr>
                  <w:r>
                    <w:rPr>
                      <w:rFonts w:hint="eastAsia" w:cs="Times New Roman"/>
                      <w:color w:val="auto"/>
                      <w:sz w:val="21"/>
                      <w:szCs w:val="21"/>
                      <w:lang w:eastAsia="zh-CN"/>
                    </w:rPr>
                    <w:t>是</w:t>
                  </w:r>
                </w:p>
              </w:tc>
            </w:tr>
          </w:tbl>
          <w:p w14:paraId="0DE92E9E">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根据上表结果，项目炭化废气中各项污染物均能满足《关于印发&lt;新疆维吾尔自治区工业炉窑大气污染综合治理方案&gt;的通知》（新大气发〔2019〕127号）中提出的限值要求，制炭废气颗粒物排放可以满足《大气污染物综合排放标准》（GB16297-1996）表</w:t>
            </w:r>
            <w:r>
              <w:rPr>
                <w:rFonts w:hint="eastAsia"/>
                <w:color w:val="auto"/>
                <w:sz w:val="24"/>
                <w:lang w:val="en-US" w:eastAsia="zh-CN"/>
              </w:rPr>
              <w:t>2中要求，食堂油烟排放浓度可以满足《饮食业油烟排放标准》（GB18483-2001）中要求</w:t>
            </w:r>
            <w:r>
              <w:rPr>
                <w:rFonts w:hint="eastAsia"/>
                <w:color w:val="auto"/>
                <w:sz w:val="24"/>
                <w:lang w:eastAsia="zh-CN"/>
              </w:rPr>
              <w:t>。</w:t>
            </w:r>
          </w:p>
          <w:p w14:paraId="360CB64D">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企业在采取上料车间内各上料斗均配备小型滤筒式除尘器、加强厂房通风，完善厂区绿化等措施后，确保企业边界颗粒物浓度可以满足《大气污染物综合排放标准》（GB16297-1996）表2中厂界浓度限值要求。</w:t>
            </w:r>
          </w:p>
          <w:p w14:paraId="0EBDAC3E">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）废气污染影响估算</w:t>
            </w:r>
          </w:p>
          <w:p w14:paraId="2F6BE549">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本次评价预测采用《环境影响评价技术导则</w:t>
            </w:r>
            <w:r>
              <w:rPr>
                <w:rFonts w:hint="default" w:ascii="Times New Roman" w:hAnsi="Times New Roman" w:eastAsia="宋体" w:cs="Times New Roman"/>
                <w:color w:val="auto"/>
                <w:sz w:val="24"/>
                <w:szCs w:val="24"/>
                <w:highlight w:val="none"/>
                <w:lang w:val="en-US" w:eastAsia="zh-CN"/>
              </w:rPr>
              <w:t xml:space="preserve"> 大气环境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HJ2.2-2018</w:t>
            </w:r>
            <w:r>
              <w:rPr>
                <w:rFonts w:hint="default" w:ascii="Times New Roman" w:hAnsi="Times New Roman" w:eastAsia="宋体" w:cs="Times New Roman"/>
                <w:color w:val="auto"/>
                <w:sz w:val="24"/>
                <w:szCs w:val="24"/>
                <w:highlight w:val="none"/>
                <w:lang w:eastAsia="zh-CN"/>
              </w:rPr>
              <w:t>）推荐的</w:t>
            </w:r>
            <w:r>
              <w:rPr>
                <w:rFonts w:hint="default" w:ascii="Times New Roman" w:hAnsi="Times New Roman" w:eastAsia="宋体" w:cs="Times New Roman"/>
                <w:color w:val="auto"/>
                <w:sz w:val="24"/>
                <w:szCs w:val="24"/>
                <w:highlight w:val="none"/>
                <w:lang w:val="en-US" w:eastAsia="zh-CN"/>
              </w:rPr>
              <w:t>AERSCREEN估算模式，预测SO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lang w:val="en-US" w:eastAsia="zh-CN"/>
              </w:rPr>
              <w:t>、颗粒物的最大落地浓度和距离，</w:t>
            </w:r>
            <w:r>
              <w:rPr>
                <w:rFonts w:hint="eastAsia" w:cs="Times New Roman"/>
                <w:color w:val="auto"/>
                <w:sz w:val="24"/>
                <w:szCs w:val="24"/>
                <w:highlight w:val="none"/>
                <w:lang w:val="en-US" w:eastAsia="zh-CN"/>
              </w:rPr>
              <w:t>估算模型参数见4-8，</w:t>
            </w:r>
            <w:r>
              <w:rPr>
                <w:rFonts w:hint="default" w:ascii="Times New Roman" w:hAnsi="Times New Roman" w:eastAsia="宋体" w:cs="Times New Roman"/>
                <w:color w:val="auto"/>
                <w:sz w:val="24"/>
                <w:szCs w:val="24"/>
                <w:highlight w:val="none"/>
                <w:lang w:val="en-US" w:eastAsia="zh-CN"/>
              </w:rPr>
              <w:t>污染源排放参数见表</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9和表4-10</w:t>
            </w:r>
            <w:r>
              <w:rPr>
                <w:rFonts w:hint="default" w:ascii="Times New Roman" w:hAnsi="Times New Roman" w:eastAsia="宋体" w:cs="Times New Roman"/>
                <w:color w:val="auto"/>
                <w:sz w:val="24"/>
                <w:szCs w:val="24"/>
                <w:highlight w:val="none"/>
                <w:lang w:val="en-US" w:eastAsia="zh-CN"/>
              </w:rPr>
              <w:t>。</w:t>
            </w:r>
          </w:p>
          <w:p w14:paraId="5BE056CF">
            <w:pPr>
              <w:pStyle w:val="78"/>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eastAsia" w:ascii="黑体" w:hAnsi="黑体"/>
                <w:bCs/>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4-8</w:t>
            </w:r>
            <w:r>
              <w:rPr>
                <w:rFonts w:hint="default" w:ascii="Times New Roman" w:hAnsi="Times New Roman" w:cs="Times New Roman"/>
                <w:color w:val="auto"/>
              </w:rPr>
              <w:t xml:space="preserve"> </w:t>
            </w:r>
            <w:r>
              <w:rPr>
                <w:rFonts w:hint="default" w:ascii="Times New Roman" w:hAnsi="Times New Roman"/>
                <w:color w:val="auto"/>
              </w:rPr>
              <w:t xml:space="preserve">                 </w:t>
            </w:r>
            <w:r>
              <w:rPr>
                <w:rFonts w:hint="eastAsia" w:ascii="Times New Roman" w:hAnsi="Times New Roman"/>
                <w:color w:val="auto"/>
                <w:lang w:val="en-US" w:eastAsia="zh-CN"/>
              </w:rPr>
              <w:t xml:space="preserve">    </w:t>
            </w:r>
            <w:r>
              <w:rPr>
                <w:rFonts w:hint="default" w:ascii="Times New Roman" w:hAnsi="Times New Roman"/>
                <w:color w:val="auto"/>
              </w:rPr>
              <w:t xml:space="preserve">  </w:t>
            </w:r>
            <w:r>
              <w:rPr>
                <w:rFonts w:hint="eastAsia"/>
                <w:color w:val="auto"/>
                <w:lang w:eastAsia="zh-CN"/>
              </w:rPr>
              <w:t>估算模型参数表</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770"/>
              <w:gridCol w:w="2772"/>
            </w:tblGrid>
            <w:tr w14:paraId="6E185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40" w:type="dxa"/>
                  <w:gridSpan w:val="2"/>
                  <w:vAlign w:val="center"/>
                </w:tcPr>
                <w:p w14:paraId="693ADF3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参数</w:t>
                  </w:r>
                </w:p>
              </w:tc>
              <w:tc>
                <w:tcPr>
                  <w:tcW w:w="2772" w:type="dxa"/>
                  <w:vAlign w:val="center"/>
                </w:tcPr>
                <w:p w14:paraId="2FE5BAF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取值</w:t>
                  </w:r>
                </w:p>
              </w:tc>
            </w:tr>
            <w:tr w14:paraId="36034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restart"/>
                  <w:vAlign w:val="center"/>
                </w:tcPr>
                <w:p w14:paraId="08FDBD8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城市</w:t>
                  </w:r>
                  <w:r>
                    <w:rPr>
                      <w:rFonts w:hint="default" w:ascii="Times New Roman" w:hAnsi="Times New Roman" w:eastAsia="宋体" w:cs="Times New Roman"/>
                      <w:color w:val="auto"/>
                      <w:kern w:val="0"/>
                      <w:sz w:val="21"/>
                      <w:szCs w:val="21"/>
                      <w:lang w:val="en-US" w:eastAsia="zh-CN"/>
                    </w:rPr>
                    <w:t>/农村选项</w:t>
                  </w:r>
                </w:p>
              </w:tc>
              <w:tc>
                <w:tcPr>
                  <w:tcW w:w="2770" w:type="dxa"/>
                  <w:vAlign w:val="center"/>
                </w:tcPr>
                <w:p w14:paraId="1DE4EE8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城市/农村</w:t>
                  </w:r>
                </w:p>
              </w:tc>
              <w:tc>
                <w:tcPr>
                  <w:tcW w:w="2772" w:type="dxa"/>
                  <w:vAlign w:val="center"/>
                </w:tcPr>
                <w:p w14:paraId="6888E56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农村</w:t>
                  </w:r>
                </w:p>
              </w:tc>
            </w:tr>
            <w:tr w14:paraId="2966F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continue"/>
                  <w:vAlign w:val="center"/>
                </w:tcPr>
                <w:p w14:paraId="4427B05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p>
              </w:tc>
              <w:tc>
                <w:tcPr>
                  <w:tcW w:w="2770" w:type="dxa"/>
                  <w:vAlign w:val="center"/>
                </w:tcPr>
                <w:p w14:paraId="6D2A73B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人口数（城市选项）</w:t>
                  </w:r>
                </w:p>
              </w:tc>
              <w:tc>
                <w:tcPr>
                  <w:tcW w:w="2772" w:type="dxa"/>
                  <w:vAlign w:val="center"/>
                </w:tcPr>
                <w:p w14:paraId="254A100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14:paraId="68262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40" w:type="dxa"/>
                  <w:gridSpan w:val="2"/>
                  <w:vAlign w:val="center"/>
                </w:tcPr>
                <w:p w14:paraId="04E9364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最高环境温度/℃</w:t>
                  </w:r>
                </w:p>
              </w:tc>
              <w:tc>
                <w:tcPr>
                  <w:tcW w:w="2772" w:type="dxa"/>
                  <w:vAlign w:val="center"/>
                </w:tcPr>
                <w:p w14:paraId="31278F6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42</w:t>
                  </w:r>
                </w:p>
              </w:tc>
            </w:tr>
            <w:tr w14:paraId="4A770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40" w:type="dxa"/>
                  <w:gridSpan w:val="2"/>
                  <w:vAlign w:val="center"/>
                </w:tcPr>
                <w:p w14:paraId="7397229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最低环境温度/℃</w:t>
                  </w:r>
                </w:p>
              </w:tc>
              <w:tc>
                <w:tcPr>
                  <w:tcW w:w="2772" w:type="dxa"/>
                  <w:vAlign w:val="center"/>
                </w:tcPr>
                <w:p w14:paraId="4DAFE1F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-36.8</w:t>
                  </w:r>
                </w:p>
              </w:tc>
            </w:tr>
            <w:tr w14:paraId="4DF3D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40" w:type="dxa"/>
                  <w:gridSpan w:val="2"/>
                  <w:vAlign w:val="center"/>
                </w:tcPr>
                <w:p w14:paraId="6503D16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土地利用条件</w:t>
                  </w:r>
                </w:p>
              </w:tc>
              <w:tc>
                <w:tcPr>
                  <w:tcW w:w="2772" w:type="dxa"/>
                  <w:vAlign w:val="center"/>
                </w:tcPr>
                <w:p w14:paraId="2BA8D45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农作地</w:t>
                  </w:r>
                </w:p>
              </w:tc>
            </w:tr>
            <w:tr w14:paraId="3C3982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40" w:type="dxa"/>
                  <w:gridSpan w:val="2"/>
                  <w:vAlign w:val="center"/>
                </w:tcPr>
                <w:p w14:paraId="62546AB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区域湿度条件</w:t>
                  </w:r>
                </w:p>
              </w:tc>
              <w:tc>
                <w:tcPr>
                  <w:tcW w:w="2772" w:type="dxa"/>
                  <w:vAlign w:val="center"/>
                </w:tcPr>
                <w:p w14:paraId="4BF2BB5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干燥</w:t>
                  </w:r>
                </w:p>
              </w:tc>
            </w:tr>
            <w:tr w14:paraId="28EBC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restart"/>
                  <w:vAlign w:val="center"/>
                </w:tcPr>
                <w:p w14:paraId="58B0613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是否考虑地形</w:t>
                  </w:r>
                </w:p>
              </w:tc>
              <w:tc>
                <w:tcPr>
                  <w:tcW w:w="2770" w:type="dxa"/>
                  <w:vAlign w:val="center"/>
                </w:tcPr>
                <w:p w14:paraId="1AAB9E3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考虑地形</w:t>
                  </w:r>
                </w:p>
              </w:tc>
              <w:tc>
                <w:tcPr>
                  <w:tcW w:w="2772" w:type="dxa"/>
                  <w:vAlign w:val="center"/>
                </w:tcPr>
                <w:p w14:paraId="7690C30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2A9EA2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continue"/>
                  <w:vAlign w:val="center"/>
                </w:tcPr>
                <w:p w14:paraId="7D53357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p>
              </w:tc>
              <w:tc>
                <w:tcPr>
                  <w:tcW w:w="2770" w:type="dxa"/>
                  <w:vAlign w:val="center"/>
                </w:tcPr>
                <w:p w14:paraId="4BEF458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地形数据分辨率/m</w:t>
                  </w:r>
                </w:p>
              </w:tc>
              <w:tc>
                <w:tcPr>
                  <w:tcW w:w="2772" w:type="dxa"/>
                  <w:vAlign w:val="center"/>
                </w:tcPr>
                <w:p w14:paraId="1C891FE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14:paraId="36C44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restart"/>
                  <w:vAlign w:val="center"/>
                </w:tcPr>
                <w:p w14:paraId="7E20135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是否考虑岸线熏烟</w:t>
                  </w:r>
                </w:p>
              </w:tc>
              <w:tc>
                <w:tcPr>
                  <w:tcW w:w="2770" w:type="dxa"/>
                  <w:vAlign w:val="center"/>
                </w:tcPr>
                <w:p w14:paraId="1121E7D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考虑岸线熏烟</w:t>
                  </w:r>
                </w:p>
              </w:tc>
              <w:tc>
                <w:tcPr>
                  <w:tcW w:w="2772" w:type="dxa"/>
                  <w:vAlign w:val="center"/>
                </w:tcPr>
                <w:p w14:paraId="789408E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14:paraId="540EE3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continue"/>
                  <w:vAlign w:val="center"/>
                </w:tcPr>
                <w:p w14:paraId="23EA5F7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2770" w:type="dxa"/>
                  <w:vAlign w:val="center"/>
                </w:tcPr>
                <w:p w14:paraId="6B1EA29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岸线距离</w:t>
                  </w:r>
                  <w:r>
                    <w:rPr>
                      <w:rFonts w:hint="default" w:ascii="Times New Roman" w:hAnsi="Times New Roman" w:eastAsia="宋体" w:cs="Times New Roman"/>
                      <w:color w:val="auto"/>
                      <w:sz w:val="21"/>
                      <w:szCs w:val="21"/>
                      <w:lang w:val="en-US" w:eastAsia="zh-CN"/>
                    </w:rPr>
                    <w:t>/km</w:t>
                  </w:r>
                </w:p>
              </w:tc>
              <w:tc>
                <w:tcPr>
                  <w:tcW w:w="2772" w:type="dxa"/>
                  <w:vAlign w:val="center"/>
                </w:tcPr>
                <w:p w14:paraId="7B486F5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14:paraId="1988D9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0" w:type="dxa"/>
                  <w:vMerge w:val="continue"/>
                  <w:vAlign w:val="center"/>
                </w:tcPr>
                <w:p w14:paraId="2D3C5FF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2770" w:type="dxa"/>
                  <w:vAlign w:val="center"/>
                </w:tcPr>
                <w:p w14:paraId="6090FEF6">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岸线方向</w:t>
                  </w:r>
                  <w:r>
                    <w:rPr>
                      <w:rFonts w:hint="default" w:ascii="Times New Roman" w:hAnsi="Times New Roman" w:eastAsia="宋体" w:cs="Times New Roman"/>
                      <w:color w:val="auto"/>
                      <w:sz w:val="21"/>
                      <w:szCs w:val="21"/>
                      <w:lang w:val="en-US" w:eastAsia="zh-CN"/>
                    </w:rPr>
                    <w:t>/°</w:t>
                  </w:r>
                </w:p>
              </w:tc>
              <w:tc>
                <w:tcPr>
                  <w:tcW w:w="2772" w:type="dxa"/>
                  <w:vAlign w:val="center"/>
                </w:tcPr>
                <w:p w14:paraId="2D0984E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14:paraId="35894894">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4-12</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lang w:eastAsia="zh-CN"/>
              </w:rPr>
              <w:t>项目点源污染物、排放参数一览表</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4"/>
              <w:gridCol w:w="832"/>
              <w:gridCol w:w="805"/>
              <w:gridCol w:w="1063"/>
              <w:gridCol w:w="928"/>
              <w:gridCol w:w="1118"/>
              <w:gridCol w:w="2322"/>
            </w:tblGrid>
            <w:tr w14:paraId="4E466A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44" w:type="dxa"/>
                  <w:vMerge w:val="restart"/>
                  <w:vAlign w:val="center"/>
                </w:tcPr>
                <w:p w14:paraId="36056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名称</w:t>
                  </w:r>
                </w:p>
              </w:tc>
              <w:tc>
                <w:tcPr>
                  <w:tcW w:w="832" w:type="dxa"/>
                  <w:vMerge w:val="restart"/>
                  <w:vAlign w:val="center"/>
                </w:tcPr>
                <w:p w14:paraId="0E583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排气高度（</w:t>
                  </w:r>
                  <w:r>
                    <w:rPr>
                      <w:rFonts w:hint="eastAsia"/>
                      <w:color w:val="auto"/>
                      <w:sz w:val="21"/>
                      <w:szCs w:val="21"/>
                      <w:lang w:val="en-US" w:eastAsia="zh-CN"/>
                    </w:rPr>
                    <w:t>m</w:t>
                  </w:r>
                  <w:r>
                    <w:rPr>
                      <w:rFonts w:hint="eastAsia"/>
                      <w:color w:val="auto"/>
                      <w:sz w:val="21"/>
                      <w:szCs w:val="21"/>
                      <w:lang w:eastAsia="zh-CN"/>
                    </w:rPr>
                    <w:t>）</w:t>
                  </w:r>
                </w:p>
              </w:tc>
              <w:tc>
                <w:tcPr>
                  <w:tcW w:w="805" w:type="dxa"/>
                  <w:vMerge w:val="restart"/>
                  <w:vAlign w:val="center"/>
                </w:tcPr>
                <w:p w14:paraId="12553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内径（</w:t>
                  </w:r>
                  <w:r>
                    <w:rPr>
                      <w:rFonts w:hint="eastAsia"/>
                      <w:color w:val="auto"/>
                      <w:sz w:val="21"/>
                      <w:szCs w:val="21"/>
                      <w:lang w:val="en-US" w:eastAsia="zh-CN"/>
                    </w:rPr>
                    <w:t>m</w:t>
                  </w:r>
                  <w:r>
                    <w:rPr>
                      <w:rFonts w:hint="eastAsia"/>
                      <w:color w:val="auto"/>
                      <w:sz w:val="21"/>
                      <w:szCs w:val="21"/>
                      <w:lang w:eastAsia="zh-CN"/>
                    </w:rPr>
                    <w:t>）</w:t>
                  </w:r>
                </w:p>
              </w:tc>
              <w:tc>
                <w:tcPr>
                  <w:tcW w:w="1063" w:type="dxa"/>
                  <w:vMerge w:val="restart"/>
                  <w:vAlign w:val="center"/>
                </w:tcPr>
                <w:p w14:paraId="6A44C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烟气流速（</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/h</w:t>
                  </w:r>
                  <w:r>
                    <w:rPr>
                      <w:rFonts w:hint="eastAsia"/>
                      <w:color w:val="auto"/>
                      <w:sz w:val="21"/>
                      <w:szCs w:val="21"/>
                      <w:lang w:eastAsia="zh-CN"/>
                    </w:rPr>
                    <w:t>）</w:t>
                  </w:r>
                </w:p>
              </w:tc>
              <w:tc>
                <w:tcPr>
                  <w:tcW w:w="928" w:type="dxa"/>
                  <w:vMerge w:val="restart"/>
                  <w:vAlign w:val="center"/>
                </w:tcPr>
                <w:p w14:paraId="6BAA3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烟气温度</w:t>
                  </w:r>
                  <w:r>
                    <w:rPr>
                      <w:rFonts w:hint="eastAsia"/>
                      <w:color w:val="auto"/>
                      <w:lang w:eastAsia="zh-CN"/>
                    </w:rPr>
                    <w:t>℃</w:t>
                  </w:r>
                </w:p>
              </w:tc>
              <w:tc>
                <w:tcPr>
                  <w:tcW w:w="1118" w:type="dxa"/>
                  <w:vMerge w:val="restart"/>
                  <w:vAlign w:val="center"/>
                </w:tcPr>
                <w:p w14:paraId="107EB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年排放小时数</w:t>
                  </w:r>
                  <w:r>
                    <w:rPr>
                      <w:rFonts w:hint="eastAsia"/>
                      <w:color w:val="auto"/>
                      <w:sz w:val="21"/>
                      <w:szCs w:val="21"/>
                      <w:lang w:val="en-US" w:eastAsia="zh-CN"/>
                    </w:rPr>
                    <w:t>/h</w:t>
                  </w:r>
                </w:p>
              </w:tc>
              <w:tc>
                <w:tcPr>
                  <w:tcW w:w="2322" w:type="dxa"/>
                  <w:vMerge w:val="restart"/>
                  <w:vAlign w:val="center"/>
                </w:tcPr>
                <w:p w14:paraId="6505D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污染物排放速率</w:t>
                  </w:r>
                  <w:r>
                    <w:rPr>
                      <w:rFonts w:hint="eastAsia"/>
                      <w:color w:val="auto"/>
                      <w:sz w:val="21"/>
                      <w:szCs w:val="21"/>
                      <w:lang w:val="en-US" w:eastAsia="zh-CN"/>
                    </w:rPr>
                    <w:t>（kg/h）</w:t>
                  </w:r>
                </w:p>
              </w:tc>
            </w:tr>
            <w:tr w14:paraId="2A5D61C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44" w:type="dxa"/>
                  <w:vMerge w:val="continue"/>
                  <w:vAlign w:val="center"/>
                </w:tcPr>
                <w:p w14:paraId="6A26C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rPr>
                  </w:pPr>
                </w:p>
              </w:tc>
              <w:tc>
                <w:tcPr>
                  <w:tcW w:w="832" w:type="dxa"/>
                  <w:vMerge w:val="continue"/>
                  <w:vAlign w:val="center"/>
                </w:tcPr>
                <w:p w14:paraId="6EDA0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805" w:type="dxa"/>
                  <w:vMerge w:val="continue"/>
                  <w:vAlign w:val="center"/>
                </w:tcPr>
                <w:p w14:paraId="45063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063" w:type="dxa"/>
                  <w:vMerge w:val="continue"/>
                  <w:vAlign w:val="center"/>
                </w:tcPr>
                <w:p w14:paraId="6E0F0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928" w:type="dxa"/>
                  <w:vMerge w:val="continue"/>
                  <w:vAlign w:val="center"/>
                </w:tcPr>
                <w:p w14:paraId="53ACC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118" w:type="dxa"/>
                  <w:vMerge w:val="continue"/>
                  <w:vAlign w:val="center"/>
                </w:tcPr>
                <w:p w14:paraId="53F7A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2322" w:type="dxa"/>
                  <w:vMerge w:val="continue"/>
                  <w:vAlign w:val="center"/>
                </w:tcPr>
                <w:p w14:paraId="05CFE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r>
            <w:tr w14:paraId="0BB90BF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12" w:hRule="atLeast"/>
                <w:jc w:val="center"/>
              </w:trPr>
              <w:tc>
                <w:tcPr>
                  <w:tcW w:w="1244" w:type="dxa"/>
                  <w:vMerge w:val="restart"/>
                  <w:shd w:val="clear" w:color="auto" w:fill="auto"/>
                  <w:vAlign w:val="center"/>
                </w:tcPr>
                <w:p w14:paraId="782E9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eastAsia="zh-CN"/>
                    </w:rPr>
                  </w:pPr>
                  <w:r>
                    <w:rPr>
                      <w:rFonts w:hint="eastAsia"/>
                      <w:color w:val="auto"/>
                      <w:sz w:val="21"/>
                      <w:szCs w:val="21"/>
                      <w:lang w:eastAsia="zh-CN"/>
                    </w:rPr>
                    <w:t>炭化烟气</w:t>
                  </w:r>
                  <w:r>
                    <w:rPr>
                      <w:rFonts w:hint="eastAsia"/>
                      <w:color w:val="auto"/>
                      <w:sz w:val="21"/>
                      <w:szCs w:val="21"/>
                      <w:lang w:val="en-US" w:eastAsia="zh-CN"/>
                    </w:rPr>
                    <w:t>DA001</w:t>
                  </w:r>
                </w:p>
              </w:tc>
              <w:tc>
                <w:tcPr>
                  <w:tcW w:w="832" w:type="dxa"/>
                  <w:vMerge w:val="restart"/>
                  <w:vAlign w:val="center"/>
                </w:tcPr>
                <w:p w14:paraId="03B26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30</w:t>
                  </w:r>
                </w:p>
              </w:tc>
              <w:tc>
                <w:tcPr>
                  <w:tcW w:w="805" w:type="dxa"/>
                  <w:vMerge w:val="restart"/>
                  <w:vAlign w:val="center"/>
                </w:tcPr>
                <w:p w14:paraId="13005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w:t>
                  </w:r>
                </w:p>
              </w:tc>
              <w:tc>
                <w:tcPr>
                  <w:tcW w:w="1063" w:type="dxa"/>
                  <w:vMerge w:val="restart"/>
                  <w:vAlign w:val="center"/>
                </w:tcPr>
                <w:p w14:paraId="548FE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28246</w:t>
                  </w:r>
                </w:p>
              </w:tc>
              <w:tc>
                <w:tcPr>
                  <w:tcW w:w="928" w:type="dxa"/>
                  <w:vMerge w:val="restart"/>
                  <w:vAlign w:val="center"/>
                </w:tcPr>
                <w:p w14:paraId="7C808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170</w:t>
                  </w:r>
                </w:p>
              </w:tc>
              <w:tc>
                <w:tcPr>
                  <w:tcW w:w="1118" w:type="dxa"/>
                  <w:vMerge w:val="restart"/>
                  <w:vAlign w:val="center"/>
                </w:tcPr>
                <w:p w14:paraId="729F6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14:paraId="771EE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：1.344</w:t>
                  </w:r>
                </w:p>
              </w:tc>
            </w:tr>
            <w:tr w14:paraId="247FA2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vMerge w:val="continue"/>
                  <w:vAlign w:val="center"/>
                </w:tcPr>
                <w:p w14:paraId="1EA55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832" w:type="dxa"/>
                  <w:vMerge w:val="continue"/>
                  <w:vAlign w:val="center"/>
                </w:tcPr>
                <w:p w14:paraId="2B7D2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805" w:type="dxa"/>
                  <w:vMerge w:val="continue"/>
                  <w:vAlign w:val="center"/>
                </w:tcPr>
                <w:p w14:paraId="6E8E0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1063" w:type="dxa"/>
                  <w:vMerge w:val="continue"/>
                  <w:vAlign w:val="center"/>
                </w:tcPr>
                <w:p w14:paraId="79E74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928" w:type="dxa"/>
                  <w:vMerge w:val="continue"/>
                  <w:vAlign w:val="center"/>
                </w:tcPr>
                <w:p w14:paraId="1970A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1118" w:type="dxa"/>
                  <w:vMerge w:val="continue"/>
                  <w:vAlign w:val="center"/>
                </w:tcPr>
                <w:p w14:paraId="4F9AD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2322" w:type="dxa"/>
                  <w:vAlign w:val="center"/>
                </w:tcPr>
                <w:p w14:paraId="5DE07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vertAlign w:val="baseline"/>
                      <w:lang w:val="en-US" w:eastAsia="zh-CN"/>
                    </w:rPr>
                    <w:t>：3.6984</w:t>
                  </w:r>
                </w:p>
              </w:tc>
            </w:tr>
            <w:tr w14:paraId="1D2022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vMerge w:val="continue"/>
                  <w:vAlign w:val="center"/>
                </w:tcPr>
                <w:p w14:paraId="690AE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14:paraId="4A116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14:paraId="63909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14:paraId="5CD8D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14:paraId="5DF7F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14:paraId="23C8F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14:paraId="22EFA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：0.164</w:t>
                  </w:r>
                </w:p>
              </w:tc>
            </w:tr>
            <w:tr w14:paraId="7209700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vMerge w:val="restart"/>
                  <w:shd w:val="clear" w:color="auto" w:fill="auto"/>
                  <w:vAlign w:val="center"/>
                </w:tcPr>
                <w:p w14:paraId="55B5F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炭化烟气DA002</w:t>
                  </w:r>
                </w:p>
              </w:tc>
              <w:tc>
                <w:tcPr>
                  <w:tcW w:w="832" w:type="dxa"/>
                  <w:vMerge w:val="restart"/>
                  <w:vAlign w:val="center"/>
                </w:tcPr>
                <w:p w14:paraId="0840C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30</w:t>
                  </w:r>
                </w:p>
              </w:tc>
              <w:tc>
                <w:tcPr>
                  <w:tcW w:w="805" w:type="dxa"/>
                  <w:vMerge w:val="restart"/>
                  <w:vAlign w:val="center"/>
                </w:tcPr>
                <w:p w14:paraId="2D870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w:t>
                  </w:r>
                </w:p>
              </w:tc>
              <w:tc>
                <w:tcPr>
                  <w:tcW w:w="1063" w:type="dxa"/>
                  <w:vMerge w:val="restart"/>
                  <w:vAlign w:val="center"/>
                </w:tcPr>
                <w:p w14:paraId="072D7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112983</w:t>
                  </w:r>
                </w:p>
              </w:tc>
              <w:tc>
                <w:tcPr>
                  <w:tcW w:w="928" w:type="dxa"/>
                  <w:vMerge w:val="restart"/>
                  <w:vAlign w:val="center"/>
                </w:tcPr>
                <w:p w14:paraId="0F81D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170</w:t>
                  </w:r>
                </w:p>
              </w:tc>
              <w:tc>
                <w:tcPr>
                  <w:tcW w:w="1118" w:type="dxa"/>
                  <w:vMerge w:val="restart"/>
                  <w:vAlign w:val="center"/>
                </w:tcPr>
                <w:p w14:paraId="6B181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14:paraId="6E34D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：5.376</w:t>
                  </w:r>
                </w:p>
              </w:tc>
            </w:tr>
            <w:tr w14:paraId="30A0C14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vMerge w:val="continue"/>
                  <w:vAlign w:val="center"/>
                </w:tcPr>
                <w:p w14:paraId="1FE6A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14:paraId="2096D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14:paraId="6C49E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14:paraId="2B6A8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14:paraId="54D3F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14:paraId="23FEF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14:paraId="38052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vertAlign w:val="baseline"/>
                      <w:lang w:val="en-US" w:eastAsia="zh-CN"/>
                    </w:rPr>
                    <w:t>：14.794</w:t>
                  </w:r>
                </w:p>
              </w:tc>
            </w:tr>
            <w:tr w14:paraId="30A9839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vMerge w:val="continue"/>
                  <w:vAlign w:val="center"/>
                </w:tcPr>
                <w:p w14:paraId="40019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14:paraId="75396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14:paraId="55508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14:paraId="5661E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14:paraId="5B4B1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14:paraId="61A25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14:paraId="53039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：0.655</w:t>
                  </w:r>
                </w:p>
              </w:tc>
            </w:tr>
            <w:tr w14:paraId="6F6486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shd w:val="clear" w:color="auto" w:fill="auto"/>
                  <w:vAlign w:val="center"/>
                </w:tcPr>
                <w:p w14:paraId="08153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制炭废气DA003</w:t>
                  </w:r>
                </w:p>
              </w:tc>
              <w:tc>
                <w:tcPr>
                  <w:tcW w:w="832" w:type="dxa"/>
                  <w:vAlign w:val="center"/>
                </w:tcPr>
                <w:p w14:paraId="44505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805" w:type="dxa"/>
                  <w:vAlign w:val="center"/>
                </w:tcPr>
                <w:p w14:paraId="7FE62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0.5</w:t>
                  </w:r>
                </w:p>
              </w:tc>
              <w:tc>
                <w:tcPr>
                  <w:tcW w:w="1063" w:type="dxa"/>
                  <w:vAlign w:val="center"/>
                </w:tcPr>
                <w:p w14:paraId="7D038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10000</w:t>
                  </w:r>
                </w:p>
              </w:tc>
              <w:tc>
                <w:tcPr>
                  <w:tcW w:w="928" w:type="dxa"/>
                  <w:vAlign w:val="center"/>
                </w:tcPr>
                <w:p w14:paraId="7D079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25</w:t>
                  </w:r>
                </w:p>
              </w:tc>
              <w:tc>
                <w:tcPr>
                  <w:tcW w:w="1118" w:type="dxa"/>
                  <w:vAlign w:val="center"/>
                </w:tcPr>
                <w:p w14:paraId="0E3FE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14:paraId="37792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：0.008</w:t>
                  </w:r>
                </w:p>
              </w:tc>
            </w:tr>
          </w:tbl>
          <w:p w14:paraId="14FB0C35">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p>
          <w:p w14:paraId="7ED7463D">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p>
          <w:p w14:paraId="03DDDFAD">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4-13</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lang w:eastAsia="zh-CN"/>
              </w:rPr>
              <w:t>项目面源污染物、排放参数一览表</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4"/>
              <w:gridCol w:w="832"/>
              <w:gridCol w:w="805"/>
              <w:gridCol w:w="1063"/>
              <w:gridCol w:w="928"/>
              <w:gridCol w:w="1118"/>
              <w:gridCol w:w="2322"/>
            </w:tblGrid>
            <w:tr w14:paraId="32404B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44" w:type="dxa"/>
                  <w:vMerge w:val="restart"/>
                  <w:vAlign w:val="center"/>
                </w:tcPr>
                <w:p w14:paraId="0EADC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名称</w:t>
                  </w:r>
                </w:p>
              </w:tc>
              <w:tc>
                <w:tcPr>
                  <w:tcW w:w="832" w:type="dxa"/>
                  <w:vMerge w:val="restart"/>
                  <w:vAlign w:val="center"/>
                </w:tcPr>
                <w:p w14:paraId="75E7B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面源长度（</w:t>
                  </w:r>
                  <w:r>
                    <w:rPr>
                      <w:rFonts w:hint="eastAsia"/>
                      <w:color w:val="auto"/>
                      <w:sz w:val="21"/>
                      <w:szCs w:val="21"/>
                      <w:lang w:val="en-US" w:eastAsia="zh-CN"/>
                    </w:rPr>
                    <w:t>m</w:t>
                  </w:r>
                  <w:r>
                    <w:rPr>
                      <w:rFonts w:hint="eastAsia"/>
                      <w:color w:val="auto"/>
                      <w:sz w:val="21"/>
                      <w:szCs w:val="21"/>
                      <w:lang w:eastAsia="zh-CN"/>
                    </w:rPr>
                    <w:t>）</w:t>
                  </w:r>
                </w:p>
              </w:tc>
              <w:tc>
                <w:tcPr>
                  <w:tcW w:w="805" w:type="dxa"/>
                  <w:vMerge w:val="restart"/>
                  <w:vAlign w:val="center"/>
                </w:tcPr>
                <w:p w14:paraId="4C175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面源宽度（</w:t>
                  </w:r>
                  <w:r>
                    <w:rPr>
                      <w:rFonts w:hint="eastAsia"/>
                      <w:color w:val="auto"/>
                      <w:sz w:val="21"/>
                      <w:szCs w:val="21"/>
                      <w:lang w:val="en-US" w:eastAsia="zh-CN"/>
                    </w:rPr>
                    <w:t>m</w:t>
                  </w:r>
                  <w:r>
                    <w:rPr>
                      <w:rFonts w:hint="eastAsia"/>
                      <w:color w:val="auto"/>
                      <w:sz w:val="21"/>
                      <w:szCs w:val="21"/>
                      <w:lang w:eastAsia="zh-CN"/>
                    </w:rPr>
                    <w:t>）</w:t>
                  </w:r>
                </w:p>
              </w:tc>
              <w:tc>
                <w:tcPr>
                  <w:tcW w:w="1063" w:type="dxa"/>
                  <w:vMerge w:val="restart"/>
                  <w:vAlign w:val="center"/>
                </w:tcPr>
                <w:p w14:paraId="39E8D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与正北方向夹角</w:t>
                  </w:r>
                  <w:r>
                    <w:rPr>
                      <w:rFonts w:hint="eastAsia"/>
                      <w:color w:val="auto"/>
                      <w:sz w:val="21"/>
                      <w:szCs w:val="21"/>
                      <w:lang w:val="en-US" w:eastAsia="zh-CN"/>
                    </w:rPr>
                    <w:t>/°</w:t>
                  </w:r>
                </w:p>
              </w:tc>
              <w:tc>
                <w:tcPr>
                  <w:tcW w:w="928" w:type="dxa"/>
                  <w:vMerge w:val="restart"/>
                  <w:vAlign w:val="center"/>
                </w:tcPr>
                <w:p w14:paraId="57DDE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有效排放高度（</w:t>
                  </w:r>
                  <w:r>
                    <w:rPr>
                      <w:rFonts w:hint="eastAsia"/>
                      <w:color w:val="auto"/>
                      <w:sz w:val="21"/>
                      <w:szCs w:val="21"/>
                      <w:lang w:val="en-US" w:eastAsia="zh-CN"/>
                    </w:rPr>
                    <w:t>m</w:t>
                  </w:r>
                  <w:r>
                    <w:rPr>
                      <w:rFonts w:hint="eastAsia"/>
                      <w:color w:val="auto"/>
                      <w:sz w:val="21"/>
                      <w:szCs w:val="21"/>
                      <w:lang w:eastAsia="zh-CN"/>
                    </w:rPr>
                    <w:t>）</w:t>
                  </w:r>
                </w:p>
              </w:tc>
              <w:tc>
                <w:tcPr>
                  <w:tcW w:w="1118" w:type="dxa"/>
                  <w:vMerge w:val="restart"/>
                  <w:vAlign w:val="center"/>
                </w:tcPr>
                <w:p w14:paraId="04C8F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年排放小时数</w:t>
                  </w:r>
                  <w:r>
                    <w:rPr>
                      <w:rFonts w:hint="eastAsia"/>
                      <w:color w:val="auto"/>
                      <w:sz w:val="21"/>
                      <w:szCs w:val="21"/>
                      <w:lang w:val="en-US" w:eastAsia="zh-CN"/>
                    </w:rPr>
                    <w:t>/h</w:t>
                  </w:r>
                </w:p>
              </w:tc>
              <w:tc>
                <w:tcPr>
                  <w:tcW w:w="2322" w:type="dxa"/>
                  <w:vMerge w:val="restart"/>
                  <w:vAlign w:val="center"/>
                </w:tcPr>
                <w:p w14:paraId="2129C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污染物排放速率</w:t>
                  </w:r>
                  <w:r>
                    <w:rPr>
                      <w:rFonts w:hint="eastAsia"/>
                      <w:color w:val="auto"/>
                      <w:sz w:val="21"/>
                      <w:szCs w:val="21"/>
                      <w:lang w:val="en-US" w:eastAsia="zh-CN"/>
                    </w:rPr>
                    <w:t>（kg/h）</w:t>
                  </w:r>
                </w:p>
              </w:tc>
            </w:tr>
            <w:tr w14:paraId="075471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44" w:type="dxa"/>
                  <w:vMerge w:val="continue"/>
                  <w:vAlign w:val="center"/>
                </w:tcPr>
                <w:p w14:paraId="52757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rPr>
                  </w:pPr>
                </w:p>
              </w:tc>
              <w:tc>
                <w:tcPr>
                  <w:tcW w:w="832" w:type="dxa"/>
                  <w:vMerge w:val="continue"/>
                  <w:vAlign w:val="center"/>
                </w:tcPr>
                <w:p w14:paraId="41A5F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805" w:type="dxa"/>
                  <w:vMerge w:val="continue"/>
                  <w:vAlign w:val="center"/>
                </w:tcPr>
                <w:p w14:paraId="41AAA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063" w:type="dxa"/>
                  <w:vMerge w:val="continue"/>
                  <w:vAlign w:val="center"/>
                </w:tcPr>
                <w:p w14:paraId="0ACA9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928" w:type="dxa"/>
                  <w:vMerge w:val="continue"/>
                  <w:vAlign w:val="center"/>
                </w:tcPr>
                <w:p w14:paraId="69E89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118" w:type="dxa"/>
                  <w:vMerge w:val="continue"/>
                  <w:vAlign w:val="center"/>
                </w:tcPr>
                <w:p w14:paraId="1AC13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2322" w:type="dxa"/>
                  <w:vMerge w:val="continue"/>
                  <w:vAlign w:val="center"/>
                </w:tcPr>
                <w:p w14:paraId="3D1EA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r>
            <w:tr w14:paraId="5443A95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244" w:type="dxa"/>
                  <w:shd w:val="clear" w:color="auto" w:fill="auto"/>
                  <w:vAlign w:val="center"/>
                </w:tcPr>
                <w:p w14:paraId="30802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eastAsia="zh-CN"/>
                    </w:rPr>
                  </w:pPr>
                  <w:r>
                    <w:rPr>
                      <w:rFonts w:hint="eastAsia"/>
                      <w:color w:val="auto"/>
                      <w:sz w:val="21"/>
                      <w:szCs w:val="21"/>
                      <w:lang w:eastAsia="zh-CN"/>
                    </w:rPr>
                    <w:t>上料车间</w:t>
                  </w:r>
                </w:p>
              </w:tc>
              <w:tc>
                <w:tcPr>
                  <w:tcW w:w="832" w:type="dxa"/>
                  <w:vAlign w:val="center"/>
                </w:tcPr>
                <w:p w14:paraId="66D2A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90</w:t>
                  </w:r>
                </w:p>
              </w:tc>
              <w:tc>
                <w:tcPr>
                  <w:tcW w:w="805" w:type="dxa"/>
                  <w:vAlign w:val="center"/>
                </w:tcPr>
                <w:p w14:paraId="36314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54</w:t>
                  </w:r>
                </w:p>
              </w:tc>
              <w:tc>
                <w:tcPr>
                  <w:tcW w:w="1063" w:type="dxa"/>
                  <w:vAlign w:val="center"/>
                </w:tcPr>
                <w:p w14:paraId="34828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w:t>
                  </w:r>
                </w:p>
              </w:tc>
              <w:tc>
                <w:tcPr>
                  <w:tcW w:w="928" w:type="dxa"/>
                  <w:vAlign w:val="center"/>
                </w:tcPr>
                <w:p w14:paraId="455D2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1118" w:type="dxa"/>
                  <w:vAlign w:val="center"/>
                </w:tcPr>
                <w:p w14:paraId="45729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14:paraId="28BC0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颗粒物：1.385</w:t>
                  </w:r>
                </w:p>
              </w:tc>
            </w:tr>
            <w:tr w14:paraId="485324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1244" w:type="dxa"/>
                  <w:shd w:val="clear" w:color="auto" w:fill="auto"/>
                  <w:vAlign w:val="center"/>
                </w:tcPr>
                <w:p w14:paraId="05123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机制炭车间</w:t>
                  </w:r>
                </w:p>
              </w:tc>
              <w:tc>
                <w:tcPr>
                  <w:tcW w:w="832" w:type="dxa"/>
                  <w:vAlign w:val="center"/>
                </w:tcPr>
                <w:p w14:paraId="29BBD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35</w:t>
                  </w:r>
                </w:p>
              </w:tc>
              <w:tc>
                <w:tcPr>
                  <w:tcW w:w="805" w:type="dxa"/>
                  <w:vAlign w:val="center"/>
                </w:tcPr>
                <w:p w14:paraId="33410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33</w:t>
                  </w:r>
                </w:p>
              </w:tc>
              <w:tc>
                <w:tcPr>
                  <w:tcW w:w="1063" w:type="dxa"/>
                  <w:vAlign w:val="center"/>
                </w:tcPr>
                <w:p w14:paraId="01714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w:t>
                  </w:r>
                </w:p>
              </w:tc>
              <w:tc>
                <w:tcPr>
                  <w:tcW w:w="928" w:type="dxa"/>
                  <w:vAlign w:val="center"/>
                </w:tcPr>
                <w:p w14:paraId="199CE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1118" w:type="dxa"/>
                  <w:vAlign w:val="center"/>
                </w:tcPr>
                <w:p w14:paraId="09E9C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14:paraId="03034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颗粒物：0.9</w:t>
                  </w:r>
                </w:p>
              </w:tc>
            </w:tr>
          </w:tbl>
          <w:p w14:paraId="480E70D8">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eastAsia="zh-CN"/>
              </w:rPr>
              <w:t>将上述参数带入模型中计算，计算结果见表</w:t>
            </w:r>
            <w:r>
              <w:rPr>
                <w:rFonts w:hint="eastAsia"/>
                <w:color w:val="auto"/>
                <w:sz w:val="24"/>
                <w:lang w:val="en-US" w:eastAsia="zh-CN"/>
              </w:rPr>
              <w:t>4-14。</w:t>
            </w:r>
          </w:p>
          <w:p w14:paraId="0C24BF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default" w:eastAsia="黑体"/>
                <w:color w:val="auto"/>
                <w:sz w:val="21"/>
                <w:szCs w:val="21"/>
                <w:highlight w:val="none"/>
              </w:rPr>
            </w:pPr>
            <w:r>
              <w:rPr>
                <w:rFonts w:hint="default" w:eastAsia="黑体"/>
                <w:color w:val="auto"/>
                <w:sz w:val="21"/>
                <w:szCs w:val="21"/>
                <w:highlight w:val="none"/>
              </w:rPr>
              <w:t>表</w:t>
            </w:r>
            <w:r>
              <w:rPr>
                <w:rFonts w:hint="eastAsia" w:eastAsia="黑体"/>
                <w:color w:val="auto"/>
                <w:sz w:val="21"/>
                <w:szCs w:val="21"/>
                <w:highlight w:val="none"/>
                <w:lang w:val="en-US" w:eastAsia="zh-CN"/>
              </w:rPr>
              <w:t>4-14</w:t>
            </w:r>
            <w:r>
              <w:rPr>
                <w:rFonts w:hint="default" w:eastAsia="黑体"/>
                <w:color w:val="auto"/>
                <w:sz w:val="21"/>
                <w:szCs w:val="21"/>
                <w:highlight w:val="none"/>
              </w:rPr>
              <w:t xml:space="preserve">               </w:t>
            </w:r>
            <w:r>
              <w:rPr>
                <w:rFonts w:hint="eastAsia" w:eastAsia="黑体"/>
                <w:color w:val="auto"/>
                <w:sz w:val="21"/>
                <w:szCs w:val="21"/>
                <w:highlight w:val="none"/>
                <w:lang w:val="en-US" w:eastAsia="zh-CN"/>
              </w:rPr>
              <w:t xml:space="preserve">     </w:t>
            </w:r>
            <w:r>
              <w:rPr>
                <w:rFonts w:hint="default" w:eastAsia="黑体"/>
                <w:color w:val="auto"/>
                <w:sz w:val="21"/>
                <w:szCs w:val="21"/>
                <w:highlight w:val="none"/>
              </w:rPr>
              <w:t xml:space="preserve"> 估算模式计算结果</w:t>
            </w:r>
            <w:r>
              <w:rPr>
                <w:rFonts w:hint="eastAsia" w:eastAsia="黑体"/>
                <w:color w:val="auto"/>
                <w:sz w:val="21"/>
                <w:szCs w:val="21"/>
                <w:highlight w:val="none"/>
                <w:lang w:eastAsia="zh-CN"/>
              </w:rPr>
              <w:t>统计表</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3"/>
              <w:gridCol w:w="766"/>
              <w:gridCol w:w="971"/>
              <w:gridCol w:w="882"/>
              <w:gridCol w:w="986"/>
              <w:gridCol w:w="970"/>
              <w:gridCol w:w="1683"/>
              <w:gridCol w:w="751"/>
            </w:tblGrid>
            <w:tr w14:paraId="4FF51E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Align w:val="center"/>
                </w:tcPr>
                <w:p w14:paraId="1FD23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污染源</w:t>
                  </w:r>
                </w:p>
              </w:tc>
              <w:tc>
                <w:tcPr>
                  <w:tcW w:w="766" w:type="dxa"/>
                  <w:vAlign w:val="center"/>
                </w:tcPr>
                <w:p w14:paraId="578B2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主要污染物</w:t>
                  </w:r>
                </w:p>
              </w:tc>
              <w:tc>
                <w:tcPr>
                  <w:tcW w:w="971" w:type="dxa"/>
                  <w:vAlign w:val="center"/>
                </w:tcPr>
                <w:p w14:paraId="4A9F94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最大落地浓度</w:t>
                  </w:r>
                  <w:r>
                    <w:rPr>
                      <w:rFonts w:hint="eastAsia" w:cs="Times New Roman"/>
                      <w:color w:val="auto"/>
                      <w:sz w:val="21"/>
                      <w:szCs w:val="21"/>
                      <w:highlight w:val="none"/>
                      <w:lang w:val="en-US" w:eastAsia="zh-CN"/>
                    </w:rPr>
                    <w:t>ug/m</w:t>
                  </w:r>
                  <w:r>
                    <w:rPr>
                      <w:rFonts w:hint="eastAsia" w:cs="Times New Roman"/>
                      <w:color w:val="auto"/>
                      <w:sz w:val="21"/>
                      <w:szCs w:val="21"/>
                      <w:highlight w:val="none"/>
                      <w:vertAlign w:val="superscript"/>
                      <w:lang w:val="en-US" w:eastAsia="zh-CN"/>
                    </w:rPr>
                    <w:t>3</w:t>
                  </w:r>
                </w:p>
              </w:tc>
              <w:tc>
                <w:tcPr>
                  <w:tcW w:w="882" w:type="dxa"/>
                  <w:vAlign w:val="center"/>
                </w:tcPr>
                <w:p w14:paraId="6DEBA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最大浓度出现距离/m</w:t>
                  </w:r>
                </w:p>
              </w:tc>
              <w:tc>
                <w:tcPr>
                  <w:tcW w:w="986" w:type="dxa"/>
                  <w:vAlign w:val="center"/>
                </w:tcPr>
                <w:p w14:paraId="79240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最大占标率</w:t>
                  </w:r>
                  <w:r>
                    <w:rPr>
                      <w:rFonts w:hint="default" w:ascii="Times New Roman" w:hAnsi="Times New Roman" w:cs="Times New Roman"/>
                      <w:color w:val="auto"/>
                      <w:sz w:val="21"/>
                      <w:szCs w:val="21"/>
                      <w:highlight w:val="none"/>
                      <w:lang w:val="en-US" w:eastAsia="zh-CN"/>
                    </w:rPr>
                    <w:t>%</w:t>
                  </w:r>
                </w:p>
              </w:tc>
              <w:tc>
                <w:tcPr>
                  <w:tcW w:w="970" w:type="dxa"/>
                  <w:vAlign w:val="center"/>
                </w:tcPr>
                <w:p w14:paraId="4D806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标准值</w:t>
                  </w:r>
                  <w:r>
                    <w:rPr>
                      <w:rFonts w:hint="default" w:ascii="Times New Roman" w:hAnsi="Times New Roman" w:cs="Times New Roman"/>
                      <w:color w:val="auto"/>
                      <w:sz w:val="21"/>
                      <w:szCs w:val="21"/>
                      <w:highlight w:val="none"/>
                      <w:lang w:val="en-US" w:eastAsia="zh-CN"/>
                    </w:rPr>
                    <w:t>ug/m</w:t>
                  </w:r>
                  <w:r>
                    <w:rPr>
                      <w:rFonts w:hint="default" w:ascii="Times New Roman" w:hAnsi="Times New Roman" w:cs="Times New Roman"/>
                      <w:color w:val="auto"/>
                      <w:sz w:val="21"/>
                      <w:szCs w:val="21"/>
                      <w:highlight w:val="none"/>
                      <w:vertAlign w:val="superscript"/>
                      <w:lang w:val="en-US" w:eastAsia="zh-CN"/>
                    </w:rPr>
                    <w:t>3</w:t>
                  </w:r>
                </w:p>
              </w:tc>
              <w:tc>
                <w:tcPr>
                  <w:tcW w:w="1683" w:type="dxa"/>
                  <w:vAlign w:val="center"/>
                </w:tcPr>
                <w:p w14:paraId="78CC6B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标准来源</w:t>
                  </w:r>
                </w:p>
              </w:tc>
              <w:tc>
                <w:tcPr>
                  <w:tcW w:w="751" w:type="dxa"/>
                  <w:vAlign w:val="center"/>
                </w:tcPr>
                <w:p w14:paraId="07B7C0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评价等级</w:t>
                  </w:r>
                </w:p>
              </w:tc>
            </w:tr>
            <w:tr w14:paraId="465ADA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restart"/>
                  <w:shd w:val="clear" w:color="auto" w:fill="auto"/>
                  <w:vAlign w:val="center"/>
                </w:tcPr>
                <w:p w14:paraId="39498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i w:val="0"/>
                      <w:color w:val="auto"/>
                      <w:kern w:val="0"/>
                      <w:sz w:val="21"/>
                      <w:szCs w:val="21"/>
                      <w:u w:val="none"/>
                      <w:lang w:val="en-US" w:eastAsia="zh-CN" w:bidi="ar"/>
                    </w:rPr>
                    <w:t>炭化烟气</w:t>
                  </w:r>
                  <w:r>
                    <w:rPr>
                      <w:rFonts w:hint="eastAsia" w:cs="Times New Roman"/>
                      <w:i w:val="0"/>
                      <w:color w:val="auto"/>
                      <w:kern w:val="0"/>
                      <w:sz w:val="21"/>
                      <w:szCs w:val="21"/>
                      <w:u w:val="none"/>
                      <w:lang w:val="en-US" w:eastAsia="zh-CN" w:bidi="ar"/>
                    </w:rPr>
                    <w:t>DA001</w:t>
                  </w:r>
                </w:p>
              </w:tc>
              <w:tc>
                <w:tcPr>
                  <w:tcW w:w="766" w:type="dxa"/>
                  <w:vAlign w:val="center"/>
                </w:tcPr>
                <w:p w14:paraId="7322C08C">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rPr>
                  </w:pPr>
                  <w:r>
                    <w:rPr>
                      <w:rFonts w:hint="eastAsia" w:ascii="Times New Roman" w:hAnsi="Times New Roman" w:eastAsia="等线" w:cs="Times New Roman"/>
                      <w:color w:val="auto"/>
                      <w:kern w:val="0"/>
                      <w:sz w:val="21"/>
                      <w:szCs w:val="21"/>
                      <w:highlight w:val="none"/>
                      <w:lang w:val="en-US" w:eastAsia="zh-CN"/>
                    </w:rPr>
                    <w:t>SO</w:t>
                  </w:r>
                  <w:r>
                    <w:rPr>
                      <w:rFonts w:hint="eastAsia" w:ascii="Times New Roman" w:hAnsi="Times New Roman" w:eastAsia="等线" w:cs="Times New Roman"/>
                      <w:color w:val="auto"/>
                      <w:kern w:val="0"/>
                      <w:sz w:val="21"/>
                      <w:szCs w:val="21"/>
                      <w:highlight w:val="none"/>
                      <w:vertAlign w:val="subscript"/>
                      <w:lang w:val="en-US" w:eastAsia="zh-CN"/>
                    </w:rPr>
                    <w:t>2</w:t>
                  </w:r>
                </w:p>
              </w:tc>
              <w:tc>
                <w:tcPr>
                  <w:tcW w:w="971" w:type="dxa"/>
                  <w:vAlign w:val="center"/>
                </w:tcPr>
                <w:p w14:paraId="29294C8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4.42</w:t>
                  </w:r>
                </w:p>
              </w:tc>
              <w:tc>
                <w:tcPr>
                  <w:tcW w:w="882" w:type="dxa"/>
                  <w:vAlign w:val="center"/>
                </w:tcPr>
                <w:p w14:paraId="7E20AF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14:paraId="778700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0.88</w:t>
                  </w:r>
                </w:p>
              </w:tc>
              <w:tc>
                <w:tcPr>
                  <w:tcW w:w="970" w:type="dxa"/>
                  <w:vAlign w:val="center"/>
                </w:tcPr>
                <w:p w14:paraId="599346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500</w:t>
                  </w:r>
                </w:p>
              </w:tc>
              <w:tc>
                <w:tcPr>
                  <w:tcW w:w="1683" w:type="dxa"/>
                  <w:vAlign w:val="center"/>
                </w:tcPr>
                <w:p w14:paraId="30BA6B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0CA98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二级</w:t>
                  </w:r>
                </w:p>
              </w:tc>
            </w:tr>
            <w:tr w14:paraId="79D9CF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continue"/>
                  <w:vAlign w:val="center"/>
                </w:tcPr>
                <w:p w14:paraId="56BBF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p>
              </w:tc>
              <w:tc>
                <w:tcPr>
                  <w:tcW w:w="766" w:type="dxa"/>
                  <w:vAlign w:val="center"/>
                </w:tcPr>
                <w:p w14:paraId="5FF47BE0">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等线" w:cs="Times New Roman"/>
                      <w:color w:val="auto"/>
                      <w:kern w:val="0"/>
                      <w:sz w:val="21"/>
                      <w:szCs w:val="21"/>
                      <w:highlight w:val="none"/>
                      <w:lang w:val="en-US" w:eastAsia="zh-CN"/>
                    </w:rPr>
                    <w:t>NOx</w:t>
                  </w:r>
                </w:p>
              </w:tc>
              <w:tc>
                <w:tcPr>
                  <w:tcW w:w="971" w:type="dxa"/>
                  <w:vAlign w:val="center"/>
                </w:tcPr>
                <w:p w14:paraId="417D25F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12.16</w:t>
                  </w:r>
                </w:p>
              </w:tc>
              <w:tc>
                <w:tcPr>
                  <w:tcW w:w="882" w:type="dxa"/>
                  <w:vAlign w:val="center"/>
                </w:tcPr>
                <w:p w14:paraId="3A1C56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14:paraId="015E6F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4.86</w:t>
                  </w:r>
                </w:p>
              </w:tc>
              <w:tc>
                <w:tcPr>
                  <w:tcW w:w="970" w:type="dxa"/>
                  <w:vAlign w:val="center"/>
                </w:tcPr>
                <w:p w14:paraId="0E9EF1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250</w:t>
                  </w:r>
                </w:p>
              </w:tc>
              <w:tc>
                <w:tcPr>
                  <w:tcW w:w="1683" w:type="dxa"/>
                  <w:vAlign w:val="center"/>
                </w:tcPr>
                <w:p w14:paraId="22F015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3E58C3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三级</w:t>
                  </w:r>
                </w:p>
              </w:tc>
            </w:tr>
            <w:tr w14:paraId="0D0368B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continue"/>
                  <w:vAlign w:val="center"/>
                </w:tcPr>
                <w:p w14:paraId="35B53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766" w:type="dxa"/>
                  <w:vAlign w:val="center"/>
                </w:tcPr>
                <w:p w14:paraId="6E97F1F6">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rPr>
                  </w:pPr>
                  <w:r>
                    <w:rPr>
                      <w:rFonts w:hint="eastAsia" w:ascii="Times New Roman" w:hAnsi="Times New Roman" w:eastAsia="等线" w:cs="Times New Roman"/>
                      <w:color w:val="auto"/>
                      <w:kern w:val="0"/>
                      <w:sz w:val="21"/>
                      <w:szCs w:val="21"/>
                      <w:highlight w:val="none"/>
                      <w:lang w:val="en-US" w:eastAsia="zh-CN"/>
                    </w:rPr>
                    <w:t>PM</w:t>
                  </w:r>
                  <w:r>
                    <w:rPr>
                      <w:rFonts w:hint="eastAsia" w:ascii="Times New Roman" w:hAnsi="Times New Roman" w:eastAsia="等线" w:cs="Times New Roman"/>
                      <w:color w:val="auto"/>
                      <w:kern w:val="0"/>
                      <w:sz w:val="21"/>
                      <w:szCs w:val="21"/>
                      <w:highlight w:val="none"/>
                      <w:vertAlign w:val="subscript"/>
                      <w:lang w:val="en-US" w:eastAsia="zh-CN"/>
                    </w:rPr>
                    <w:t>10</w:t>
                  </w:r>
                </w:p>
              </w:tc>
              <w:tc>
                <w:tcPr>
                  <w:tcW w:w="971" w:type="dxa"/>
                  <w:vAlign w:val="center"/>
                </w:tcPr>
                <w:p w14:paraId="772143C9">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0.54</w:t>
                  </w:r>
                </w:p>
              </w:tc>
              <w:tc>
                <w:tcPr>
                  <w:tcW w:w="882" w:type="dxa"/>
                  <w:vAlign w:val="center"/>
                </w:tcPr>
                <w:p w14:paraId="2BD7EC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14:paraId="4F6DCC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c>
                <w:tcPr>
                  <w:tcW w:w="970" w:type="dxa"/>
                  <w:vAlign w:val="center"/>
                </w:tcPr>
                <w:p w14:paraId="44A883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14:paraId="3F3B8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14:paraId="56318D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二级</w:t>
                  </w:r>
                </w:p>
              </w:tc>
            </w:tr>
            <w:tr w14:paraId="33ED5B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restart"/>
                  <w:shd w:val="clear" w:color="auto" w:fill="auto"/>
                  <w:vAlign w:val="center"/>
                </w:tcPr>
                <w:p w14:paraId="203E9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highlight w:val="none"/>
                    </w:rPr>
                  </w:pPr>
                  <w:r>
                    <w:rPr>
                      <w:rFonts w:hint="eastAsia" w:ascii="Times New Roman" w:hAnsi="Times New Roman" w:cs="Times New Roman"/>
                      <w:i w:val="0"/>
                      <w:color w:val="auto"/>
                      <w:kern w:val="0"/>
                      <w:sz w:val="21"/>
                      <w:szCs w:val="21"/>
                      <w:u w:val="none"/>
                      <w:lang w:val="en-US" w:eastAsia="zh-CN" w:bidi="ar"/>
                    </w:rPr>
                    <w:t>炭化烟气</w:t>
                  </w:r>
                  <w:r>
                    <w:rPr>
                      <w:rFonts w:hint="eastAsia" w:cs="Times New Roman"/>
                      <w:i w:val="0"/>
                      <w:color w:val="auto"/>
                      <w:kern w:val="0"/>
                      <w:sz w:val="21"/>
                      <w:szCs w:val="21"/>
                      <w:u w:val="none"/>
                      <w:lang w:val="en-US" w:eastAsia="zh-CN" w:bidi="ar"/>
                    </w:rPr>
                    <w:t>DA002</w:t>
                  </w:r>
                </w:p>
              </w:tc>
              <w:tc>
                <w:tcPr>
                  <w:tcW w:w="766" w:type="dxa"/>
                  <w:vAlign w:val="center"/>
                </w:tcPr>
                <w:p w14:paraId="03911AF8">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SO</w:t>
                  </w:r>
                  <w:r>
                    <w:rPr>
                      <w:rFonts w:hint="eastAsia" w:ascii="Times New Roman" w:hAnsi="Times New Roman" w:eastAsia="等线" w:cs="Times New Roman"/>
                      <w:color w:val="auto"/>
                      <w:kern w:val="0"/>
                      <w:sz w:val="21"/>
                      <w:szCs w:val="21"/>
                      <w:highlight w:val="none"/>
                      <w:vertAlign w:val="subscript"/>
                      <w:lang w:val="en-US" w:eastAsia="zh-CN"/>
                    </w:rPr>
                    <w:t>2</w:t>
                  </w:r>
                </w:p>
              </w:tc>
              <w:tc>
                <w:tcPr>
                  <w:tcW w:w="971" w:type="dxa"/>
                  <w:vAlign w:val="center"/>
                </w:tcPr>
                <w:p w14:paraId="3D2082FB">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7.83</w:t>
                  </w:r>
                </w:p>
              </w:tc>
              <w:tc>
                <w:tcPr>
                  <w:tcW w:w="882" w:type="dxa"/>
                  <w:vAlign w:val="center"/>
                </w:tcPr>
                <w:p w14:paraId="2D1EBF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14:paraId="56A7A2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1.57</w:t>
                  </w:r>
                </w:p>
              </w:tc>
              <w:tc>
                <w:tcPr>
                  <w:tcW w:w="970" w:type="dxa"/>
                  <w:vAlign w:val="center"/>
                </w:tcPr>
                <w:p w14:paraId="2E4730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500</w:t>
                  </w:r>
                </w:p>
              </w:tc>
              <w:tc>
                <w:tcPr>
                  <w:tcW w:w="1683" w:type="dxa"/>
                  <w:vAlign w:val="center"/>
                </w:tcPr>
                <w:p w14:paraId="1D88FE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2B732A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14:paraId="5CB118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continue"/>
                  <w:vAlign w:val="center"/>
                </w:tcPr>
                <w:p w14:paraId="192E09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766" w:type="dxa"/>
                  <w:vAlign w:val="center"/>
                </w:tcPr>
                <w:p w14:paraId="616659C4">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NOx</w:t>
                  </w:r>
                </w:p>
              </w:tc>
              <w:tc>
                <w:tcPr>
                  <w:tcW w:w="971" w:type="dxa"/>
                  <w:vAlign w:val="center"/>
                </w:tcPr>
                <w:p w14:paraId="749A2147">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21.54</w:t>
                  </w:r>
                </w:p>
              </w:tc>
              <w:tc>
                <w:tcPr>
                  <w:tcW w:w="882" w:type="dxa"/>
                  <w:vAlign w:val="center"/>
                </w:tcPr>
                <w:p w14:paraId="0F8EC3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14:paraId="704A24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8.62</w:t>
                  </w:r>
                </w:p>
              </w:tc>
              <w:tc>
                <w:tcPr>
                  <w:tcW w:w="970" w:type="dxa"/>
                  <w:vAlign w:val="center"/>
                </w:tcPr>
                <w:p w14:paraId="528BC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250</w:t>
                  </w:r>
                </w:p>
              </w:tc>
              <w:tc>
                <w:tcPr>
                  <w:tcW w:w="1683" w:type="dxa"/>
                  <w:vAlign w:val="center"/>
                </w:tcPr>
                <w:p w14:paraId="270F35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4AD432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三级</w:t>
                  </w:r>
                </w:p>
              </w:tc>
            </w:tr>
            <w:tr w14:paraId="73376A0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Merge w:val="continue"/>
                  <w:vAlign w:val="center"/>
                </w:tcPr>
                <w:p w14:paraId="42855C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p>
              </w:tc>
              <w:tc>
                <w:tcPr>
                  <w:tcW w:w="766" w:type="dxa"/>
                  <w:vAlign w:val="center"/>
                </w:tcPr>
                <w:p w14:paraId="03EE0C62">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PM</w:t>
                  </w:r>
                  <w:r>
                    <w:rPr>
                      <w:rFonts w:hint="eastAsia" w:ascii="Times New Roman" w:hAnsi="Times New Roman" w:eastAsia="等线" w:cs="Times New Roman"/>
                      <w:color w:val="auto"/>
                      <w:kern w:val="0"/>
                      <w:sz w:val="21"/>
                      <w:szCs w:val="21"/>
                      <w:highlight w:val="none"/>
                      <w:vertAlign w:val="subscript"/>
                      <w:lang w:val="en-US" w:eastAsia="zh-CN"/>
                    </w:rPr>
                    <w:t>10</w:t>
                  </w:r>
                </w:p>
              </w:tc>
              <w:tc>
                <w:tcPr>
                  <w:tcW w:w="971" w:type="dxa"/>
                  <w:vAlign w:val="center"/>
                </w:tcPr>
                <w:p w14:paraId="00AA6EBD">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0.95</w:t>
                  </w:r>
                </w:p>
              </w:tc>
              <w:tc>
                <w:tcPr>
                  <w:tcW w:w="882" w:type="dxa"/>
                  <w:vAlign w:val="center"/>
                </w:tcPr>
                <w:p w14:paraId="1A6F50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14:paraId="23A4E9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0.21</w:t>
                  </w:r>
                </w:p>
              </w:tc>
              <w:tc>
                <w:tcPr>
                  <w:tcW w:w="970" w:type="dxa"/>
                  <w:vAlign w:val="center"/>
                </w:tcPr>
                <w:p w14:paraId="414CEF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14:paraId="61AC02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14:paraId="74560B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14:paraId="68A0AE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shd w:val="clear" w:color="auto" w:fill="auto"/>
                  <w:vAlign w:val="center"/>
                </w:tcPr>
                <w:p w14:paraId="6663B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highlight w:val="none"/>
                    </w:rPr>
                  </w:pPr>
                  <w:r>
                    <w:rPr>
                      <w:rFonts w:hint="eastAsia" w:cs="Times New Roman"/>
                      <w:i w:val="0"/>
                      <w:color w:val="auto"/>
                      <w:kern w:val="0"/>
                      <w:sz w:val="21"/>
                      <w:szCs w:val="21"/>
                      <w:u w:val="none"/>
                      <w:lang w:val="en-US" w:eastAsia="zh-CN" w:bidi="ar"/>
                    </w:rPr>
                    <w:t>制炭废气DA003</w:t>
                  </w:r>
                </w:p>
              </w:tc>
              <w:tc>
                <w:tcPr>
                  <w:tcW w:w="766" w:type="dxa"/>
                  <w:vAlign w:val="center"/>
                </w:tcPr>
                <w:p w14:paraId="02EB5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PM</w:t>
                  </w:r>
                  <w:r>
                    <w:rPr>
                      <w:rFonts w:hint="eastAsia" w:ascii="Times New Roman" w:hAnsi="Times New Roman" w:cs="Times New Roman"/>
                      <w:color w:val="auto"/>
                      <w:sz w:val="21"/>
                      <w:szCs w:val="21"/>
                      <w:highlight w:val="none"/>
                      <w:vertAlign w:val="subscript"/>
                      <w:lang w:val="en-US" w:eastAsia="zh-CN"/>
                    </w:rPr>
                    <w:t>10</w:t>
                  </w:r>
                </w:p>
              </w:tc>
              <w:tc>
                <w:tcPr>
                  <w:tcW w:w="971" w:type="dxa"/>
                  <w:vAlign w:val="center"/>
                </w:tcPr>
                <w:p w14:paraId="52846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0.41</w:t>
                  </w:r>
                </w:p>
              </w:tc>
              <w:tc>
                <w:tcPr>
                  <w:tcW w:w="882" w:type="dxa"/>
                  <w:vAlign w:val="center"/>
                </w:tcPr>
                <w:p w14:paraId="59B838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161</w:t>
                  </w:r>
                </w:p>
              </w:tc>
              <w:tc>
                <w:tcPr>
                  <w:tcW w:w="986" w:type="dxa"/>
                  <w:vAlign w:val="center"/>
                </w:tcPr>
                <w:p w14:paraId="5E45ED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0.09</w:t>
                  </w:r>
                </w:p>
              </w:tc>
              <w:tc>
                <w:tcPr>
                  <w:tcW w:w="970" w:type="dxa"/>
                  <w:vAlign w:val="center"/>
                </w:tcPr>
                <w:p w14:paraId="019A52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14:paraId="305F17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43173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14:paraId="7E67FB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Align w:val="center"/>
                </w:tcPr>
                <w:p w14:paraId="704A4B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lang w:eastAsia="zh-CN"/>
                    </w:rPr>
                  </w:pPr>
                  <w:r>
                    <w:rPr>
                      <w:rFonts w:hint="eastAsia"/>
                      <w:color w:val="auto"/>
                      <w:sz w:val="21"/>
                      <w:szCs w:val="21"/>
                      <w:lang w:eastAsia="zh-CN"/>
                    </w:rPr>
                    <w:t>上料车间</w:t>
                  </w:r>
                </w:p>
              </w:tc>
              <w:tc>
                <w:tcPr>
                  <w:tcW w:w="766" w:type="dxa"/>
                  <w:vAlign w:val="center"/>
                </w:tcPr>
                <w:p w14:paraId="39C0E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TSP</w:t>
                  </w:r>
                </w:p>
              </w:tc>
              <w:tc>
                <w:tcPr>
                  <w:tcW w:w="971" w:type="dxa"/>
                  <w:vAlign w:val="center"/>
                </w:tcPr>
                <w:p w14:paraId="276CA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72.86</w:t>
                  </w:r>
                </w:p>
              </w:tc>
              <w:tc>
                <w:tcPr>
                  <w:tcW w:w="882" w:type="dxa"/>
                  <w:vAlign w:val="center"/>
                </w:tcPr>
                <w:p w14:paraId="591410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w:t>
                  </w:r>
                </w:p>
              </w:tc>
              <w:tc>
                <w:tcPr>
                  <w:tcW w:w="986" w:type="dxa"/>
                  <w:vAlign w:val="center"/>
                </w:tcPr>
                <w:p w14:paraId="2915DA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8.10</w:t>
                  </w:r>
                </w:p>
              </w:tc>
              <w:tc>
                <w:tcPr>
                  <w:tcW w:w="970" w:type="dxa"/>
                  <w:vAlign w:val="center"/>
                </w:tcPr>
                <w:p w14:paraId="6E7E0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900</w:t>
                  </w:r>
                </w:p>
              </w:tc>
              <w:tc>
                <w:tcPr>
                  <w:tcW w:w="1683" w:type="dxa"/>
                  <w:vAlign w:val="center"/>
                </w:tcPr>
                <w:p w14:paraId="64A50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14:paraId="1B3348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三级</w:t>
                  </w:r>
                </w:p>
              </w:tc>
            </w:tr>
            <w:tr w14:paraId="353740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03" w:type="dxa"/>
                  <w:vAlign w:val="center"/>
                </w:tcPr>
                <w:p w14:paraId="29F13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机制炭车间</w:t>
                  </w:r>
                </w:p>
              </w:tc>
              <w:tc>
                <w:tcPr>
                  <w:tcW w:w="766" w:type="dxa"/>
                  <w:vAlign w:val="center"/>
                </w:tcPr>
                <w:p w14:paraId="7F56E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TSP</w:t>
                  </w:r>
                </w:p>
              </w:tc>
              <w:tc>
                <w:tcPr>
                  <w:tcW w:w="971" w:type="dxa"/>
                  <w:vAlign w:val="center"/>
                </w:tcPr>
                <w:p w14:paraId="6E732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61.81</w:t>
                  </w:r>
                </w:p>
              </w:tc>
              <w:tc>
                <w:tcPr>
                  <w:tcW w:w="882" w:type="dxa"/>
                  <w:vAlign w:val="center"/>
                </w:tcPr>
                <w:p w14:paraId="7FBC7B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986" w:type="dxa"/>
                  <w:vAlign w:val="center"/>
                </w:tcPr>
                <w:p w14:paraId="264012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6.87</w:t>
                  </w:r>
                </w:p>
              </w:tc>
              <w:tc>
                <w:tcPr>
                  <w:tcW w:w="970" w:type="dxa"/>
                  <w:vAlign w:val="center"/>
                </w:tcPr>
                <w:p w14:paraId="18ED1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900</w:t>
                  </w:r>
                </w:p>
              </w:tc>
              <w:tc>
                <w:tcPr>
                  <w:tcW w:w="1683" w:type="dxa"/>
                  <w:vAlign w:val="center"/>
                </w:tcPr>
                <w:p w14:paraId="2A6FB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14:paraId="06381E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bl>
          <w:p w14:paraId="13E71E4F">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项目各污染源中炭化烟气DA002排放口中氮氧化物的占标率最大，最大占标率为</w:t>
            </w:r>
            <w:r>
              <w:rPr>
                <w:rFonts w:hint="eastAsia"/>
                <w:color w:val="auto"/>
                <w:sz w:val="24"/>
                <w:lang w:val="en-US" w:eastAsia="zh-CN"/>
              </w:rPr>
              <w:t>8.62</w:t>
            </w:r>
            <w:r>
              <w:rPr>
                <w:rFonts w:hint="eastAsia"/>
                <w:color w:val="auto"/>
                <w:sz w:val="24"/>
                <w:lang w:eastAsia="zh-CN"/>
              </w:rPr>
              <w:t>%，根据《环境影响评价技术导则 大气环境》（HJ2.2-2018）中相关规定，本项目大气环境评价等级为二级，要求不进行进一步预测与评价，只对污染物排放量进行核算。</w:t>
            </w:r>
          </w:p>
          <w:p w14:paraId="1072DC54">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项目大气污染物有组织排放量核算结果见表4-1</w:t>
            </w:r>
            <w:r>
              <w:rPr>
                <w:rFonts w:hint="eastAsia"/>
                <w:color w:val="auto"/>
                <w:sz w:val="24"/>
                <w:lang w:val="en-US" w:eastAsia="zh-CN"/>
              </w:rPr>
              <w:t>5</w:t>
            </w:r>
            <w:r>
              <w:rPr>
                <w:rFonts w:hint="eastAsia"/>
                <w:color w:val="auto"/>
                <w:sz w:val="24"/>
                <w:lang w:eastAsia="zh-CN"/>
              </w:rPr>
              <w:t>，无组织排放量核算结果见表4-</w:t>
            </w:r>
            <w:r>
              <w:rPr>
                <w:rFonts w:hint="eastAsia"/>
                <w:color w:val="auto"/>
                <w:sz w:val="24"/>
                <w:lang w:val="en-US" w:eastAsia="zh-CN"/>
              </w:rPr>
              <w:t>16</w:t>
            </w:r>
            <w:r>
              <w:rPr>
                <w:rFonts w:hint="eastAsia"/>
                <w:color w:val="auto"/>
                <w:sz w:val="24"/>
                <w:lang w:eastAsia="zh-CN"/>
              </w:rPr>
              <w:t>，项目大气污染物年排放量核算详见表4-</w:t>
            </w:r>
            <w:r>
              <w:rPr>
                <w:rFonts w:hint="eastAsia"/>
                <w:color w:val="auto"/>
                <w:sz w:val="24"/>
                <w:lang w:val="en-US" w:eastAsia="zh-CN"/>
              </w:rPr>
              <w:t>17</w:t>
            </w:r>
            <w:r>
              <w:rPr>
                <w:rFonts w:hint="eastAsia"/>
                <w:color w:val="auto"/>
                <w:sz w:val="24"/>
                <w:lang w:eastAsia="zh-CN"/>
              </w:rPr>
              <w:t>。</w:t>
            </w:r>
          </w:p>
          <w:p w14:paraId="0D2B5E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表4-15                   项目大气有组织污染物核算表</w:t>
            </w:r>
          </w:p>
          <w:tbl>
            <w:tblPr>
              <w:tblStyle w:val="23"/>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308"/>
              <w:gridCol w:w="1289"/>
              <w:gridCol w:w="1391"/>
              <w:gridCol w:w="1613"/>
              <w:gridCol w:w="1187"/>
            </w:tblGrid>
            <w:tr w14:paraId="5AB4E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Align w:val="center"/>
                </w:tcPr>
                <w:p w14:paraId="700F30E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序号</w:t>
                  </w:r>
                </w:p>
              </w:tc>
              <w:tc>
                <w:tcPr>
                  <w:tcW w:w="2308" w:type="dxa"/>
                  <w:vAlign w:val="center"/>
                </w:tcPr>
                <w:p w14:paraId="631C5BC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排放口编号</w:t>
                  </w:r>
                </w:p>
              </w:tc>
              <w:tc>
                <w:tcPr>
                  <w:tcW w:w="1289" w:type="dxa"/>
                  <w:vAlign w:val="center"/>
                </w:tcPr>
                <w:p w14:paraId="276E781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污染物</w:t>
                  </w:r>
                </w:p>
              </w:tc>
              <w:tc>
                <w:tcPr>
                  <w:tcW w:w="1391" w:type="dxa"/>
                  <w:vAlign w:val="center"/>
                </w:tcPr>
                <w:p w14:paraId="214D7D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核算排放浓度</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1613" w:type="dxa"/>
                  <w:vAlign w:val="center"/>
                </w:tcPr>
                <w:p w14:paraId="7814CF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核算排放速率</w:t>
                  </w:r>
                </w:p>
                <w:p w14:paraId="3506BD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val="en-US" w:eastAsia="zh-CN"/>
                    </w:rPr>
                    <w:t>kg/h</w:t>
                  </w:r>
                </w:p>
              </w:tc>
              <w:tc>
                <w:tcPr>
                  <w:tcW w:w="1187" w:type="dxa"/>
                  <w:vAlign w:val="center"/>
                </w:tcPr>
                <w:p w14:paraId="1B5AD8E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年排放量</w:t>
                  </w:r>
                  <w:r>
                    <w:rPr>
                      <w:rFonts w:hint="eastAsia" w:cs="Times New Roman"/>
                      <w:color w:val="auto"/>
                      <w:sz w:val="21"/>
                      <w:szCs w:val="21"/>
                      <w:highlight w:val="none"/>
                      <w:vertAlign w:val="baseline"/>
                      <w:lang w:val="en-US" w:eastAsia="zh-CN"/>
                    </w:rPr>
                    <w:t>（t/a）</w:t>
                  </w:r>
                </w:p>
              </w:tc>
            </w:tr>
            <w:tr w14:paraId="03D47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12" w:type="dxa"/>
                  <w:gridSpan w:val="6"/>
                  <w:vAlign w:val="center"/>
                </w:tcPr>
                <w:p w14:paraId="10DE32F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主要排放口</w:t>
                  </w:r>
                </w:p>
              </w:tc>
            </w:tr>
            <w:tr w14:paraId="3892A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restart"/>
                  <w:vAlign w:val="center"/>
                </w:tcPr>
                <w:p w14:paraId="75B221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2308" w:type="dxa"/>
                  <w:vMerge w:val="restart"/>
                  <w:shd w:val="clear" w:color="auto" w:fill="auto"/>
                  <w:vAlign w:val="center"/>
                </w:tcPr>
                <w:p w14:paraId="6A3A0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炭化烟气</w:t>
                  </w:r>
                  <w:r>
                    <w:rPr>
                      <w:rFonts w:hint="eastAsia" w:cs="Times New Roman"/>
                      <w:i w:val="0"/>
                      <w:color w:val="auto"/>
                      <w:kern w:val="0"/>
                      <w:sz w:val="21"/>
                      <w:szCs w:val="21"/>
                      <w:highlight w:val="none"/>
                      <w:u w:val="none"/>
                      <w:lang w:val="en-US" w:eastAsia="zh-CN" w:bidi="ar"/>
                    </w:rPr>
                    <w:t>DA001</w:t>
                  </w:r>
                </w:p>
              </w:tc>
              <w:tc>
                <w:tcPr>
                  <w:tcW w:w="1289" w:type="dxa"/>
                  <w:vAlign w:val="center"/>
                </w:tcPr>
                <w:p w14:paraId="6D474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391" w:type="dxa"/>
                  <w:vAlign w:val="center"/>
                </w:tcPr>
                <w:p w14:paraId="3283A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5.8</w:t>
                  </w:r>
                </w:p>
              </w:tc>
              <w:tc>
                <w:tcPr>
                  <w:tcW w:w="1613" w:type="dxa"/>
                  <w:vAlign w:val="center"/>
                </w:tcPr>
                <w:p w14:paraId="668A5E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0.164</w:t>
                  </w:r>
                </w:p>
              </w:tc>
              <w:tc>
                <w:tcPr>
                  <w:tcW w:w="1187" w:type="dxa"/>
                  <w:vAlign w:val="center"/>
                </w:tcPr>
                <w:p w14:paraId="37C8A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1.179</w:t>
                  </w:r>
                </w:p>
              </w:tc>
            </w:tr>
            <w:tr w14:paraId="2C1B38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continue"/>
                  <w:vAlign w:val="center"/>
                </w:tcPr>
                <w:p w14:paraId="2C555D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14:paraId="555544C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14:paraId="1F9EA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91" w:type="dxa"/>
                  <w:vAlign w:val="center"/>
                </w:tcPr>
                <w:p w14:paraId="0085E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47.582</w:t>
                  </w:r>
                </w:p>
              </w:tc>
              <w:tc>
                <w:tcPr>
                  <w:tcW w:w="1613" w:type="dxa"/>
                  <w:vAlign w:val="center"/>
                </w:tcPr>
                <w:p w14:paraId="74286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1.344</w:t>
                  </w:r>
                </w:p>
              </w:tc>
              <w:tc>
                <w:tcPr>
                  <w:tcW w:w="1187" w:type="dxa"/>
                  <w:vAlign w:val="center"/>
                </w:tcPr>
                <w:p w14:paraId="64061F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9.6768</w:t>
                  </w:r>
                </w:p>
              </w:tc>
            </w:tr>
            <w:tr w14:paraId="393C2C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continue"/>
                  <w:vAlign w:val="center"/>
                </w:tcPr>
                <w:p w14:paraId="7619C1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14:paraId="0B554BA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14:paraId="0CEDE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391" w:type="dxa"/>
                  <w:vAlign w:val="center"/>
                </w:tcPr>
                <w:p w14:paraId="32FE8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130.94</w:t>
                  </w:r>
                </w:p>
              </w:tc>
              <w:tc>
                <w:tcPr>
                  <w:tcW w:w="1613" w:type="dxa"/>
                  <w:vAlign w:val="center"/>
                </w:tcPr>
                <w:p w14:paraId="7AC10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3.6984</w:t>
                  </w:r>
                </w:p>
              </w:tc>
              <w:tc>
                <w:tcPr>
                  <w:tcW w:w="1187" w:type="dxa"/>
                  <w:vAlign w:val="center"/>
                </w:tcPr>
                <w:p w14:paraId="6386E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26.6292</w:t>
                  </w:r>
                </w:p>
              </w:tc>
            </w:tr>
            <w:tr w14:paraId="179D81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restart"/>
                  <w:vAlign w:val="center"/>
                </w:tcPr>
                <w:p w14:paraId="571A81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2308" w:type="dxa"/>
                  <w:vMerge w:val="restart"/>
                  <w:shd w:val="clear" w:color="auto" w:fill="auto"/>
                  <w:vAlign w:val="center"/>
                </w:tcPr>
                <w:p w14:paraId="2E62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炭化烟气</w:t>
                  </w:r>
                  <w:r>
                    <w:rPr>
                      <w:rFonts w:hint="eastAsia" w:cs="Times New Roman"/>
                      <w:i w:val="0"/>
                      <w:color w:val="auto"/>
                      <w:kern w:val="0"/>
                      <w:sz w:val="21"/>
                      <w:szCs w:val="21"/>
                      <w:highlight w:val="none"/>
                      <w:u w:val="none"/>
                      <w:lang w:val="en-US" w:eastAsia="zh-CN" w:bidi="ar"/>
                    </w:rPr>
                    <w:t>DA002</w:t>
                  </w:r>
                </w:p>
              </w:tc>
              <w:tc>
                <w:tcPr>
                  <w:tcW w:w="1289" w:type="dxa"/>
                  <w:vAlign w:val="center"/>
                </w:tcPr>
                <w:p w14:paraId="6FC29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391" w:type="dxa"/>
                  <w:vAlign w:val="center"/>
                </w:tcPr>
                <w:p w14:paraId="39242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5.8</w:t>
                  </w:r>
                </w:p>
              </w:tc>
              <w:tc>
                <w:tcPr>
                  <w:tcW w:w="1613" w:type="dxa"/>
                  <w:vAlign w:val="center"/>
                </w:tcPr>
                <w:p w14:paraId="25D94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0.655</w:t>
                  </w:r>
                </w:p>
              </w:tc>
              <w:tc>
                <w:tcPr>
                  <w:tcW w:w="1187" w:type="dxa"/>
                  <w:vAlign w:val="center"/>
                </w:tcPr>
                <w:p w14:paraId="767CA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4.716</w:t>
                  </w:r>
                </w:p>
              </w:tc>
            </w:tr>
            <w:tr w14:paraId="0D9D9A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continue"/>
                  <w:vAlign w:val="center"/>
                </w:tcPr>
                <w:p w14:paraId="6556D07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14:paraId="24E134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14:paraId="69FE7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91" w:type="dxa"/>
                  <w:vAlign w:val="center"/>
                </w:tcPr>
                <w:p w14:paraId="03438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47.582</w:t>
                  </w:r>
                </w:p>
              </w:tc>
              <w:tc>
                <w:tcPr>
                  <w:tcW w:w="1613" w:type="dxa"/>
                  <w:vAlign w:val="center"/>
                </w:tcPr>
                <w:p w14:paraId="1A391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5.376</w:t>
                  </w:r>
                </w:p>
              </w:tc>
              <w:tc>
                <w:tcPr>
                  <w:tcW w:w="1187" w:type="dxa"/>
                  <w:vAlign w:val="center"/>
                </w:tcPr>
                <w:p w14:paraId="7E681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38.7072</w:t>
                  </w:r>
                </w:p>
              </w:tc>
            </w:tr>
            <w:tr w14:paraId="0AA884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Merge w:val="continue"/>
                  <w:vAlign w:val="center"/>
                </w:tcPr>
                <w:p w14:paraId="6D78DC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14:paraId="6D3D29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14:paraId="44E26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391" w:type="dxa"/>
                  <w:vAlign w:val="center"/>
                </w:tcPr>
                <w:p w14:paraId="30EFEA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130.94</w:t>
                  </w:r>
                </w:p>
              </w:tc>
              <w:tc>
                <w:tcPr>
                  <w:tcW w:w="1613" w:type="dxa"/>
                  <w:vAlign w:val="center"/>
                </w:tcPr>
                <w:p w14:paraId="33BB62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14.794</w:t>
                  </w:r>
                </w:p>
              </w:tc>
              <w:tc>
                <w:tcPr>
                  <w:tcW w:w="1187" w:type="dxa"/>
                  <w:vAlign w:val="center"/>
                </w:tcPr>
                <w:p w14:paraId="36B1A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106.5168</w:t>
                  </w:r>
                </w:p>
              </w:tc>
            </w:tr>
            <w:tr w14:paraId="1FE91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restart"/>
                  <w:vAlign w:val="center"/>
                </w:tcPr>
                <w:p w14:paraId="19016B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主要排放口合计</w:t>
                  </w:r>
                </w:p>
              </w:tc>
              <w:tc>
                <w:tcPr>
                  <w:tcW w:w="4293" w:type="dxa"/>
                  <w:gridSpan w:val="3"/>
                  <w:vAlign w:val="center"/>
                </w:tcPr>
                <w:p w14:paraId="5A37C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187" w:type="dxa"/>
                  <w:vAlign w:val="center"/>
                </w:tcPr>
                <w:p w14:paraId="5117CF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5.895</w:t>
                  </w:r>
                </w:p>
              </w:tc>
            </w:tr>
            <w:tr w14:paraId="0167D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continue"/>
                  <w:vAlign w:val="center"/>
                </w:tcPr>
                <w:p w14:paraId="24E78B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14:paraId="680D6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187" w:type="dxa"/>
                  <w:vAlign w:val="center"/>
                </w:tcPr>
                <w:p w14:paraId="49CC77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48.384</w:t>
                  </w:r>
                </w:p>
              </w:tc>
            </w:tr>
            <w:tr w14:paraId="665977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continue"/>
                  <w:vAlign w:val="center"/>
                </w:tcPr>
                <w:p w14:paraId="7735F98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14:paraId="2EB7F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187" w:type="dxa"/>
                  <w:vAlign w:val="center"/>
                </w:tcPr>
                <w:p w14:paraId="5814729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133.146</w:t>
                  </w:r>
                </w:p>
              </w:tc>
            </w:tr>
            <w:tr w14:paraId="25ED3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12" w:type="dxa"/>
                  <w:gridSpan w:val="6"/>
                  <w:vAlign w:val="center"/>
                </w:tcPr>
                <w:p w14:paraId="4B49B49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一般排放口</w:t>
                  </w:r>
                </w:p>
              </w:tc>
            </w:tr>
            <w:tr w14:paraId="3A6B9C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24" w:type="dxa"/>
                  <w:vAlign w:val="center"/>
                </w:tcPr>
                <w:p w14:paraId="1719FEB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2308" w:type="dxa"/>
                  <w:shd w:val="clear" w:color="auto" w:fill="auto"/>
                  <w:vAlign w:val="center"/>
                </w:tcPr>
                <w:p w14:paraId="64672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制炭废气DA003</w:t>
                  </w:r>
                </w:p>
              </w:tc>
              <w:tc>
                <w:tcPr>
                  <w:tcW w:w="1289" w:type="dxa"/>
                  <w:vAlign w:val="center"/>
                </w:tcPr>
                <w:p w14:paraId="774BC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颗粒物</w:t>
                  </w:r>
                </w:p>
              </w:tc>
              <w:tc>
                <w:tcPr>
                  <w:tcW w:w="1391" w:type="dxa"/>
                  <w:vAlign w:val="center"/>
                </w:tcPr>
                <w:p w14:paraId="77DD16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0.81</w:t>
                  </w:r>
                </w:p>
              </w:tc>
              <w:tc>
                <w:tcPr>
                  <w:tcW w:w="1613" w:type="dxa"/>
                  <w:vAlign w:val="center"/>
                </w:tcPr>
                <w:p w14:paraId="5E0C7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0.008</w:t>
                  </w:r>
                </w:p>
              </w:tc>
              <w:tc>
                <w:tcPr>
                  <w:tcW w:w="1187" w:type="dxa"/>
                  <w:vAlign w:val="center"/>
                </w:tcPr>
                <w:p w14:paraId="742CB82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0.058</w:t>
                  </w:r>
                </w:p>
              </w:tc>
            </w:tr>
            <w:tr w14:paraId="586C5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Align w:val="center"/>
                </w:tcPr>
                <w:p w14:paraId="6FBA25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一般排放口合计</w:t>
                  </w:r>
                </w:p>
              </w:tc>
              <w:tc>
                <w:tcPr>
                  <w:tcW w:w="4293" w:type="dxa"/>
                  <w:gridSpan w:val="3"/>
                  <w:vAlign w:val="center"/>
                </w:tcPr>
                <w:p w14:paraId="01CED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颗粒物</w:t>
                  </w:r>
                </w:p>
              </w:tc>
              <w:tc>
                <w:tcPr>
                  <w:tcW w:w="1187" w:type="dxa"/>
                  <w:vAlign w:val="center"/>
                </w:tcPr>
                <w:p w14:paraId="1FBAF0A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0.058</w:t>
                  </w:r>
                </w:p>
              </w:tc>
            </w:tr>
            <w:tr w14:paraId="11B5C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312" w:type="dxa"/>
                  <w:gridSpan w:val="6"/>
                  <w:vAlign w:val="center"/>
                </w:tcPr>
                <w:p w14:paraId="7A0A4A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有组织排放总计</w:t>
                  </w:r>
                </w:p>
              </w:tc>
            </w:tr>
            <w:tr w14:paraId="263A4B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restart"/>
                  <w:vAlign w:val="center"/>
                </w:tcPr>
                <w:p w14:paraId="26BA9B5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有组织排放总计</w:t>
                  </w:r>
                </w:p>
              </w:tc>
              <w:tc>
                <w:tcPr>
                  <w:tcW w:w="4293" w:type="dxa"/>
                  <w:gridSpan w:val="3"/>
                  <w:vAlign w:val="center"/>
                </w:tcPr>
                <w:p w14:paraId="26D1C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187" w:type="dxa"/>
                  <w:vAlign w:val="center"/>
                </w:tcPr>
                <w:p w14:paraId="39FBF80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5.953</w:t>
                  </w:r>
                </w:p>
              </w:tc>
            </w:tr>
            <w:tr w14:paraId="485B2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continue"/>
                  <w:vAlign w:val="center"/>
                </w:tcPr>
                <w:p w14:paraId="3E1E42C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14:paraId="16E5B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187" w:type="dxa"/>
                  <w:vAlign w:val="center"/>
                </w:tcPr>
                <w:p w14:paraId="664A7E4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48.384</w:t>
                  </w:r>
                </w:p>
              </w:tc>
            </w:tr>
            <w:tr w14:paraId="7D6605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32" w:type="dxa"/>
                  <w:gridSpan w:val="2"/>
                  <w:vMerge w:val="continue"/>
                  <w:vAlign w:val="center"/>
                </w:tcPr>
                <w:p w14:paraId="5D53482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14:paraId="29786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187" w:type="dxa"/>
                  <w:vAlign w:val="center"/>
                </w:tcPr>
                <w:p w14:paraId="4C27281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133.146</w:t>
                  </w:r>
                </w:p>
              </w:tc>
            </w:tr>
          </w:tbl>
          <w:p w14:paraId="144D56A6">
            <w:pPr>
              <w:pStyle w:val="102"/>
              <w:keepNext w:val="0"/>
              <w:keepLines w:val="0"/>
              <w:suppressLineNumbers w:val="0"/>
              <w:spacing w:before="0" w:beforeAutospacing="0" w:after="0" w:afterAutospacing="0" w:line="240" w:lineRule="auto"/>
              <w:ind w:left="0" w:right="0" w:firstLine="420"/>
              <w:rPr>
                <w:rFonts w:hint="default" w:eastAsia="黑体"/>
                <w:color w:val="auto"/>
                <w:sz w:val="21"/>
                <w:szCs w:val="21"/>
              </w:rPr>
            </w:pPr>
            <w:r>
              <w:rPr>
                <w:rFonts w:hint="eastAsia" w:eastAsia="黑体"/>
                <w:color w:val="auto"/>
                <w:sz w:val="21"/>
                <w:szCs w:val="21"/>
              </w:rPr>
              <w:t>表</w:t>
            </w:r>
            <w:r>
              <w:rPr>
                <w:rFonts w:hint="eastAsia" w:eastAsia="黑体"/>
                <w:color w:val="auto"/>
                <w:sz w:val="21"/>
                <w:szCs w:val="21"/>
                <w:lang w:val="en-US" w:eastAsia="zh-CN"/>
              </w:rPr>
              <w:t>4-16</w:t>
            </w:r>
            <w:r>
              <w:rPr>
                <w:rFonts w:hint="eastAsia"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rPr>
              <w:t>大气污染物无组织排放量核算表</w:t>
            </w:r>
          </w:p>
          <w:tbl>
            <w:tblPr>
              <w:tblStyle w:val="23"/>
              <w:tblW w:w="83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72"/>
              <w:gridCol w:w="914"/>
              <w:gridCol w:w="14"/>
              <w:gridCol w:w="1723"/>
              <w:gridCol w:w="2041"/>
              <w:gridCol w:w="1117"/>
              <w:gridCol w:w="943"/>
            </w:tblGrid>
            <w:tr w14:paraId="24CED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8" w:type="dxa"/>
                  <w:vMerge w:val="restart"/>
                  <w:vAlign w:val="center"/>
                </w:tcPr>
                <w:p w14:paraId="58821F57">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序号</w:t>
                  </w:r>
                </w:p>
              </w:tc>
              <w:tc>
                <w:tcPr>
                  <w:tcW w:w="872" w:type="dxa"/>
                  <w:vMerge w:val="restart"/>
                  <w:vAlign w:val="center"/>
                </w:tcPr>
                <w:p w14:paraId="38EA41CA">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产污环节</w:t>
                  </w:r>
                </w:p>
              </w:tc>
              <w:tc>
                <w:tcPr>
                  <w:tcW w:w="928" w:type="dxa"/>
                  <w:gridSpan w:val="2"/>
                  <w:vMerge w:val="restart"/>
                  <w:vAlign w:val="center"/>
                </w:tcPr>
                <w:p w14:paraId="3FDEE96B">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污染物</w:t>
                  </w:r>
                </w:p>
              </w:tc>
              <w:tc>
                <w:tcPr>
                  <w:tcW w:w="1723" w:type="dxa"/>
                  <w:vMerge w:val="restart"/>
                  <w:vAlign w:val="center"/>
                </w:tcPr>
                <w:p w14:paraId="210FAB12">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主要防治措施</w:t>
                  </w:r>
                </w:p>
              </w:tc>
              <w:tc>
                <w:tcPr>
                  <w:tcW w:w="3158" w:type="dxa"/>
                  <w:gridSpan w:val="2"/>
                  <w:vAlign w:val="center"/>
                </w:tcPr>
                <w:p w14:paraId="6A54C541">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国家或地方污染物排放标准</w:t>
                  </w:r>
                </w:p>
              </w:tc>
              <w:tc>
                <w:tcPr>
                  <w:tcW w:w="943" w:type="dxa"/>
                  <w:vMerge w:val="restart"/>
                  <w:vAlign w:val="center"/>
                </w:tcPr>
                <w:p w14:paraId="656FA3BF">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年排放量（t/a）</w:t>
                  </w:r>
                </w:p>
              </w:tc>
            </w:tr>
            <w:tr w14:paraId="21AB2A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8" w:type="dxa"/>
                  <w:vMerge w:val="continue"/>
                  <w:vAlign w:val="center"/>
                </w:tcPr>
                <w:p w14:paraId="336D3F18">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872" w:type="dxa"/>
                  <w:vMerge w:val="continue"/>
                  <w:vAlign w:val="center"/>
                </w:tcPr>
                <w:p w14:paraId="3C7A08BE">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928" w:type="dxa"/>
                  <w:gridSpan w:val="2"/>
                  <w:vMerge w:val="continue"/>
                  <w:vAlign w:val="center"/>
                </w:tcPr>
                <w:p w14:paraId="27C7AFAF">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1723" w:type="dxa"/>
                  <w:vMerge w:val="continue"/>
                  <w:vAlign w:val="center"/>
                </w:tcPr>
                <w:p w14:paraId="435B5C3A">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2041" w:type="dxa"/>
                  <w:vAlign w:val="center"/>
                </w:tcPr>
                <w:p w14:paraId="77BE24C5">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标准名称</w:t>
                  </w:r>
                </w:p>
              </w:tc>
              <w:tc>
                <w:tcPr>
                  <w:tcW w:w="1117" w:type="dxa"/>
                  <w:vAlign w:val="center"/>
                </w:tcPr>
                <w:p w14:paraId="47A78BC1">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浓度限值（mg/m</w:t>
                  </w:r>
                  <w:r>
                    <w:rPr>
                      <w:rFonts w:hint="default"/>
                      <w:color w:val="auto"/>
                      <w:kern w:val="0"/>
                      <w:sz w:val="21"/>
                      <w:szCs w:val="21"/>
                      <w:vertAlign w:val="superscript"/>
                    </w:rPr>
                    <w:t>3</w:t>
                  </w:r>
                  <w:r>
                    <w:rPr>
                      <w:rFonts w:hint="default"/>
                      <w:color w:val="auto"/>
                      <w:kern w:val="0"/>
                      <w:sz w:val="21"/>
                      <w:szCs w:val="21"/>
                    </w:rPr>
                    <w:t>）</w:t>
                  </w:r>
                </w:p>
              </w:tc>
              <w:tc>
                <w:tcPr>
                  <w:tcW w:w="943" w:type="dxa"/>
                  <w:vMerge w:val="continue"/>
                  <w:vAlign w:val="center"/>
                </w:tcPr>
                <w:p w14:paraId="68FDD628">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r>
            <w:tr w14:paraId="472C4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8" w:type="dxa"/>
                  <w:vAlign w:val="center"/>
                </w:tcPr>
                <w:p w14:paraId="0F05917D">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1</w:t>
                  </w:r>
                </w:p>
              </w:tc>
              <w:tc>
                <w:tcPr>
                  <w:tcW w:w="872" w:type="dxa"/>
                  <w:vAlign w:val="center"/>
                </w:tcPr>
                <w:p w14:paraId="650A65A2">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上料车间</w:t>
                  </w:r>
                </w:p>
              </w:tc>
              <w:tc>
                <w:tcPr>
                  <w:tcW w:w="928" w:type="dxa"/>
                  <w:gridSpan w:val="2"/>
                  <w:vAlign w:val="center"/>
                </w:tcPr>
                <w:p w14:paraId="1AD25C9C">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颗粒物</w:t>
                  </w:r>
                </w:p>
              </w:tc>
              <w:tc>
                <w:tcPr>
                  <w:tcW w:w="1723" w:type="dxa"/>
                  <w:vAlign w:val="center"/>
                </w:tcPr>
                <w:p w14:paraId="3B7D50D9">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上料斗均配备小型滤筒式除尘器、厂房加强通风</w:t>
                  </w:r>
                </w:p>
              </w:tc>
              <w:tc>
                <w:tcPr>
                  <w:tcW w:w="2041" w:type="dxa"/>
                  <w:vMerge w:val="restart"/>
                  <w:vAlign w:val="center"/>
                </w:tcPr>
                <w:p w14:paraId="0D610053">
                  <w:pPr>
                    <w:pStyle w:val="2"/>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outlineLvl w:val="9"/>
                    <w:rPr>
                      <w:rFonts w:hint="default" w:ascii="Times New Roman" w:cs="Times New Roman"/>
                      <w:color w:val="auto"/>
                      <w:sz w:val="21"/>
                      <w:szCs w:val="21"/>
                      <w:highlight w:val="none"/>
                    </w:rPr>
                  </w:pPr>
                  <w:r>
                    <w:rPr>
                      <w:rFonts w:hint="default" w:ascii="Times New Roman" w:cs="Times New Roman"/>
                      <w:color w:val="auto"/>
                      <w:sz w:val="21"/>
                      <w:szCs w:val="21"/>
                      <w:highlight w:val="none"/>
                    </w:rPr>
                    <w:t>《大气污染物综合排放标准》（GB16297-1996）表2相关标准要求</w:t>
                  </w:r>
                </w:p>
              </w:tc>
              <w:tc>
                <w:tcPr>
                  <w:tcW w:w="1117" w:type="dxa"/>
                  <w:vMerge w:val="restart"/>
                  <w:vAlign w:val="center"/>
                </w:tcPr>
                <w:p w14:paraId="0584EB6F">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default"/>
                      <w:color w:val="auto"/>
                      <w:kern w:val="0"/>
                      <w:sz w:val="21"/>
                      <w:szCs w:val="21"/>
                      <w:highlight w:val="none"/>
                    </w:rPr>
                    <w:t>1.0</w:t>
                  </w:r>
                </w:p>
              </w:tc>
              <w:tc>
                <w:tcPr>
                  <w:tcW w:w="943" w:type="dxa"/>
                  <w:vAlign w:val="center"/>
                </w:tcPr>
                <w:p w14:paraId="2130DAA1">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9.97</w:t>
                  </w:r>
                </w:p>
              </w:tc>
            </w:tr>
            <w:tr w14:paraId="6ECEB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8" w:type="dxa"/>
                  <w:vAlign w:val="center"/>
                </w:tcPr>
                <w:p w14:paraId="6E9289CF">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2</w:t>
                  </w:r>
                </w:p>
              </w:tc>
              <w:tc>
                <w:tcPr>
                  <w:tcW w:w="872" w:type="dxa"/>
                  <w:vAlign w:val="center"/>
                </w:tcPr>
                <w:p w14:paraId="6C8E0E18">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机制炭车间</w:t>
                  </w:r>
                </w:p>
              </w:tc>
              <w:tc>
                <w:tcPr>
                  <w:tcW w:w="928" w:type="dxa"/>
                  <w:gridSpan w:val="2"/>
                  <w:vAlign w:val="center"/>
                </w:tcPr>
                <w:p w14:paraId="34705BAE">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颗粒物</w:t>
                  </w:r>
                </w:p>
              </w:tc>
              <w:tc>
                <w:tcPr>
                  <w:tcW w:w="1723" w:type="dxa"/>
                  <w:vAlign w:val="center"/>
                </w:tcPr>
                <w:p w14:paraId="3348DE3F">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产尘点设置集气设施，厂房加强通风</w:t>
                  </w:r>
                </w:p>
              </w:tc>
              <w:tc>
                <w:tcPr>
                  <w:tcW w:w="2041" w:type="dxa"/>
                  <w:vMerge w:val="continue"/>
                  <w:vAlign w:val="center"/>
                </w:tcPr>
                <w:p w14:paraId="23E56AFB">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p>
              </w:tc>
              <w:tc>
                <w:tcPr>
                  <w:tcW w:w="1117" w:type="dxa"/>
                  <w:vMerge w:val="continue"/>
                  <w:vAlign w:val="center"/>
                </w:tcPr>
                <w:p w14:paraId="43E5E993">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p>
              </w:tc>
              <w:tc>
                <w:tcPr>
                  <w:tcW w:w="943" w:type="dxa"/>
                  <w:vAlign w:val="center"/>
                </w:tcPr>
                <w:p w14:paraId="1CD39C1B">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6.48</w:t>
                  </w:r>
                </w:p>
              </w:tc>
            </w:tr>
            <w:tr w14:paraId="4DE05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12" w:type="dxa"/>
                  <w:gridSpan w:val="8"/>
                  <w:vAlign w:val="center"/>
                </w:tcPr>
                <w:p w14:paraId="50F4F856">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default"/>
                      <w:color w:val="auto"/>
                      <w:kern w:val="0"/>
                      <w:sz w:val="21"/>
                      <w:szCs w:val="21"/>
                      <w:highlight w:val="none"/>
                    </w:rPr>
                    <w:t>无组织排放总计</w:t>
                  </w:r>
                </w:p>
              </w:tc>
            </w:tr>
            <w:tr w14:paraId="555BF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74" w:type="dxa"/>
                  <w:gridSpan w:val="3"/>
                  <w:vAlign w:val="center"/>
                </w:tcPr>
                <w:p w14:paraId="72B05284">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无组织排放总计</w:t>
                  </w:r>
                </w:p>
              </w:tc>
              <w:tc>
                <w:tcPr>
                  <w:tcW w:w="4895" w:type="dxa"/>
                  <w:gridSpan w:val="4"/>
                  <w:vAlign w:val="center"/>
                </w:tcPr>
                <w:p w14:paraId="759FA4B0">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eastAsia"/>
                      <w:color w:val="auto"/>
                      <w:kern w:val="0"/>
                      <w:sz w:val="21"/>
                      <w:szCs w:val="21"/>
                      <w:highlight w:val="none"/>
                    </w:rPr>
                    <w:t>颗粒物</w:t>
                  </w:r>
                </w:p>
              </w:tc>
              <w:tc>
                <w:tcPr>
                  <w:tcW w:w="943" w:type="dxa"/>
                  <w:vAlign w:val="center"/>
                </w:tcPr>
                <w:p w14:paraId="1AFB0871">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16.45</w:t>
                  </w:r>
                </w:p>
              </w:tc>
            </w:tr>
          </w:tbl>
          <w:p w14:paraId="4908C3AC">
            <w:pPr>
              <w:pStyle w:val="77"/>
              <w:keepNext w:val="0"/>
              <w:keepLines w:val="0"/>
              <w:suppressLineNumbers w:val="0"/>
              <w:spacing w:before="120" w:beforeAutospacing="0" w:after="0" w:afterAutospacing="0"/>
              <w:ind w:left="0" w:right="0" w:firstLine="525"/>
              <w:rPr>
                <w:rFonts w:hint="default"/>
                <w:color w:val="auto"/>
              </w:rPr>
            </w:pPr>
            <w:r>
              <w:rPr>
                <w:rFonts w:hint="eastAsia"/>
                <w:color w:val="auto"/>
              </w:rPr>
              <w:t>表</w:t>
            </w:r>
            <w:r>
              <w:rPr>
                <w:rFonts w:hint="eastAsia"/>
                <w:color w:val="auto"/>
                <w:lang w:val="en-US" w:eastAsia="zh-CN"/>
              </w:rPr>
              <w:t>4-17</w:t>
            </w:r>
            <w:r>
              <w:rPr>
                <w:rFonts w:hint="eastAsia"/>
                <w:color w:val="auto"/>
              </w:rPr>
              <w:t xml:space="preserve">              </w:t>
            </w:r>
            <w:r>
              <w:rPr>
                <w:rFonts w:hint="eastAsia"/>
                <w:color w:val="auto"/>
                <w:lang w:val="en-US" w:eastAsia="zh-CN"/>
              </w:rPr>
              <w:t xml:space="preserve">    </w:t>
            </w:r>
            <w:r>
              <w:rPr>
                <w:rFonts w:hint="eastAsia"/>
                <w:color w:val="auto"/>
              </w:rPr>
              <w:t>大气污染物年排放量核算表</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2770"/>
              <w:gridCol w:w="2771"/>
            </w:tblGrid>
            <w:tr w14:paraId="46D787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1" w:type="dxa"/>
                  <w:vAlign w:val="center"/>
                </w:tcPr>
                <w:p w14:paraId="53FB4345">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770" w:type="dxa"/>
                  <w:vAlign w:val="center"/>
                </w:tcPr>
                <w:p w14:paraId="6AD2BC9B">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2771" w:type="dxa"/>
                  <w:vAlign w:val="center"/>
                </w:tcPr>
                <w:p w14:paraId="66193466">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年排放量（t/a）</w:t>
                  </w:r>
                </w:p>
              </w:tc>
            </w:tr>
            <w:tr w14:paraId="134331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1" w:type="dxa"/>
                  <w:vAlign w:val="center"/>
                </w:tcPr>
                <w:p w14:paraId="4ADFE63D">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770" w:type="dxa"/>
                  <w:vAlign w:val="center"/>
                </w:tcPr>
                <w:p w14:paraId="7AF6A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颗粒物</w:t>
                  </w:r>
                </w:p>
              </w:tc>
              <w:tc>
                <w:tcPr>
                  <w:tcW w:w="2771" w:type="dxa"/>
                  <w:vAlign w:val="center"/>
                </w:tcPr>
                <w:p w14:paraId="5869A8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22.403</w:t>
                  </w:r>
                </w:p>
              </w:tc>
            </w:tr>
            <w:tr w14:paraId="761DF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1" w:type="dxa"/>
                  <w:vAlign w:val="center"/>
                </w:tcPr>
                <w:p w14:paraId="628098D6">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770" w:type="dxa"/>
                  <w:vAlign w:val="center"/>
                </w:tcPr>
                <w:p w14:paraId="24B3A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2771" w:type="dxa"/>
                  <w:vAlign w:val="center"/>
                </w:tcPr>
                <w:p w14:paraId="49DAA1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48.384</w:t>
                  </w:r>
                </w:p>
              </w:tc>
            </w:tr>
            <w:tr w14:paraId="7A3D2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1" w:type="dxa"/>
                  <w:vAlign w:val="center"/>
                </w:tcPr>
                <w:p w14:paraId="48725FCB">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770" w:type="dxa"/>
                  <w:vAlign w:val="center"/>
                </w:tcPr>
                <w:p w14:paraId="3F228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NOx</w:t>
                  </w:r>
                </w:p>
              </w:tc>
              <w:tc>
                <w:tcPr>
                  <w:tcW w:w="2771" w:type="dxa"/>
                  <w:vAlign w:val="center"/>
                </w:tcPr>
                <w:p w14:paraId="51349A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133.146</w:t>
                  </w:r>
                </w:p>
              </w:tc>
            </w:tr>
          </w:tbl>
          <w:p w14:paraId="4B862F5E">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）大气环境防护距离</w:t>
            </w:r>
          </w:p>
          <w:p w14:paraId="51CFD48F">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根据估算结果显示，项目无组织颗粒物最大落地浓度均远小于《环境空气质量标准》（GB3095-2012）二级标准，不需要设置大气环境防护距离。</w:t>
            </w:r>
          </w:p>
          <w:p w14:paraId="183CCF80">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）大气环境影响分析结论</w:t>
            </w:r>
          </w:p>
          <w:p w14:paraId="26D4C772">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eastAsia="zh-CN"/>
              </w:rPr>
              <w:t>项目废气污染治理措施均采取了污染防治可行技术指南、排污许可技术规范中的可行技术，各项废气在采取相应的环境保护措施后可以做到达标排放，项目部设置大气环境防护距离，对周边大气环境敏感目标的影响有限。项目严格落实了总量控制倍量替代措施。故评价认为，即使项目所在玛纳斯县为环境空气质量非达标区，项目的建设对周边大气环境的影响是可以接受的。</w:t>
            </w:r>
          </w:p>
          <w:p w14:paraId="766F31DD">
            <w:pPr>
              <w:tabs>
                <w:tab w:val="center" w:pos="4736"/>
              </w:tabs>
              <w:spacing w:line="360" w:lineRule="auto"/>
              <w:ind w:firstLine="482" w:firstLineChars="200"/>
              <w:jc w:val="left"/>
              <w:rPr>
                <w:b/>
                <w:color w:val="auto"/>
                <w:sz w:val="24"/>
              </w:rPr>
            </w:pPr>
            <w:r>
              <w:rPr>
                <w:rFonts w:hint="eastAsia"/>
                <w:b/>
                <w:color w:val="auto"/>
                <w:sz w:val="24"/>
                <w:lang w:eastAsia="zh-CN"/>
              </w:rPr>
              <w:t>二、废水</w:t>
            </w:r>
          </w:p>
          <w:p w14:paraId="292CE888">
            <w:pPr>
              <w:keepNext w:val="0"/>
              <w:keepLines w:val="0"/>
              <w:suppressLineNumbers w:val="0"/>
              <w:shd w:val="clear"/>
              <w:spacing w:before="0" w:beforeAutospacing="0" w:after="0" w:afterAutospacing="0" w:line="360" w:lineRule="auto"/>
              <w:ind w:left="0" w:right="0" w:firstLine="480"/>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1、废水产生量及处置措施</w:t>
            </w:r>
          </w:p>
          <w:p w14:paraId="2D749CCA">
            <w:pPr>
              <w:keepNext w:val="0"/>
              <w:keepLines w:val="0"/>
              <w:suppressLineNumbers w:val="0"/>
              <w:shd w:val="clear"/>
              <w:spacing w:before="0" w:beforeAutospacing="0" w:after="0" w:afterAutospacing="0" w:line="360" w:lineRule="auto"/>
              <w:ind w:left="0" w:right="0" w:firstLine="480"/>
              <w:rPr>
                <w:rFonts w:hint="eastAsia" w:ascii="Times New Roman" w:hAnsi="Times New Roman" w:cs="宋体"/>
                <w:color w:val="auto"/>
                <w:highlight w:val="none"/>
                <w:lang w:bidi="ar"/>
              </w:rPr>
            </w:pPr>
            <w:r>
              <w:rPr>
                <w:rFonts w:hint="eastAsia" w:ascii="Times New Roman" w:hAnsi="Times New Roman" w:cs="宋体"/>
                <w:color w:val="auto"/>
                <w:sz w:val="24"/>
                <w:szCs w:val="24"/>
                <w:highlight w:val="none"/>
                <w:lang w:bidi="ar"/>
              </w:rPr>
              <w:t>本项目废水主要为</w:t>
            </w:r>
            <w:r>
              <w:rPr>
                <w:rFonts w:hint="eastAsia" w:cs="宋体"/>
                <w:color w:val="auto"/>
                <w:sz w:val="24"/>
                <w:szCs w:val="24"/>
                <w:highlight w:val="none"/>
                <w:lang w:eastAsia="zh-CN" w:bidi="ar"/>
              </w:rPr>
              <w:t>蒸汽发生器定期排污水、净水装置排污水、脱硫废水及生活污水</w:t>
            </w:r>
            <w:r>
              <w:rPr>
                <w:rFonts w:hint="eastAsia" w:ascii="Times New Roman" w:hAnsi="Times New Roman" w:cs="宋体"/>
                <w:color w:val="auto"/>
                <w:sz w:val="24"/>
                <w:szCs w:val="24"/>
                <w:highlight w:val="none"/>
                <w:lang w:bidi="ar"/>
              </w:rPr>
              <w:t>。</w:t>
            </w:r>
          </w:p>
          <w:p w14:paraId="7D5D03DD">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净水装置排污水</w:t>
            </w:r>
            <w:r>
              <w:rPr>
                <w:rFonts w:hint="eastAsia" w:cs="Times New Roman"/>
                <w:color w:val="auto"/>
                <w:sz w:val="24"/>
                <w:szCs w:val="24"/>
                <w:highlight w:val="none"/>
                <w:lang w:val="en-US" w:eastAsia="zh-CN"/>
              </w:rPr>
              <w:t>W1</w:t>
            </w:r>
          </w:p>
          <w:p w14:paraId="3B7CE959">
            <w:pPr>
              <w:keepNext w:val="0"/>
              <w:keepLines w:val="0"/>
              <w:suppressLineNumbers w:val="0"/>
              <w:shd w:val="clear"/>
              <w:spacing w:before="0" w:beforeAutospacing="0" w:after="0" w:afterAutospacing="0" w:line="360" w:lineRule="auto"/>
              <w:ind w:left="0" w:right="0" w:firstLine="480"/>
              <w:rPr>
                <w:rFonts w:hint="eastAsia" w:cs="宋体"/>
                <w:bCs/>
                <w:color w:val="auto"/>
                <w:sz w:val="24"/>
                <w:szCs w:val="24"/>
                <w:lang w:bidi="en-US"/>
              </w:rPr>
            </w:pPr>
            <w:r>
              <w:rPr>
                <w:rFonts w:hint="eastAsia" w:cs="宋体"/>
                <w:bCs/>
                <w:color w:val="auto"/>
                <w:sz w:val="24"/>
                <w:szCs w:val="24"/>
                <w:lang w:eastAsia="zh-CN" w:bidi="en-US"/>
              </w:rPr>
              <w:t>项目采用离子交换法制备软水用于补充汽水系统的损失，软水制取率为</w:t>
            </w:r>
            <w:r>
              <w:rPr>
                <w:rFonts w:hint="eastAsia" w:cs="宋体"/>
                <w:bCs/>
                <w:color w:val="auto"/>
                <w:sz w:val="24"/>
                <w:szCs w:val="24"/>
                <w:lang w:val="en-US" w:eastAsia="zh-CN" w:bidi="en-US"/>
              </w:rPr>
              <w:t>80%。根据水平衡分析内容，项目汽水</w:t>
            </w:r>
            <w:r>
              <w:rPr>
                <w:rFonts w:hint="eastAsia" w:cs="Times New Roman"/>
                <w:color w:val="auto"/>
                <w:sz w:val="24"/>
                <w:szCs w:val="24"/>
                <w:highlight w:val="none"/>
                <w:lang w:eastAsia="zh-CN"/>
              </w:rPr>
              <w:t>系统损失水量为</w:t>
            </w:r>
            <w:r>
              <w:rPr>
                <w:rFonts w:hint="eastAsia" w:cs="Times New Roman"/>
                <w:color w:val="auto"/>
                <w:sz w:val="24"/>
                <w:szCs w:val="24"/>
                <w:highlight w:val="none"/>
                <w:lang w:val="en-US" w:eastAsia="zh-CN"/>
              </w:rPr>
              <w:t>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/h（冬季为</w:t>
            </w:r>
            <w:r>
              <w:rPr>
                <w:rFonts w:hint="eastAsia" w:cs="Times New Roman"/>
                <w:color w:val="auto"/>
                <w:sz w:val="24"/>
                <w:szCs w:val="24"/>
                <w:highlight w:val="none"/>
                <w:lang w:val="en-US" w:eastAsia="zh-CN"/>
              </w:rPr>
              <w:t>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/h）则</w:t>
            </w:r>
            <w:r>
              <w:rPr>
                <w:rFonts w:hint="eastAsia" w:cs="Times New Roman"/>
                <w:color w:val="auto"/>
                <w:sz w:val="24"/>
                <w:szCs w:val="24"/>
                <w:highlight w:val="none"/>
                <w:lang w:val="en-US" w:eastAsia="zh-CN"/>
              </w:rPr>
              <w:t>则净水装置排污水产生量为0.64m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（冬季0.68m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r>
              <w:rPr>
                <w:rFonts w:hint="eastAsia" w:cs="Times New Roman"/>
                <w:color w:val="auto"/>
                <w:sz w:val="24"/>
                <w:szCs w:val="24"/>
                <w:highlight w:val="none"/>
                <w:vertAlign w:val="baseline"/>
                <w:lang w:val="en-US" w:eastAsia="zh-CN"/>
              </w:rPr>
              <w:t>，全年产生量为4723.2m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/a。该废水中除总硬度指标较高外，其余指标较新鲜水无异，属于清净下水。产生后直接排入园区下水管网，进入园区污水处理厂处置</w:t>
            </w:r>
            <w:r>
              <w:rPr>
                <w:rFonts w:hint="eastAsia" w:cs="宋体"/>
                <w:bCs/>
                <w:color w:val="auto"/>
                <w:sz w:val="24"/>
                <w:szCs w:val="24"/>
                <w:lang w:bidi="en-US"/>
              </w:rPr>
              <w:t>。</w:t>
            </w:r>
          </w:p>
          <w:p w14:paraId="7CB4DBA1">
            <w:pPr>
              <w:keepNext w:val="0"/>
              <w:keepLines w:val="0"/>
              <w:suppressLineNumbers w:val="0"/>
              <w:shd w:val="clear"/>
              <w:spacing w:before="0" w:beforeAutospacing="0" w:after="0" w:afterAutospacing="0" w:line="360" w:lineRule="auto"/>
              <w:ind w:left="0" w:right="0" w:firstLine="480"/>
              <w:rPr>
                <w:rFonts w:hint="default" w:ascii="Times New Roman" w:hAnsi="Times New Roman" w:cs="宋体"/>
                <w:color w:val="auto"/>
                <w:sz w:val="24"/>
                <w:szCs w:val="24"/>
                <w:highlight w:val="none"/>
                <w:lang w:bidi="ar"/>
              </w:rPr>
            </w:pPr>
            <w:r>
              <w:rPr>
                <w:rFonts w:hint="eastAsia" w:ascii="Times New Roman" w:hAnsi="Times New Roman" w:cs="宋体"/>
                <w:color w:val="auto"/>
                <w:sz w:val="24"/>
                <w:szCs w:val="24"/>
                <w:highlight w:val="none"/>
                <w:lang w:bidi="ar"/>
              </w:rPr>
              <w:t>（</w:t>
            </w:r>
            <w:r>
              <w:rPr>
                <w:rFonts w:hint="eastAsia" w:cs="宋体"/>
                <w:color w:val="auto"/>
                <w:sz w:val="24"/>
                <w:szCs w:val="24"/>
                <w:highlight w:val="none"/>
                <w:lang w:val="en-US" w:eastAsia="zh-CN" w:bidi="ar"/>
              </w:rPr>
              <w:t>2</w:t>
            </w:r>
            <w:r>
              <w:rPr>
                <w:rFonts w:hint="eastAsia" w:ascii="Times New Roman" w:hAnsi="Times New Roman" w:cs="宋体"/>
                <w:color w:val="auto"/>
                <w:sz w:val="24"/>
                <w:szCs w:val="24"/>
                <w:highlight w:val="none"/>
                <w:lang w:bidi="ar"/>
              </w:rPr>
              <w:t>）</w:t>
            </w:r>
            <w:r>
              <w:rPr>
                <w:rFonts w:hint="eastAsia" w:cs="宋体"/>
                <w:color w:val="auto"/>
                <w:sz w:val="24"/>
                <w:szCs w:val="24"/>
                <w:highlight w:val="none"/>
                <w:lang w:eastAsia="zh-CN" w:bidi="ar"/>
              </w:rPr>
              <w:t>蒸汽发生器定期排污水</w:t>
            </w:r>
            <w:r>
              <w:rPr>
                <w:rFonts w:hint="eastAsia" w:cs="宋体"/>
                <w:color w:val="auto"/>
                <w:sz w:val="24"/>
                <w:szCs w:val="24"/>
                <w:highlight w:val="none"/>
                <w:lang w:val="en-US" w:eastAsia="zh-CN" w:bidi="ar"/>
              </w:rPr>
              <w:t>W2</w:t>
            </w:r>
          </w:p>
          <w:p w14:paraId="3379591C">
            <w:pPr>
              <w:keepNext w:val="0"/>
              <w:keepLines w:val="0"/>
              <w:suppressLineNumbers w:val="0"/>
              <w:spacing w:before="0" w:beforeAutospacing="0" w:after="0" w:afterAutospacing="0" w:line="360" w:lineRule="auto"/>
              <w:ind w:left="0" w:right="0" w:firstLine="480"/>
              <w:rPr>
                <w:rFonts w:hint="eastAsia"/>
                <w:color w:val="auto"/>
                <w:sz w:val="24"/>
                <w:szCs w:val="24"/>
                <w:lang w:eastAsia="zh-CN"/>
              </w:rPr>
            </w:pPr>
            <w:r>
              <w:rPr>
                <w:rFonts w:hint="eastAsia"/>
                <w:color w:val="auto"/>
                <w:sz w:val="24"/>
                <w:szCs w:val="24"/>
                <w:lang w:eastAsia="zh-CN"/>
              </w:rPr>
              <w:t>项目蒸汽发生器运行期间需对进水进行处理，使蒸发器内的结垢性物质转变为水渣。这些水渣在蒸发器运行期间很难被蒸汽带出，绝大部分会沉积于蒸发器中。这些杂质的存在势必会影响蒸汽品质，故项目蒸发器需定期排出底部被水渣污染的水，并以新鲜软水进行补充。</w:t>
            </w:r>
          </w:p>
          <w:p w14:paraId="145186FA">
            <w:pPr>
              <w:keepNext w:val="0"/>
              <w:keepLines w:val="0"/>
              <w:suppressLineNumbers w:val="0"/>
              <w:shd w:val="clear"/>
              <w:spacing w:before="0" w:beforeAutospacing="0" w:after="0" w:afterAutospacing="0" w:line="360" w:lineRule="auto"/>
              <w:ind w:left="0" w:right="0" w:firstLine="480"/>
              <w:rPr>
                <w:rFonts w:hint="eastAsia"/>
                <w:color w:val="auto"/>
                <w:sz w:val="24"/>
                <w:szCs w:val="24"/>
                <w:vertAlign w:val="baseline"/>
                <w:lang w:val="en-US" w:eastAsia="zh-CN"/>
              </w:rPr>
            </w:pPr>
            <w:r>
              <w:rPr>
                <w:rFonts w:hint="eastAsia"/>
                <w:color w:val="auto"/>
                <w:sz w:val="24"/>
                <w:szCs w:val="24"/>
                <w:lang w:eastAsia="zh-CN"/>
              </w:rPr>
              <w:t>根据水平衡分析章节内容，</w:t>
            </w:r>
            <w:r>
              <w:rPr>
                <w:rFonts w:hint="eastAsia"/>
                <w:color w:val="auto"/>
                <w:sz w:val="24"/>
                <w:szCs w:val="24"/>
              </w:rPr>
              <w:t>本项目</w:t>
            </w:r>
            <w:r>
              <w:rPr>
                <w:rFonts w:hint="eastAsia"/>
                <w:color w:val="auto"/>
                <w:sz w:val="24"/>
                <w:szCs w:val="24"/>
                <w:lang w:val="en-US" w:eastAsia="zh-CN"/>
              </w:rPr>
              <w:t>5台10t/h蒸汽发生器设计排污率为3%，排污水产生量为1.5m</w:t>
            </w:r>
            <w:r>
              <w:rPr>
                <w:rFonts w:hint="eastAsia"/>
                <w:color w:val="auto"/>
                <w:sz w:val="24"/>
                <w:szCs w:val="24"/>
                <w:vertAlign w:val="superscript"/>
                <w:lang w:val="en-US" w:eastAsia="zh-CN"/>
              </w:rPr>
              <w:t>3</w:t>
            </w:r>
            <w:r>
              <w:rPr>
                <w:rFonts w:hint="eastAsia"/>
                <w:color w:val="auto"/>
                <w:sz w:val="24"/>
                <w:szCs w:val="24"/>
                <w:vertAlign w:val="baseline"/>
                <w:lang w:val="en-US" w:eastAsia="zh-CN"/>
              </w:rPr>
              <w:t>/h，全年排水量为10800m</w:t>
            </w:r>
            <w:r>
              <w:rPr>
                <w:rFonts w:hint="eastAsia"/>
                <w:color w:val="auto"/>
                <w:sz w:val="24"/>
                <w:szCs w:val="24"/>
                <w:vertAlign w:val="superscript"/>
                <w:lang w:val="en-US" w:eastAsia="zh-CN"/>
              </w:rPr>
              <w:t>3</w:t>
            </w:r>
            <w:r>
              <w:rPr>
                <w:rFonts w:hint="eastAsia"/>
                <w:color w:val="auto"/>
                <w:sz w:val="24"/>
                <w:szCs w:val="24"/>
                <w:vertAlign w:val="baseline"/>
                <w:lang w:val="en-US" w:eastAsia="zh-CN"/>
              </w:rPr>
              <w:t>/a。该废水中除总硬度指标较高外，还会含有少量水渣悬浮物，但浓度不高。排污水水质可以满足园区污水处理厂进水水质《污水综合排放标准》（GB8978-1996）中三级标准的要求，直接排入园区下水管网。</w:t>
            </w:r>
          </w:p>
          <w:p w14:paraId="0AC16E1C">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（3）生活污水W3</w:t>
            </w:r>
          </w:p>
          <w:p w14:paraId="0038FB25">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olor w:val="auto"/>
                <w:sz w:val="24"/>
                <w:szCs w:val="24"/>
              </w:rPr>
              <w:t>本项目工作</w:t>
            </w:r>
            <w:r>
              <w:rPr>
                <w:rFonts w:hint="default"/>
                <w:color w:val="auto"/>
                <w:sz w:val="24"/>
                <w:szCs w:val="24"/>
              </w:rPr>
              <w:t>人员</w:t>
            </w:r>
            <w:r>
              <w:rPr>
                <w:rFonts w:hint="eastAsia"/>
                <w:color w:val="auto"/>
                <w:sz w:val="24"/>
                <w:szCs w:val="24"/>
              </w:rPr>
              <w:t>共</w:t>
            </w:r>
            <w:r>
              <w:rPr>
                <w:rFonts w:hint="eastAsia"/>
                <w:color w:val="auto"/>
                <w:sz w:val="24"/>
                <w:szCs w:val="24"/>
                <w:lang w:val="en-US" w:eastAsia="zh-CN"/>
              </w:rPr>
              <w:t>80</w:t>
            </w:r>
            <w:r>
              <w:rPr>
                <w:rFonts w:hint="eastAsia"/>
                <w:color w:val="auto"/>
                <w:sz w:val="24"/>
                <w:szCs w:val="24"/>
              </w:rPr>
              <w:t>人，根据《新疆维吾尔自治区生活用水定额》中相关数据，生活用水定额按</w:t>
            </w:r>
            <w:r>
              <w:rPr>
                <w:rFonts w:hint="default"/>
                <w:color w:val="auto"/>
                <w:sz w:val="24"/>
                <w:szCs w:val="24"/>
              </w:rPr>
              <w:t>100L/</w:t>
            </w:r>
            <w:r>
              <w:rPr>
                <w:rFonts w:hint="eastAsia"/>
                <w:color w:val="auto"/>
                <w:sz w:val="24"/>
                <w:szCs w:val="24"/>
              </w:rPr>
              <w:t>人</w:t>
            </w:r>
            <w:r>
              <w:rPr>
                <w:rFonts w:hint="default"/>
                <w:color w:val="auto"/>
                <w:sz w:val="24"/>
                <w:szCs w:val="24"/>
              </w:rPr>
              <w:t>.d</w:t>
            </w:r>
            <w:r>
              <w:rPr>
                <w:rFonts w:hint="eastAsia"/>
                <w:color w:val="auto"/>
                <w:sz w:val="24"/>
                <w:szCs w:val="24"/>
              </w:rPr>
              <w:t>计取，</w:t>
            </w:r>
            <w:r>
              <w:rPr>
                <w:rFonts w:hint="default"/>
                <w:color w:val="auto"/>
                <w:sz w:val="24"/>
                <w:szCs w:val="24"/>
              </w:rPr>
              <w:t>生活用水量为</w:t>
            </w:r>
            <w:r>
              <w:rPr>
                <w:rFonts w:hint="eastAsia"/>
                <w:color w:val="auto"/>
                <w:sz w:val="24"/>
                <w:szCs w:val="24"/>
                <w:lang w:val="en-US" w:eastAsia="zh-CN"/>
              </w:rPr>
              <w:t>2400</w:t>
            </w:r>
            <w:r>
              <w:rPr>
                <w:rFonts w:hint="default"/>
                <w:color w:val="auto"/>
                <w:sz w:val="24"/>
                <w:szCs w:val="24"/>
              </w:rPr>
              <w:t>m</w:t>
            </w:r>
            <w:r>
              <w:rPr>
                <w:rFonts w:hint="default"/>
                <w:color w:val="auto"/>
                <w:sz w:val="24"/>
                <w:szCs w:val="24"/>
                <w:vertAlign w:val="superscript"/>
              </w:rPr>
              <w:t>3</w:t>
            </w:r>
            <w:r>
              <w:rPr>
                <w:rFonts w:hint="default"/>
                <w:color w:val="auto"/>
                <w:sz w:val="24"/>
                <w:szCs w:val="24"/>
              </w:rPr>
              <w:t>/a</w:t>
            </w:r>
            <w:r>
              <w:rPr>
                <w:rFonts w:hint="eastAsia"/>
                <w:color w:val="auto"/>
                <w:sz w:val="24"/>
                <w:szCs w:val="24"/>
              </w:rPr>
              <w:t>。生活污水排放量按用水量的</w:t>
            </w:r>
            <w:r>
              <w:rPr>
                <w:rFonts w:hint="default"/>
                <w:color w:val="auto"/>
                <w:sz w:val="24"/>
                <w:szCs w:val="24"/>
              </w:rPr>
              <w:t>80%</w:t>
            </w:r>
            <w:r>
              <w:rPr>
                <w:rFonts w:hint="eastAsia"/>
                <w:color w:val="auto"/>
                <w:sz w:val="24"/>
                <w:szCs w:val="24"/>
              </w:rPr>
              <w:t>计，则生活</w:t>
            </w:r>
            <w:r>
              <w:rPr>
                <w:rFonts w:hint="default"/>
                <w:color w:val="auto"/>
                <w:sz w:val="24"/>
                <w:szCs w:val="24"/>
              </w:rPr>
              <w:t>污水的排放量为</w:t>
            </w:r>
            <w:r>
              <w:rPr>
                <w:rFonts w:hint="eastAsia"/>
                <w:color w:val="auto"/>
                <w:sz w:val="24"/>
                <w:szCs w:val="24"/>
                <w:lang w:val="en-US" w:eastAsia="zh-CN"/>
              </w:rPr>
              <w:t>1920</w:t>
            </w:r>
            <w:r>
              <w:rPr>
                <w:rFonts w:hint="eastAsia"/>
                <w:color w:val="auto"/>
                <w:sz w:val="24"/>
                <w:szCs w:val="24"/>
              </w:rPr>
              <w:t>m</w:t>
            </w:r>
            <w:r>
              <w:rPr>
                <w:rFonts w:hint="eastAsia"/>
                <w:color w:val="auto"/>
                <w:sz w:val="24"/>
                <w:szCs w:val="24"/>
                <w:vertAlign w:val="superscript"/>
              </w:rPr>
              <w:t>3</w:t>
            </w:r>
            <w:r>
              <w:rPr>
                <w:rFonts w:hint="eastAsia"/>
                <w:color w:val="auto"/>
                <w:sz w:val="24"/>
                <w:szCs w:val="24"/>
              </w:rPr>
              <w:t>/a。</w:t>
            </w:r>
            <w:r>
              <w:rPr>
                <w:rFonts w:hint="eastAsia" w:cs="宋体"/>
                <w:color w:val="auto"/>
                <w:sz w:val="24"/>
                <w:szCs w:val="24"/>
                <w:lang w:bidi="ar"/>
              </w:rPr>
              <w:t>生活废水中污染物主要包括CODcr、 BOD</w:t>
            </w:r>
            <w:r>
              <w:rPr>
                <w:rFonts w:hint="eastAsia" w:cs="宋体"/>
                <w:color w:val="auto"/>
                <w:sz w:val="24"/>
                <w:szCs w:val="24"/>
                <w:vertAlign w:val="subscript"/>
                <w:lang w:bidi="ar"/>
              </w:rPr>
              <w:t>5</w:t>
            </w:r>
            <w:r>
              <w:rPr>
                <w:rFonts w:hint="eastAsia" w:cs="宋体"/>
                <w:color w:val="auto"/>
                <w:sz w:val="24"/>
                <w:szCs w:val="24"/>
                <w:lang w:bidi="ar"/>
              </w:rPr>
              <w:t>、 NH</w:t>
            </w:r>
            <w:r>
              <w:rPr>
                <w:rFonts w:hint="eastAsia" w:cs="宋体"/>
                <w:color w:val="auto"/>
                <w:sz w:val="24"/>
                <w:szCs w:val="24"/>
                <w:vertAlign w:val="subscript"/>
                <w:lang w:bidi="ar"/>
              </w:rPr>
              <w:t>3</w:t>
            </w:r>
            <w:r>
              <w:rPr>
                <w:rFonts w:hint="eastAsia" w:cs="宋体"/>
                <w:color w:val="auto"/>
                <w:sz w:val="24"/>
                <w:szCs w:val="24"/>
                <w:lang w:bidi="ar"/>
              </w:rPr>
              <w:t>-N、 SS等</w:t>
            </w:r>
            <w:r>
              <w:rPr>
                <w:rFonts w:hint="eastAsia" w:cs="宋体"/>
                <w:color w:val="auto"/>
                <w:sz w:val="24"/>
                <w:szCs w:val="24"/>
                <w:lang w:eastAsia="zh-CN" w:bidi="ar"/>
              </w:rPr>
              <w:t>，产生后直接排入园区下水管网</w:t>
            </w:r>
            <w:r>
              <w:rPr>
                <w:rFonts w:hint="default" w:cs="宋体"/>
                <w:color w:val="auto"/>
                <w:sz w:val="24"/>
                <w:szCs w:val="24"/>
                <w:lang w:bidi="ar"/>
              </w:rPr>
              <w:t>。</w:t>
            </w:r>
          </w:p>
          <w:p w14:paraId="1C6F0A17">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（4）脱硫废水W4</w:t>
            </w:r>
          </w:p>
          <w:p w14:paraId="538F7A88">
            <w:pPr>
              <w:keepNext w:val="0"/>
              <w:keepLines w:val="0"/>
              <w:suppressLineNumbers w:val="0"/>
              <w:spacing w:before="0" w:beforeAutospacing="0" w:after="0" w:afterAutospacing="0" w:line="360" w:lineRule="auto"/>
              <w:ind w:left="0" w:right="0" w:firstLine="480"/>
              <w:rPr>
                <w:rFonts w:hint="eastAsia"/>
                <w:color w:val="auto"/>
                <w:sz w:val="24"/>
                <w:szCs w:val="24"/>
                <w:vertAlign w:val="baseline"/>
                <w:lang w:val="en-US" w:eastAsia="zh-CN"/>
              </w:rPr>
            </w:pPr>
            <w:r>
              <w:rPr>
                <w:rFonts w:hint="eastAsia"/>
                <w:color w:val="auto"/>
                <w:sz w:val="24"/>
                <w:szCs w:val="24"/>
                <w:lang w:eastAsia="zh-CN"/>
              </w:rPr>
              <w:t>根据水平衡分析，项目脱硫系统共产生废水</w:t>
            </w:r>
            <w:r>
              <w:rPr>
                <w:rFonts w:hint="eastAsia"/>
                <w:color w:val="auto"/>
                <w:sz w:val="24"/>
                <w:szCs w:val="24"/>
                <w:lang w:val="en-US" w:eastAsia="zh-CN"/>
              </w:rPr>
              <w:t>1886.4m</w:t>
            </w:r>
            <w:r>
              <w:rPr>
                <w:rFonts w:hint="eastAsia"/>
                <w:color w:val="auto"/>
                <w:sz w:val="24"/>
                <w:szCs w:val="24"/>
                <w:vertAlign w:val="superscript"/>
                <w:lang w:val="en-US" w:eastAsia="zh-CN"/>
              </w:rPr>
              <w:t>3</w:t>
            </w:r>
            <w:r>
              <w:rPr>
                <w:rFonts w:hint="eastAsia"/>
                <w:color w:val="auto"/>
                <w:sz w:val="24"/>
                <w:szCs w:val="24"/>
                <w:vertAlign w:val="baseline"/>
                <w:lang w:val="en-US" w:eastAsia="zh-CN"/>
              </w:rPr>
              <w:t>/a，回用于脱硫系统，不外排。</w:t>
            </w:r>
          </w:p>
          <w:p w14:paraId="784D38E2">
            <w:pPr>
              <w:keepNext w:val="0"/>
              <w:keepLines w:val="0"/>
              <w:suppressLineNumbers w:val="0"/>
              <w:spacing w:before="0" w:beforeAutospacing="0" w:after="0" w:afterAutospacing="0" w:line="360" w:lineRule="auto"/>
              <w:ind w:left="0" w:right="0" w:firstLine="480"/>
              <w:rPr>
                <w:rFonts w:hint="eastAsia" w:ascii="Times New Roman" w:hAnsi="Times New Roman" w:cs="宋体"/>
                <w:color w:val="auto"/>
                <w:sz w:val="24"/>
                <w:szCs w:val="24"/>
                <w:highlight w:val="none"/>
                <w:lang w:bidi="ar"/>
              </w:rPr>
            </w:pPr>
            <w:r>
              <w:rPr>
                <w:rFonts w:hint="eastAsia"/>
                <w:color w:val="auto"/>
                <w:sz w:val="24"/>
                <w:szCs w:val="24"/>
                <w:vertAlign w:val="baseline"/>
                <w:lang w:val="en-US" w:eastAsia="zh-CN"/>
              </w:rPr>
              <w:t>项目废水产生及处置情况见表4-18</w:t>
            </w:r>
            <w:r>
              <w:rPr>
                <w:rFonts w:hint="eastAsia" w:ascii="Times New Roman" w:hAnsi="Times New Roman" w:cs="宋体"/>
                <w:color w:val="auto"/>
                <w:sz w:val="24"/>
                <w:szCs w:val="24"/>
                <w:highlight w:val="none"/>
                <w:lang w:bidi="ar"/>
              </w:rPr>
              <w:t>。</w:t>
            </w:r>
          </w:p>
          <w:p w14:paraId="1AE60648">
            <w:pPr>
              <w:keepNext w:val="0"/>
              <w:keepLines w:val="0"/>
              <w:numPr>
                <w:ilvl w:val="0"/>
                <w:numId w:val="0"/>
              </w:numPr>
              <w:suppressLineNumbers w:val="0"/>
              <w:spacing w:before="0" w:beforeAutospacing="0" w:after="0" w:afterAutospacing="0" w:line="240" w:lineRule="auto"/>
              <w:ind w:left="0" w:right="0"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表4-18                  项目污水处置及排放去向表</w:t>
            </w:r>
          </w:p>
          <w:tbl>
            <w:tblPr>
              <w:tblStyle w:val="22"/>
              <w:tblW w:w="823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413"/>
              <w:gridCol w:w="1364"/>
              <w:gridCol w:w="1222"/>
              <w:gridCol w:w="1713"/>
              <w:gridCol w:w="1342"/>
            </w:tblGrid>
            <w:tr w14:paraId="715CF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Align w:val="center"/>
                </w:tcPr>
                <w:p w14:paraId="11A35B8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废水类别</w:t>
                  </w:r>
                </w:p>
              </w:tc>
              <w:tc>
                <w:tcPr>
                  <w:tcW w:w="1413" w:type="dxa"/>
                  <w:vAlign w:val="center"/>
                </w:tcPr>
                <w:p w14:paraId="68115C7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排放量</w:t>
                  </w:r>
                  <w:r>
                    <w:rPr>
                      <w:rFonts w:hint="eastAsia" w:ascii="Times New Roman" w:hAnsi="Times New Roman" w:cs="Times New Roman"/>
                      <w:color w:val="auto"/>
                      <w:sz w:val="21"/>
                      <w:szCs w:val="21"/>
                      <w:highlight w:val="none"/>
                    </w:rPr>
                    <w:t>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a</w:t>
                  </w:r>
                </w:p>
              </w:tc>
              <w:tc>
                <w:tcPr>
                  <w:tcW w:w="1364" w:type="dxa"/>
                  <w:vAlign w:val="center"/>
                </w:tcPr>
                <w:p w14:paraId="5CD8CF4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污染物名称</w:t>
                  </w:r>
                </w:p>
              </w:tc>
              <w:tc>
                <w:tcPr>
                  <w:tcW w:w="1222" w:type="dxa"/>
                  <w:vAlign w:val="center"/>
                </w:tcPr>
                <w:p w14:paraId="2D44A6E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浓度</w:t>
                  </w:r>
                  <w:r>
                    <w:rPr>
                      <w:rFonts w:hint="eastAsia" w:ascii="Times New Roman" w:hAnsi="Times New Roman" w:cs="Times New Roman"/>
                      <w:color w:val="auto"/>
                      <w:spacing w:val="-6"/>
                      <w:sz w:val="21"/>
                      <w:szCs w:val="21"/>
                      <w:highlight w:val="none"/>
                      <w:lang w:val="en-US" w:eastAsia="zh-CN"/>
                    </w:rPr>
                    <w:t>mg/L</w:t>
                  </w:r>
                </w:p>
              </w:tc>
              <w:tc>
                <w:tcPr>
                  <w:tcW w:w="1713" w:type="dxa"/>
                  <w:vAlign w:val="center"/>
                </w:tcPr>
                <w:p w14:paraId="48771F8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污染物产生量</w:t>
                  </w:r>
                  <w:r>
                    <w:rPr>
                      <w:rFonts w:hint="eastAsia" w:ascii="Times New Roman" w:hAnsi="Times New Roman" w:cs="Times New Roman"/>
                      <w:color w:val="auto"/>
                      <w:spacing w:val="-6"/>
                      <w:sz w:val="21"/>
                      <w:szCs w:val="21"/>
                      <w:highlight w:val="none"/>
                      <w:lang w:val="en-US" w:eastAsia="zh-CN"/>
                    </w:rPr>
                    <w:t>t/a</w:t>
                  </w:r>
                </w:p>
              </w:tc>
              <w:tc>
                <w:tcPr>
                  <w:tcW w:w="1342" w:type="dxa"/>
                  <w:vAlign w:val="center"/>
                </w:tcPr>
                <w:p w14:paraId="60F0B7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eastAsia="zh-CN"/>
                    </w:rPr>
                  </w:pPr>
                  <w:r>
                    <w:rPr>
                      <w:rFonts w:hint="eastAsia" w:ascii="Times New Roman" w:hAnsi="Times New Roman" w:cs="Times New Roman"/>
                      <w:color w:val="auto"/>
                      <w:spacing w:val="-6"/>
                      <w:sz w:val="21"/>
                      <w:szCs w:val="21"/>
                      <w:lang w:eastAsia="zh-CN"/>
                    </w:rPr>
                    <w:t>处置去向</w:t>
                  </w:r>
                </w:p>
              </w:tc>
            </w:tr>
            <w:tr w14:paraId="635DE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Align w:val="center"/>
                </w:tcPr>
                <w:p w14:paraId="605DBE0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z w:val="21"/>
                      <w:szCs w:val="21"/>
                      <w:highlight w:val="none"/>
                      <w:lang w:eastAsia="zh-CN"/>
                    </w:rPr>
                    <w:t>净水装置排污水</w:t>
                  </w:r>
                  <w:r>
                    <w:rPr>
                      <w:rFonts w:hint="eastAsia" w:cs="Times New Roman"/>
                      <w:color w:val="auto"/>
                      <w:sz w:val="21"/>
                      <w:szCs w:val="21"/>
                      <w:highlight w:val="none"/>
                      <w:lang w:val="en-US" w:eastAsia="zh-CN"/>
                    </w:rPr>
                    <w:t>W1</w:t>
                  </w:r>
                </w:p>
              </w:tc>
              <w:tc>
                <w:tcPr>
                  <w:tcW w:w="1413" w:type="dxa"/>
                  <w:vAlign w:val="center"/>
                </w:tcPr>
                <w:p w14:paraId="46F8484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4723.2</w:t>
                  </w:r>
                </w:p>
              </w:tc>
              <w:tc>
                <w:tcPr>
                  <w:tcW w:w="1364" w:type="dxa"/>
                  <w:vAlign w:val="center"/>
                </w:tcPr>
                <w:p w14:paraId="748F513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清净下水</w:t>
                  </w:r>
                </w:p>
              </w:tc>
              <w:tc>
                <w:tcPr>
                  <w:tcW w:w="1222" w:type="dxa"/>
                  <w:vAlign w:val="center"/>
                </w:tcPr>
                <w:p w14:paraId="6B34A42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713" w:type="dxa"/>
                  <w:vAlign w:val="center"/>
                </w:tcPr>
                <w:p w14:paraId="3D0849A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342" w:type="dxa"/>
                  <w:vMerge w:val="restart"/>
                  <w:vAlign w:val="center"/>
                </w:tcPr>
                <w:p w14:paraId="5A34F4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lang w:val="en-US" w:eastAsia="zh-CN"/>
                    </w:rPr>
                    <w:t>排入园区下水管网，进入园区污水处理厂处置</w:t>
                  </w:r>
                  <w:r>
                    <w:rPr>
                      <w:rFonts w:hint="eastAsia" w:cs="Times New Roman"/>
                      <w:color w:val="auto"/>
                      <w:sz w:val="21"/>
                      <w:szCs w:val="21"/>
                      <w:lang w:val="en-US" w:eastAsia="zh-CN"/>
                    </w:rPr>
                    <w:t>。</w:t>
                  </w:r>
                </w:p>
              </w:tc>
            </w:tr>
            <w:tr w14:paraId="37CF7A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Align w:val="center"/>
                </w:tcPr>
                <w:p w14:paraId="51E86CB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pacing w:val="-6"/>
                      <w:sz w:val="21"/>
                      <w:szCs w:val="21"/>
                      <w:highlight w:val="none"/>
                      <w:lang w:eastAsia="zh-CN"/>
                    </w:rPr>
                    <w:t>蒸汽发生器定期排污水W2</w:t>
                  </w:r>
                </w:p>
              </w:tc>
              <w:tc>
                <w:tcPr>
                  <w:tcW w:w="1413" w:type="dxa"/>
                  <w:vAlign w:val="center"/>
                </w:tcPr>
                <w:p w14:paraId="76DA103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10800</w:t>
                  </w:r>
                </w:p>
              </w:tc>
              <w:tc>
                <w:tcPr>
                  <w:tcW w:w="1364" w:type="dxa"/>
                  <w:vAlign w:val="center"/>
                </w:tcPr>
                <w:p w14:paraId="5FCD668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清净下水</w:t>
                  </w:r>
                </w:p>
              </w:tc>
              <w:tc>
                <w:tcPr>
                  <w:tcW w:w="1222" w:type="dxa"/>
                  <w:vAlign w:val="center"/>
                </w:tcPr>
                <w:p w14:paraId="71F9272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713" w:type="dxa"/>
                  <w:vAlign w:val="center"/>
                </w:tcPr>
                <w:p w14:paraId="4BFCB41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342" w:type="dxa"/>
                  <w:vMerge w:val="continue"/>
                  <w:vAlign w:val="center"/>
                </w:tcPr>
                <w:p w14:paraId="6274FBF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p>
              </w:tc>
            </w:tr>
            <w:tr w14:paraId="5F1E43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restart"/>
                  <w:vAlign w:val="center"/>
                </w:tcPr>
                <w:p w14:paraId="63D2A67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pacing w:val="-6"/>
                      <w:sz w:val="21"/>
                      <w:szCs w:val="21"/>
                      <w:highlight w:val="none"/>
                      <w:lang w:eastAsia="zh-CN"/>
                    </w:rPr>
                    <w:t>生活污水</w:t>
                  </w:r>
                  <w:r>
                    <w:rPr>
                      <w:rFonts w:hint="eastAsia" w:cs="Times New Roman"/>
                      <w:color w:val="auto"/>
                      <w:spacing w:val="-6"/>
                      <w:sz w:val="21"/>
                      <w:szCs w:val="21"/>
                      <w:highlight w:val="none"/>
                      <w:lang w:val="en-US" w:eastAsia="zh-CN"/>
                    </w:rPr>
                    <w:t>W3</w:t>
                  </w:r>
                </w:p>
              </w:tc>
              <w:tc>
                <w:tcPr>
                  <w:tcW w:w="1413" w:type="dxa"/>
                  <w:vMerge w:val="restart"/>
                  <w:vAlign w:val="center"/>
                </w:tcPr>
                <w:p w14:paraId="3039D14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1920</w:t>
                  </w:r>
                </w:p>
              </w:tc>
              <w:tc>
                <w:tcPr>
                  <w:tcW w:w="1364" w:type="dxa"/>
                  <w:vAlign w:val="center"/>
                </w:tcPr>
                <w:p w14:paraId="21F3129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COD</w:t>
                  </w:r>
                  <w:r>
                    <w:rPr>
                      <w:rFonts w:hint="eastAsia" w:cs="Times New Roman"/>
                      <w:color w:val="auto"/>
                      <w:spacing w:val="-6"/>
                      <w:sz w:val="21"/>
                      <w:szCs w:val="21"/>
                      <w:highlight w:val="none"/>
                      <w:lang w:val="en-US" w:eastAsia="zh-CN"/>
                    </w:rPr>
                    <w:t>cr</w:t>
                  </w:r>
                </w:p>
              </w:tc>
              <w:tc>
                <w:tcPr>
                  <w:tcW w:w="1222" w:type="dxa"/>
                  <w:vAlign w:val="center"/>
                </w:tcPr>
                <w:p w14:paraId="41D7035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350</w:t>
                  </w:r>
                </w:p>
              </w:tc>
              <w:tc>
                <w:tcPr>
                  <w:tcW w:w="1713" w:type="dxa"/>
                  <w:vAlign w:val="center"/>
                </w:tcPr>
                <w:p w14:paraId="570262A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0.672</w:t>
                  </w:r>
                </w:p>
              </w:tc>
              <w:tc>
                <w:tcPr>
                  <w:tcW w:w="1342" w:type="dxa"/>
                  <w:vMerge w:val="continue"/>
                  <w:vAlign w:val="center"/>
                </w:tcPr>
                <w:p w14:paraId="6AF13EA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p>
              </w:tc>
            </w:tr>
            <w:tr w14:paraId="33CD8F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31ACD77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14:paraId="11FF008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14:paraId="1798977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BOD</w:t>
                  </w:r>
                  <w:r>
                    <w:rPr>
                      <w:rFonts w:hint="eastAsia" w:ascii="Times New Roman" w:hAnsi="Times New Roman" w:cs="Times New Roman"/>
                      <w:color w:val="auto"/>
                      <w:spacing w:val="-6"/>
                      <w:sz w:val="21"/>
                      <w:szCs w:val="21"/>
                      <w:highlight w:val="none"/>
                      <w:vertAlign w:val="subscript"/>
                      <w:lang w:val="en-US" w:eastAsia="zh-CN"/>
                    </w:rPr>
                    <w:t>5</w:t>
                  </w:r>
                </w:p>
              </w:tc>
              <w:tc>
                <w:tcPr>
                  <w:tcW w:w="1222" w:type="dxa"/>
                  <w:vAlign w:val="center"/>
                </w:tcPr>
                <w:p w14:paraId="03963B9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1713" w:type="dxa"/>
                  <w:vAlign w:val="center"/>
                </w:tcPr>
                <w:p w14:paraId="55909F1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0.384</w:t>
                  </w:r>
                </w:p>
              </w:tc>
              <w:tc>
                <w:tcPr>
                  <w:tcW w:w="1342" w:type="dxa"/>
                  <w:vMerge w:val="continue"/>
                  <w:vAlign w:val="center"/>
                </w:tcPr>
                <w:p w14:paraId="6DFD7DD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085EB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2371DA3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14:paraId="0A28D0B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14:paraId="30A41A5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NH</w:t>
                  </w:r>
                  <w:r>
                    <w:rPr>
                      <w:rFonts w:hint="eastAsia" w:ascii="Times New Roman" w:hAnsi="Times New Roman" w:cs="Times New Roman"/>
                      <w:color w:val="auto"/>
                      <w:spacing w:val="-6"/>
                      <w:sz w:val="21"/>
                      <w:szCs w:val="21"/>
                      <w:highlight w:val="none"/>
                      <w:vertAlign w:val="subscript"/>
                      <w:lang w:val="en-US" w:eastAsia="zh-CN"/>
                    </w:rPr>
                    <w:t>3</w:t>
                  </w:r>
                  <w:r>
                    <w:rPr>
                      <w:rFonts w:hint="eastAsia" w:ascii="Times New Roman" w:hAnsi="Times New Roman" w:cs="Times New Roman"/>
                      <w:color w:val="auto"/>
                      <w:spacing w:val="-6"/>
                      <w:sz w:val="21"/>
                      <w:szCs w:val="21"/>
                      <w:highlight w:val="none"/>
                      <w:vertAlign w:val="baseline"/>
                      <w:lang w:val="en-US" w:eastAsia="zh-CN"/>
                    </w:rPr>
                    <w:t>-N</w:t>
                  </w:r>
                </w:p>
              </w:tc>
              <w:tc>
                <w:tcPr>
                  <w:tcW w:w="1222" w:type="dxa"/>
                  <w:vAlign w:val="center"/>
                </w:tcPr>
                <w:p w14:paraId="7EB98D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1713" w:type="dxa"/>
                  <w:vAlign w:val="center"/>
                </w:tcPr>
                <w:p w14:paraId="3CBE32D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0.048</w:t>
                  </w:r>
                </w:p>
              </w:tc>
              <w:tc>
                <w:tcPr>
                  <w:tcW w:w="1342" w:type="dxa"/>
                  <w:vMerge w:val="continue"/>
                  <w:vAlign w:val="center"/>
                </w:tcPr>
                <w:p w14:paraId="1273334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162F6F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2790FE9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14:paraId="1C6CC4A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14:paraId="08866D2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SS</w:t>
                  </w:r>
                </w:p>
              </w:tc>
              <w:tc>
                <w:tcPr>
                  <w:tcW w:w="1222" w:type="dxa"/>
                  <w:vAlign w:val="center"/>
                </w:tcPr>
                <w:p w14:paraId="6E80803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180</w:t>
                  </w:r>
                </w:p>
              </w:tc>
              <w:tc>
                <w:tcPr>
                  <w:tcW w:w="1713" w:type="dxa"/>
                  <w:vAlign w:val="center"/>
                </w:tcPr>
                <w:p w14:paraId="4AF6178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0.346</w:t>
                  </w:r>
                </w:p>
              </w:tc>
              <w:tc>
                <w:tcPr>
                  <w:tcW w:w="1342" w:type="dxa"/>
                  <w:vMerge w:val="continue"/>
                  <w:vAlign w:val="center"/>
                </w:tcPr>
                <w:p w14:paraId="59064C7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53587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restart"/>
                  <w:vAlign w:val="center"/>
                </w:tcPr>
                <w:p w14:paraId="0DC602C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脱硫废水</w:t>
                  </w:r>
                  <w:r>
                    <w:rPr>
                      <w:rFonts w:hint="eastAsia" w:cs="Times New Roman"/>
                      <w:color w:val="auto"/>
                      <w:spacing w:val="-6"/>
                      <w:sz w:val="21"/>
                      <w:szCs w:val="21"/>
                      <w:highlight w:val="none"/>
                      <w:lang w:val="en-US" w:eastAsia="zh-CN"/>
                    </w:rPr>
                    <w:t>W4</w:t>
                  </w:r>
                </w:p>
              </w:tc>
              <w:tc>
                <w:tcPr>
                  <w:tcW w:w="1413" w:type="dxa"/>
                  <w:vMerge w:val="restart"/>
                  <w:vAlign w:val="center"/>
                </w:tcPr>
                <w:p w14:paraId="0FBE8C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1886.4</w:t>
                  </w:r>
                </w:p>
              </w:tc>
              <w:tc>
                <w:tcPr>
                  <w:tcW w:w="1364" w:type="dxa"/>
                  <w:vAlign w:val="center"/>
                </w:tcPr>
                <w:p w14:paraId="3571656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COD</w:t>
                  </w:r>
                  <w:r>
                    <w:rPr>
                      <w:rFonts w:hint="eastAsia" w:cs="Times New Roman"/>
                      <w:color w:val="auto"/>
                      <w:spacing w:val="-6"/>
                      <w:sz w:val="21"/>
                      <w:szCs w:val="21"/>
                      <w:highlight w:val="none"/>
                      <w:lang w:val="en-US" w:eastAsia="zh-CN"/>
                    </w:rPr>
                    <w:t>cr</w:t>
                  </w:r>
                </w:p>
              </w:tc>
              <w:tc>
                <w:tcPr>
                  <w:tcW w:w="1222" w:type="dxa"/>
                  <w:vAlign w:val="center"/>
                </w:tcPr>
                <w:p w14:paraId="580E485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120</w:t>
                  </w:r>
                </w:p>
              </w:tc>
              <w:tc>
                <w:tcPr>
                  <w:tcW w:w="1713" w:type="dxa"/>
                  <w:vAlign w:val="center"/>
                </w:tcPr>
                <w:p w14:paraId="0257614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0.037</w:t>
                  </w:r>
                </w:p>
              </w:tc>
              <w:tc>
                <w:tcPr>
                  <w:tcW w:w="1342" w:type="dxa"/>
                  <w:vMerge w:val="restart"/>
                  <w:vAlign w:val="center"/>
                </w:tcPr>
                <w:p w14:paraId="0C94428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回用于脱硫系统，不外排</w:t>
                  </w:r>
                </w:p>
              </w:tc>
            </w:tr>
            <w:tr w14:paraId="47D33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391F4D2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14:paraId="69D6FED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14:paraId="506FEB6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硫化物</w:t>
                  </w:r>
                </w:p>
              </w:tc>
              <w:tc>
                <w:tcPr>
                  <w:tcW w:w="1222" w:type="dxa"/>
                  <w:vAlign w:val="center"/>
                </w:tcPr>
                <w:p w14:paraId="7A39669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＜0.005</w:t>
                  </w:r>
                </w:p>
              </w:tc>
              <w:tc>
                <w:tcPr>
                  <w:tcW w:w="1713" w:type="dxa"/>
                  <w:vAlign w:val="center"/>
                </w:tcPr>
                <w:p w14:paraId="56E848F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42" w:type="dxa"/>
                  <w:vMerge w:val="continue"/>
                  <w:vAlign w:val="center"/>
                </w:tcPr>
                <w:p w14:paraId="7ED4B22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346F15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09C6044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14:paraId="69673A5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14:paraId="040A698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NH</w:t>
                  </w:r>
                  <w:r>
                    <w:rPr>
                      <w:rFonts w:hint="eastAsia" w:ascii="Times New Roman" w:hAnsi="Times New Roman" w:cs="Times New Roman"/>
                      <w:color w:val="auto"/>
                      <w:spacing w:val="-6"/>
                      <w:sz w:val="21"/>
                      <w:szCs w:val="21"/>
                      <w:highlight w:val="none"/>
                      <w:vertAlign w:val="subscript"/>
                      <w:lang w:val="en-US" w:eastAsia="zh-CN"/>
                    </w:rPr>
                    <w:t>3</w:t>
                  </w:r>
                  <w:r>
                    <w:rPr>
                      <w:rFonts w:hint="eastAsia" w:ascii="Times New Roman" w:hAnsi="Times New Roman" w:cs="Times New Roman"/>
                      <w:color w:val="auto"/>
                      <w:spacing w:val="-6"/>
                      <w:sz w:val="21"/>
                      <w:szCs w:val="21"/>
                      <w:highlight w:val="none"/>
                      <w:vertAlign w:val="baseline"/>
                      <w:lang w:val="en-US" w:eastAsia="zh-CN"/>
                    </w:rPr>
                    <w:t>-N</w:t>
                  </w:r>
                </w:p>
              </w:tc>
              <w:tc>
                <w:tcPr>
                  <w:tcW w:w="1222" w:type="dxa"/>
                  <w:vAlign w:val="center"/>
                </w:tcPr>
                <w:p w14:paraId="6AB463F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10.28</w:t>
                  </w:r>
                </w:p>
              </w:tc>
              <w:tc>
                <w:tcPr>
                  <w:tcW w:w="1713" w:type="dxa"/>
                  <w:vAlign w:val="center"/>
                </w:tcPr>
                <w:p w14:paraId="2CBC412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0.003</w:t>
                  </w:r>
                </w:p>
              </w:tc>
              <w:tc>
                <w:tcPr>
                  <w:tcW w:w="1342" w:type="dxa"/>
                  <w:vMerge w:val="continue"/>
                  <w:vAlign w:val="center"/>
                </w:tcPr>
                <w:p w14:paraId="5C992D3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68B1A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071F2CE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14:paraId="7382CE5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14:paraId="4B658F6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SS</w:t>
                  </w:r>
                </w:p>
              </w:tc>
              <w:tc>
                <w:tcPr>
                  <w:tcW w:w="1222" w:type="dxa"/>
                  <w:vAlign w:val="center"/>
                </w:tcPr>
                <w:p w14:paraId="73DD33E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713" w:type="dxa"/>
                  <w:vAlign w:val="center"/>
                </w:tcPr>
                <w:p w14:paraId="6BE34A0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0.002</w:t>
                  </w:r>
                </w:p>
              </w:tc>
              <w:tc>
                <w:tcPr>
                  <w:tcW w:w="1342" w:type="dxa"/>
                  <w:vMerge w:val="continue"/>
                  <w:vAlign w:val="center"/>
                </w:tcPr>
                <w:p w14:paraId="1DBB6E4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326582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7634A31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14:paraId="1A8E0AE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14:paraId="3231FC8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氟化物</w:t>
                  </w:r>
                </w:p>
              </w:tc>
              <w:tc>
                <w:tcPr>
                  <w:tcW w:w="1222" w:type="dxa"/>
                  <w:vAlign w:val="center"/>
                </w:tcPr>
                <w:p w14:paraId="757F497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8.13</w:t>
                  </w:r>
                </w:p>
              </w:tc>
              <w:tc>
                <w:tcPr>
                  <w:tcW w:w="1713" w:type="dxa"/>
                  <w:vAlign w:val="center"/>
                </w:tcPr>
                <w:p w14:paraId="6ED411D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0.003</w:t>
                  </w:r>
                </w:p>
              </w:tc>
              <w:tc>
                <w:tcPr>
                  <w:tcW w:w="1342" w:type="dxa"/>
                  <w:vMerge w:val="continue"/>
                  <w:vAlign w:val="center"/>
                </w:tcPr>
                <w:p w14:paraId="043C4C2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bl>
          <w:p w14:paraId="71EB70C7">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2、废水处置措施可行性分析</w:t>
            </w:r>
          </w:p>
          <w:p w14:paraId="65D857E4">
            <w:pPr>
              <w:keepNext w:val="0"/>
              <w:keepLines w:val="0"/>
              <w:suppressLineNumbers w:val="0"/>
              <w:shd w:val="clear"/>
              <w:spacing w:before="0" w:beforeAutospacing="0" w:after="0" w:afterAutospacing="0" w:line="360" w:lineRule="auto"/>
              <w:ind w:left="0" w:right="0" w:firstLine="480"/>
              <w:rPr>
                <w:rFonts w:hint="eastAsia" w:cs="宋体"/>
                <w:bCs/>
                <w:color w:val="auto"/>
                <w:sz w:val="24"/>
                <w:szCs w:val="24"/>
                <w:lang w:eastAsia="zh-CN" w:bidi="en-US"/>
              </w:rPr>
            </w:pPr>
            <w:r>
              <w:rPr>
                <w:rFonts w:hint="eastAsia" w:cs="宋体"/>
                <w:bCs/>
                <w:color w:val="auto"/>
                <w:sz w:val="24"/>
                <w:szCs w:val="24"/>
                <w:lang w:eastAsia="zh-CN" w:bidi="en-US"/>
              </w:rPr>
              <w:t>玛纳斯塔河工业园区污水处理厂位于塔河工业园区西北方向约10km处，设计处理规模为3万m</w:t>
            </w:r>
            <w:r>
              <w:rPr>
                <w:rFonts w:hint="eastAsia" w:cs="宋体"/>
                <w:bCs/>
                <w:color w:val="auto"/>
                <w:sz w:val="24"/>
                <w:szCs w:val="24"/>
                <w:vertAlign w:val="superscript"/>
                <w:lang w:eastAsia="zh-CN" w:bidi="en-US"/>
              </w:rPr>
              <w:t>3</w:t>
            </w:r>
            <w:r>
              <w:rPr>
                <w:rFonts w:hint="eastAsia" w:cs="宋体"/>
                <w:bCs/>
                <w:color w:val="auto"/>
                <w:sz w:val="24"/>
                <w:szCs w:val="24"/>
                <w:lang w:eastAsia="zh-CN" w:bidi="en-US"/>
              </w:rPr>
              <w:t>/d，进水水质要求满足《污水综合排放标准》（GB8978-1996）表4中三级标准，处理工艺采用“预处理+二级生化处理+深度处理”，出水水质达到《城镇污水处理厂污染物排放标准》（GB18918-2002）一级A标准。</w:t>
            </w:r>
          </w:p>
          <w:p w14:paraId="0E40AFC2">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宋体"/>
                <w:bCs/>
                <w:color w:val="auto"/>
                <w:sz w:val="24"/>
                <w:szCs w:val="24"/>
                <w:lang w:eastAsia="zh-CN" w:bidi="en-US"/>
              </w:rPr>
              <w:t>该污水处理厂于2015年开工建设，于2017年10月建成。2018年3月，一期日处理1.5万m</w:t>
            </w:r>
            <w:r>
              <w:rPr>
                <w:rFonts w:hint="eastAsia" w:cs="宋体"/>
                <w:bCs/>
                <w:color w:val="auto"/>
                <w:sz w:val="24"/>
                <w:szCs w:val="24"/>
                <w:vertAlign w:val="superscript"/>
                <w:lang w:eastAsia="zh-CN" w:bidi="en-US"/>
              </w:rPr>
              <w:t>3</w:t>
            </w:r>
            <w:r>
              <w:rPr>
                <w:rFonts w:hint="eastAsia" w:cs="宋体"/>
                <w:bCs/>
                <w:color w:val="auto"/>
                <w:sz w:val="24"/>
                <w:szCs w:val="24"/>
                <w:lang w:eastAsia="zh-CN" w:bidi="en-US"/>
              </w:rPr>
              <w:t xml:space="preserve"> 处理设施进水调试，5月28日通过竣工验收。园区已铺设排水管道61.8km，园区排水管网已铺设至项目区。目前，玛纳斯塔河工业园区污水处理厂进水量约1.1万m</w:t>
            </w:r>
            <w:r>
              <w:rPr>
                <w:rFonts w:hint="eastAsia" w:cs="宋体"/>
                <w:bCs/>
                <w:color w:val="auto"/>
                <w:sz w:val="24"/>
                <w:szCs w:val="24"/>
                <w:vertAlign w:val="superscript"/>
                <w:lang w:eastAsia="zh-CN" w:bidi="en-US"/>
              </w:rPr>
              <w:t>3</w:t>
            </w:r>
            <w:r>
              <w:rPr>
                <w:rFonts w:hint="eastAsia" w:cs="宋体"/>
                <w:bCs/>
                <w:color w:val="auto"/>
                <w:sz w:val="24"/>
                <w:szCs w:val="24"/>
                <w:vertAlign w:val="baseline"/>
                <w:lang w:val="en-US" w:eastAsia="zh-CN" w:bidi="en-US"/>
              </w:rPr>
              <w:t>/d</w:t>
            </w:r>
            <w:r>
              <w:rPr>
                <w:rFonts w:hint="eastAsia" w:cs="宋体"/>
                <w:bCs/>
                <w:color w:val="auto"/>
                <w:sz w:val="24"/>
                <w:szCs w:val="24"/>
                <w:lang w:eastAsia="zh-CN" w:bidi="en-US"/>
              </w:rPr>
              <w:t>。余量可接纳本项目污水。本项目废水水量和水质均能满足园区污水处理厂工艺参数要求，符合园区污水处理厂接管标准。故本项目排水方案可行，对</w:t>
            </w:r>
            <w:r>
              <w:rPr>
                <w:rFonts w:hint="eastAsia" w:cs="Times New Roman"/>
                <w:color w:val="auto"/>
                <w:sz w:val="24"/>
                <w:szCs w:val="24"/>
                <w:highlight w:val="none"/>
                <w:vertAlign w:val="baseline"/>
                <w:lang w:val="en-US" w:eastAsia="zh-CN"/>
              </w:rPr>
              <w:t>周边地表水环境影响不大。</w:t>
            </w:r>
          </w:p>
          <w:p w14:paraId="7159BB6C">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3、地下水影响分析</w:t>
            </w:r>
          </w:p>
          <w:p w14:paraId="25B2D639">
            <w:pPr>
              <w:pStyle w:val="47"/>
              <w:spacing w:line="360" w:lineRule="auto"/>
              <w:ind w:firstLine="480"/>
              <w:rPr>
                <w:rFonts w:ascii="Times New Roman" w:hAnsi="Times New Roman" w:cs="Times New Roman"/>
                <w:color w:val="auto"/>
              </w:rPr>
            </w:pPr>
            <w:r>
              <w:rPr>
                <w:rFonts w:ascii="Times New Roman" w:cs="Times New Roman"/>
                <w:color w:val="auto"/>
              </w:rPr>
              <w:t>①正常情况下地下水影响分析</w:t>
            </w:r>
          </w:p>
          <w:p w14:paraId="2688A4C9">
            <w:pPr>
              <w:pStyle w:val="47"/>
              <w:spacing w:line="360" w:lineRule="auto"/>
              <w:ind w:firstLine="480"/>
              <w:rPr>
                <w:rFonts w:ascii="Times New Roman" w:hAnsi="Times New Roman" w:cs="Times New Roman"/>
                <w:color w:val="auto"/>
              </w:rPr>
            </w:pPr>
            <w:r>
              <w:rPr>
                <w:rFonts w:ascii="Times New Roman" w:cs="Times New Roman"/>
                <w:color w:val="auto"/>
              </w:rPr>
              <w:t>正常情况下，项目严格按照报告中提出的</w:t>
            </w:r>
            <w:r>
              <w:rPr>
                <w:rFonts w:ascii="Times New Roman" w:hAnsi="Times New Roman" w:cs="Times New Roman"/>
                <w:color w:val="auto"/>
              </w:rPr>
              <w:t>“</w:t>
            </w:r>
            <w:r>
              <w:rPr>
                <w:rFonts w:ascii="Times New Roman" w:cs="Times New Roman"/>
                <w:color w:val="auto"/>
              </w:rPr>
              <w:t>源头控制、分区防控、污染监控、应急响应</w:t>
            </w:r>
            <w:r>
              <w:rPr>
                <w:rFonts w:ascii="Times New Roman" w:hAnsi="Times New Roman" w:cs="Times New Roman"/>
                <w:color w:val="auto"/>
              </w:rPr>
              <w:t>”</w:t>
            </w:r>
            <w:r>
              <w:rPr>
                <w:rFonts w:ascii="Times New Roman" w:cs="Times New Roman"/>
                <w:color w:val="auto"/>
              </w:rPr>
              <w:t>原则。根据本项目生产特点、废水性质及排放去向，本项目生产废水</w:t>
            </w:r>
            <w:r>
              <w:rPr>
                <w:rFonts w:hint="eastAsia" w:ascii="Times New Roman" w:cs="Times New Roman"/>
                <w:color w:val="auto"/>
                <w:lang w:eastAsia="zh-CN"/>
              </w:rPr>
              <w:t>和生活污水均</w:t>
            </w:r>
            <w:r>
              <w:rPr>
                <w:rFonts w:ascii="Times New Roman" w:cs="Times New Roman"/>
                <w:color w:val="auto"/>
              </w:rPr>
              <w:t>排入</w:t>
            </w:r>
            <w:r>
              <w:rPr>
                <w:rFonts w:hint="eastAsia" w:ascii="Times New Roman" w:cs="Times New Roman"/>
                <w:color w:val="auto"/>
                <w:lang w:eastAsia="zh-CN"/>
              </w:rPr>
              <w:t>下水管网最终进入园区污水处理厂处置。</w:t>
            </w:r>
            <w:r>
              <w:rPr>
                <w:rFonts w:ascii="Times New Roman" w:cs="Times New Roman"/>
                <w:color w:val="auto"/>
              </w:rPr>
              <w:t>因此，本项目废水不会通过地表水和地下水的水力联系而进入地下水从而引地下水水质的变化。</w:t>
            </w:r>
          </w:p>
          <w:p w14:paraId="28D9722E">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②非正常状况下地下水影响</w:t>
            </w:r>
          </w:p>
          <w:p w14:paraId="7358F708">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Ⅰ影响途径</w:t>
            </w:r>
          </w:p>
          <w:p w14:paraId="4CC5E46C">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项目污水管道等跑、冒、滴、漏的有毒有害物料首先污染土壤，再通过降雨淋溶经包气带渗透至潜水层而污染浅层地下水。一般情况下，包气带的厚度越薄，透水性越好，越容易造成潜水含水层的污染；反之，包气带的厚度越厚、透水性越差，则不容易造成潜水污染。渗透污染是导致浅层地下水污染的主要方式。</w:t>
            </w:r>
          </w:p>
          <w:p w14:paraId="4FDFA888">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Ⅱ预防措施</w:t>
            </w:r>
          </w:p>
          <w:p w14:paraId="62B3D298">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A、污染源控制措施</w:t>
            </w:r>
          </w:p>
          <w:p w14:paraId="0DBDA4FE">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本项目严格按照国家相关规范要求，对工艺、管道、设备、污水储存采取相应的措施，以防止和降低污染物的跑、冒、滴、漏，将污染物泄漏的环境风险事故降低到最低程度。</w:t>
            </w:r>
          </w:p>
          <w:p w14:paraId="0699C8BB">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B、防渗措施</w:t>
            </w:r>
          </w:p>
          <w:p w14:paraId="49E9D988">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根据《环境影响评价技术导则 地下水环境》（HJ610-2016）要求，将地下水污染防渗分区分为三个级别：重点防渗区、一般防渗区、简单防渗区，防渗分区判定如下。</w:t>
            </w:r>
          </w:p>
          <w:p w14:paraId="2649EBEA">
            <w:pPr>
              <w:ind w:firstLine="420" w:firstLineChars="200"/>
              <w:rPr>
                <w:rFonts w:eastAsia="黑体"/>
                <w:color w:val="auto"/>
              </w:rPr>
            </w:pPr>
            <w:r>
              <w:rPr>
                <w:rFonts w:hint="eastAsia" w:eastAsia="黑体"/>
                <w:color w:val="auto"/>
              </w:rPr>
              <w:t>表4-</w:t>
            </w:r>
            <w:r>
              <w:rPr>
                <w:rFonts w:hint="eastAsia" w:eastAsia="黑体"/>
                <w:color w:val="auto"/>
                <w:lang w:val="en-US" w:eastAsia="zh-CN"/>
              </w:rPr>
              <w:t>19</w:t>
            </w:r>
            <w:r>
              <w:rPr>
                <w:rFonts w:eastAsia="黑体"/>
                <w:color w:val="auto"/>
              </w:rPr>
              <w:t xml:space="preserve">                    </w:t>
            </w:r>
            <w:r>
              <w:rPr>
                <w:rFonts w:hint="eastAsia" w:eastAsia="黑体"/>
                <w:color w:val="auto"/>
              </w:rPr>
              <w:t>污染控制难易程度分级参照表</w:t>
            </w:r>
          </w:p>
          <w:tbl>
            <w:tblPr>
              <w:tblStyle w:val="22"/>
              <w:tblW w:w="80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6525"/>
            </w:tblGrid>
            <w:tr w14:paraId="4A8D51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35" w:type="dxa"/>
                  <w:tcBorders>
                    <w:top w:val="single" w:color="auto" w:sz="12" w:space="0"/>
                    <w:left w:val="nil"/>
                    <w:bottom w:val="single" w:color="auto" w:sz="4" w:space="0"/>
                    <w:right w:val="single" w:color="auto" w:sz="4" w:space="0"/>
                  </w:tcBorders>
                  <w:vAlign w:val="center"/>
                </w:tcPr>
                <w:p w14:paraId="4FC95D51">
                  <w:pPr>
                    <w:jc w:val="center"/>
                    <w:rPr>
                      <w:color w:val="auto"/>
                    </w:rPr>
                  </w:pPr>
                  <w:r>
                    <w:rPr>
                      <w:rFonts w:hint="eastAsia"/>
                      <w:color w:val="auto"/>
                    </w:rPr>
                    <w:t>污染控制难易程度</w:t>
                  </w:r>
                </w:p>
              </w:tc>
              <w:tc>
                <w:tcPr>
                  <w:tcW w:w="6525" w:type="dxa"/>
                  <w:tcBorders>
                    <w:top w:val="single" w:color="auto" w:sz="12" w:space="0"/>
                    <w:left w:val="single" w:color="auto" w:sz="4" w:space="0"/>
                    <w:bottom w:val="single" w:color="auto" w:sz="4" w:space="0"/>
                    <w:right w:val="nil"/>
                  </w:tcBorders>
                  <w:vAlign w:val="center"/>
                </w:tcPr>
                <w:p w14:paraId="2DE2B71A">
                  <w:pPr>
                    <w:jc w:val="center"/>
                    <w:rPr>
                      <w:color w:val="auto"/>
                    </w:rPr>
                  </w:pPr>
                  <w:r>
                    <w:rPr>
                      <w:rFonts w:hint="eastAsia"/>
                      <w:color w:val="auto"/>
                    </w:rPr>
                    <w:t>污染物类型</w:t>
                  </w:r>
                </w:p>
              </w:tc>
            </w:tr>
            <w:tr w14:paraId="0D818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35" w:type="dxa"/>
                  <w:tcBorders>
                    <w:top w:val="single" w:color="auto" w:sz="4" w:space="0"/>
                    <w:left w:val="nil"/>
                    <w:bottom w:val="single" w:color="auto" w:sz="4" w:space="0"/>
                    <w:right w:val="single" w:color="auto" w:sz="4" w:space="0"/>
                  </w:tcBorders>
                  <w:vAlign w:val="center"/>
                </w:tcPr>
                <w:p w14:paraId="009EE8C8">
                  <w:pPr>
                    <w:jc w:val="center"/>
                    <w:rPr>
                      <w:color w:val="auto"/>
                    </w:rPr>
                  </w:pPr>
                  <w:r>
                    <w:rPr>
                      <w:rFonts w:hint="eastAsia"/>
                      <w:color w:val="auto"/>
                    </w:rPr>
                    <w:t>难</w:t>
                  </w:r>
                </w:p>
              </w:tc>
              <w:tc>
                <w:tcPr>
                  <w:tcW w:w="6525" w:type="dxa"/>
                  <w:tcBorders>
                    <w:top w:val="single" w:color="auto" w:sz="4" w:space="0"/>
                    <w:left w:val="single" w:color="auto" w:sz="4" w:space="0"/>
                    <w:bottom w:val="single" w:color="auto" w:sz="4" w:space="0"/>
                    <w:right w:val="nil"/>
                  </w:tcBorders>
                  <w:vAlign w:val="center"/>
                </w:tcPr>
                <w:p w14:paraId="32CEC012">
                  <w:pPr>
                    <w:jc w:val="center"/>
                    <w:rPr>
                      <w:color w:val="auto"/>
                    </w:rPr>
                  </w:pPr>
                  <w:r>
                    <w:rPr>
                      <w:rFonts w:hint="eastAsia"/>
                      <w:color w:val="auto"/>
                    </w:rPr>
                    <w:t>对地下水环境有污染的物料或污染物泄漏后，不能及时发现和处理</w:t>
                  </w:r>
                </w:p>
              </w:tc>
            </w:tr>
            <w:tr w14:paraId="76C69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35" w:type="dxa"/>
                  <w:tcBorders>
                    <w:top w:val="single" w:color="auto" w:sz="4" w:space="0"/>
                    <w:left w:val="nil"/>
                    <w:bottom w:val="single" w:color="auto" w:sz="12" w:space="0"/>
                    <w:right w:val="single" w:color="auto" w:sz="4" w:space="0"/>
                  </w:tcBorders>
                  <w:vAlign w:val="center"/>
                </w:tcPr>
                <w:p w14:paraId="439C4D8B">
                  <w:pPr>
                    <w:jc w:val="center"/>
                    <w:rPr>
                      <w:color w:val="auto"/>
                    </w:rPr>
                  </w:pPr>
                  <w:r>
                    <w:rPr>
                      <w:rFonts w:hint="eastAsia"/>
                      <w:color w:val="auto"/>
                    </w:rPr>
                    <w:t>易</w:t>
                  </w:r>
                </w:p>
              </w:tc>
              <w:tc>
                <w:tcPr>
                  <w:tcW w:w="6525" w:type="dxa"/>
                  <w:tcBorders>
                    <w:top w:val="single" w:color="auto" w:sz="4" w:space="0"/>
                    <w:left w:val="single" w:color="auto" w:sz="4" w:space="0"/>
                    <w:bottom w:val="single" w:color="auto" w:sz="12" w:space="0"/>
                    <w:right w:val="nil"/>
                  </w:tcBorders>
                  <w:vAlign w:val="center"/>
                </w:tcPr>
                <w:p w14:paraId="60AE4106">
                  <w:pPr>
                    <w:jc w:val="center"/>
                    <w:rPr>
                      <w:color w:val="auto"/>
                    </w:rPr>
                  </w:pPr>
                  <w:r>
                    <w:rPr>
                      <w:rFonts w:hint="eastAsia"/>
                      <w:color w:val="auto"/>
                    </w:rPr>
                    <w:t>对地下水环境有污染的物料或污染物泄漏后，可及时发现和处理</w:t>
                  </w:r>
                </w:p>
              </w:tc>
            </w:tr>
          </w:tbl>
          <w:p w14:paraId="028D0335">
            <w:pPr>
              <w:ind w:firstLine="420" w:firstLineChars="200"/>
              <w:rPr>
                <w:rFonts w:eastAsia="黑体"/>
                <w:color w:val="auto"/>
              </w:rPr>
            </w:pPr>
            <w:r>
              <w:rPr>
                <w:rFonts w:hint="eastAsia" w:eastAsia="黑体"/>
                <w:color w:val="auto"/>
              </w:rPr>
              <w:t>表4-</w:t>
            </w:r>
            <w:r>
              <w:rPr>
                <w:rFonts w:hint="eastAsia" w:eastAsia="黑体"/>
                <w:color w:val="auto"/>
                <w:lang w:val="en-US" w:eastAsia="zh-CN"/>
              </w:rPr>
              <w:t>20</w:t>
            </w:r>
            <w:r>
              <w:rPr>
                <w:rFonts w:eastAsia="黑体"/>
                <w:color w:val="auto"/>
              </w:rPr>
              <w:t xml:space="preserve">                    </w:t>
            </w:r>
            <w:r>
              <w:rPr>
                <w:rFonts w:hint="eastAsia" w:eastAsia="黑体"/>
                <w:color w:val="auto"/>
              </w:rPr>
              <w:t>天然包气带防污性能分级参照表</w:t>
            </w:r>
          </w:p>
          <w:tbl>
            <w:tblPr>
              <w:tblStyle w:val="22"/>
              <w:tblW w:w="80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561"/>
            </w:tblGrid>
            <w:tr w14:paraId="48EB13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99" w:type="dxa"/>
                  <w:tcBorders>
                    <w:top w:val="single" w:color="auto" w:sz="12" w:space="0"/>
                    <w:left w:val="nil"/>
                    <w:bottom w:val="single" w:color="auto" w:sz="4" w:space="0"/>
                    <w:right w:val="single" w:color="auto" w:sz="4" w:space="0"/>
                  </w:tcBorders>
                  <w:vAlign w:val="center"/>
                </w:tcPr>
                <w:p w14:paraId="324EA137">
                  <w:pPr>
                    <w:jc w:val="center"/>
                    <w:rPr>
                      <w:color w:val="auto"/>
                    </w:rPr>
                  </w:pPr>
                  <w:r>
                    <w:rPr>
                      <w:rFonts w:hint="eastAsia"/>
                      <w:color w:val="auto"/>
                    </w:rPr>
                    <w:t>分级</w:t>
                  </w:r>
                </w:p>
              </w:tc>
              <w:tc>
                <w:tcPr>
                  <w:tcW w:w="7561" w:type="dxa"/>
                  <w:tcBorders>
                    <w:top w:val="single" w:color="auto" w:sz="12" w:space="0"/>
                    <w:left w:val="single" w:color="auto" w:sz="4" w:space="0"/>
                    <w:bottom w:val="single" w:color="auto" w:sz="4" w:space="0"/>
                    <w:right w:val="nil"/>
                  </w:tcBorders>
                  <w:vAlign w:val="center"/>
                </w:tcPr>
                <w:p w14:paraId="58547942">
                  <w:pPr>
                    <w:jc w:val="center"/>
                    <w:rPr>
                      <w:color w:val="auto"/>
                    </w:rPr>
                  </w:pPr>
                  <w:r>
                    <w:rPr>
                      <w:rFonts w:hint="eastAsia"/>
                      <w:color w:val="auto"/>
                    </w:rPr>
                    <w:t>包气带岩土的渗透性能</w:t>
                  </w:r>
                </w:p>
              </w:tc>
            </w:tr>
            <w:tr w14:paraId="15649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4" w:space="0"/>
                    <w:right w:val="single" w:color="auto" w:sz="4" w:space="0"/>
                  </w:tcBorders>
                  <w:vAlign w:val="center"/>
                </w:tcPr>
                <w:p w14:paraId="0EAD8CBF">
                  <w:pPr>
                    <w:jc w:val="center"/>
                    <w:rPr>
                      <w:color w:val="auto"/>
                    </w:rPr>
                  </w:pPr>
                  <w:r>
                    <w:rPr>
                      <w:rFonts w:hint="eastAsia"/>
                      <w:color w:val="auto"/>
                    </w:rPr>
                    <w:t>强</w:t>
                  </w:r>
                </w:p>
              </w:tc>
              <w:tc>
                <w:tcPr>
                  <w:tcW w:w="7561" w:type="dxa"/>
                  <w:tcBorders>
                    <w:top w:val="single" w:color="auto" w:sz="4" w:space="0"/>
                    <w:left w:val="single" w:color="auto" w:sz="4" w:space="0"/>
                    <w:bottom w:val="single" w:color="auto" w:sz="4" w:space="0"/>
                    <w:right w:val="nil"/>
                  </w:tcBorders>
                  <w:vAlign w:val="center"/>
                </w:tcPr>
                <w:p w14:paraId="2BCAAC18">
                  <w:pPr>
                    <w:jc w:val="center"/>
                    <w:rPr>
                      <w:color w:val="auto"/>
                    </w:rPr>
                  </w:pPr>
                  <w:r>
                    <w:rPr>
                      <w:rFonts w:hint="eastAsia"/>
                      <w:color w:val="auto"/>
                    </w:rPr>
                    <w:t>岩（土）层单层厚度</w:t>
                  </w:r>
                  <w:r>
                    <w:rPr>
                      <w:color w:val="auto"/>
                    </w:rPr>
                    <w:t>Mb≥1.0m</w:t>
                  </w:r>
                  <w:r>
                    <w:rPr>
                      <w:rFonts w:hint="eastAsia"/>
                      <w:color w:val="auto"/>
                    </w:rPr>
                    <w:t>，渗透系数</w:t>
                  </w:r>
                  <w:r>
                    <w:rPr>
                      <w:color w:val="auto"/>
                    </w:rPr>
                    <w:t>K≤1×10</w:t>
                  </w:r>
                  <w:r>
                    <w:rPr>
                      <w:color w:val="auto"/>
                      <w:vertAlign w:val="superscript"/>
                    </w:rPr>
                    <w:t>-6</w:t>
                  </w:r>
                  <w:r>
                    <w:rPr>
                      <w:color w:val="auto"/>
                    </w:rPr>
                    <w:t>cm/s</w:t>
                  </w:r>
                  <w:r>
                    <w:rPr>
                      <w:rFonts w:hint="eastAsia"/>
                      <w:color w:val="auto"/>
                    </w:rPr>
                    <w:t>，且分布连续、稳定</w:t>
                  </w:r>
                </w:p>
              </w:tc>
            </w:tr>
            <w:tr w14:paraId="647D0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4" w:space="0"/>
                    <w:right w:val="single" w:color="auto" w:sz="4" w:space="0"/>
                  </w:tcBorders>
                  <w:vAlign w:val="center"/>
                </w:tcPr>
                <w:p w14:paraId="52D3C890">
                  <w:pPr>
                    <w:jc w:val="center"/>
                    <w:rPr>
                      <w:color w:val="auto"/>
                    </w:rPr>
                  </w:pPr>
                  <w:r>
                    <w:rPr>
                      <w:rFonts w:hint="eastAsia"/>
                      <w:color w:val="auto"/>
                    </w:rPr>
                    <w:t>中</w:t>
                  </w:r>
                </w:p>
              </w:tc>
              <w:tc>
                <w:tcPr>
                  <w:tcW w:w="7561" w:type="dxa"/>
                  <w:tcBorders>
                    <w:top w:val="single" w:color="auto" w:sz="4" w:space="0"/>
                    <w:left w:val="single" w:color="auto" w:sz="4" w:space="0"/>
                    <w:bottom w:val="single" w:color="auto" w:sz="4" w:space="0"/>
                    <w:right w:val="nil"/>
                  </w:tcBorders>
                  <w:vAlign w:val="center"/>
                </w:tcPr>
                <w:p w14:paraId="12CEACDB">
                  <w:pPr>
                    <w:jc w:val="center"/>
                    <w:rPr>
                      <w:color w:val="auto"/>
                    </w:rPr>
                  </w:pPr>
                  <w:r>
                    <w:rPr>
                      <w:rFonts w:hint="eastAsia"/>
                      <w:color w:val="auto"/>
                    </w:rPr>
                    <w:t>岩（土）层单层厚度</w:t>
                  </w:r>
                  <w:r>
                    <w:rPr>
                      <w:color w:val="auto"/>
                    </w:rPr>
                    <w:t>0.5m≤Mb</w:t>
                  </w:r>
                  <w:r>
                    <w:rPr>
                      <w:rFonts w:hint="eastAsia"/>
                      <w:color w:val="auto"/>
                    </w:rPr>
                    <w:t>＜</w:t>
                  </w:r>
                  <w:r>
                    <w:rPr>
                      <w:color w:val="auto"/>
                    </w:rPr>
                    <w:t>1.0m</w:t>
                  </w:r>
                  <w:r>
                    <w:rPr>
                      <w:rFonts w:hint="eastAsia"/>
                      <w:color w:val="auto"/>
                    </w:rPr>
                    <w:t>，渗透系数</w:t>
                  </w:r>
                  <w:r>
                    <w:rPr>
                      <w:color w:val="auto"/>
                    </w:rPr>
                    <w:t>K≤1×10</w:t>
                  </w:r>
                  <w:r>
                    <w:rPr>
                      <w:color w:val="auto"/>
                      <w:vertAlign w:val="superscript"/>
                    </w:rPr>
                    <w:t>-6</w:t>
                  </w:r>
                  <w:r>
                    <w:rPr>
                      <w:color w:val="auto"/>
                    </w:rPr>
                    <w:t>cm/s</w:t>
                  </w:r>
                  <w:r>
                    <w:rPr>
                      <w:rFonts w:hint="eastAsia"/>
                      <w:color w:val="auto"/>
                    </w:rPr>
                    <w:t>，且分布连续稳定；</w:t>
                  </w:r>
                </w:p>
                <w:p w14:paraId="01325F0F">
                  <w:pPr>
                    <w:jc w:val="center"/>
                    <w:rPr>
                      <w:color w:val="auto"/>
                    </w:rPr>
                  </w:pPr>
                  <w:r>
                    <w:rPr>
                      <w:rFonts w:hint="eastAsia"/>
                      <w:color w:val="auto"/>
                    </w:rPr>
                    <w:t>岩（土）层单层厚度</w:t>
                  </w:r>
                  <w:r>
                    <w:rPr>
                      <w:color w:val="auto"/>
                    </w:rPr>
                    <w:t>Mb≥1.0m</w:t>
                  </w:r>
                  <w:r>
                    <w:rPr>
                      <w:rFonts w:hint="eastAsia"/>
                      <w:color w:val="auto"/>
                    </w:rPr>
                    <w:t>，渗透系数</w:t>
                  </w:r>
                  <w:r>
                    <w:rPr>
                      <w:color w:val="auto"/>
                    </w:rPr>
                    <w:t>1×10</w:t>
                  </w:r>
                  <w:r>
                    <w:rPr>
                      <w:color w:val="auto"/>
                      <w:vertAlign w:val="superscript"/>
                    </w:rPr>
                    <w:t>-6</w:t>
                  </w:r>
                  <w:r>
                    <w:rPr>
                      <w:color w:val="auto"/>
                    </w:rPr>
                    <w:t>cm/s</w:t>
                  </w:r>
                  <w:r>
                    <w:rPr>
                      <w:rFonts w:hint="eastAsia"/>
                      <w:color w:val="auto"/>
                    </w:rPr>
                    <w:t>＜</w:t>
                  </w:r>
                  <w:r>
                    <w:rPr>
                      <w:color w:val="auto"/>
                    </w:rPr>
                    <w:t>K≤1×10</w:t>
                  </w:r>
                  <w:r>
                    <w:rPr>
                      <w:color w:val="auto"/>
                      <w:vertAlign w:val="superscript"/>
                    </w:rPr>
                    <w:t>-4</w:t>
                  </w:r>
                  <w:r>
                    <w:rPr>
                      <w:color w:val="auto"/>
                    </w:rPr>
                    <w:t>cm/s</w:t>
                  </w:r>
                  <w:r>
                    <w:rPr>
                      <w:rFonts w:hint="eastAsia"/>
                      <w:color w:val="auto"/>
                    </w:rPr>
                    <w:t>，且分布连续、稳定</w:t>
                  </w:r>
                </w:p>
              </w:tc>
            </w:tr>
            <w:tr w14:paraId="4B765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12" w:space="0"/>
                    <w:right w:val="single" w:color="auto" w:sz="4" w:space="0"/>
                  </w:tcBorders>
                  <w:vAlign w:val="center"/>
                </w:tcPr>
                <w:p w14:paraId="3B09A43D">
                  <w:pPr>
                    <w:jc w:val="center"/>
                    <w:rPr>
                      <w:color w:val="auto"/>
                    </w:rPr>
                  </w:pPr>
                  <w:r>
                    <w:rPr>
                      <w:rFonts w:hint="eastAsia"/>
                      <w:color w:val="auto"/>
                    </w:rPr>
                    <w:t>弱</w:t>
                  </w:r>
                </w:p>
              </w:tc>
              <w:tc>
                <w:tcPr>
                  <w:tcW w:w="7561" w:type="dxa"/>
                  <w:tcBorders>
                    <w:top w:val="single" w:color="auto" w:sz="4" w:space="0"/>
                    <w:left w:val="single" w:color="auto" w:sz="4" w:space="0"/>
                    <w:bottom w:val="single" w:color="auto" w:sz="12" w:space="0"/>
                    <w:right w:val="nil"/>
                  </w:tcBorders>
                  <w:vAlign w:val="center"/>
                </w:tcPr>
                <w:p w14:paraId="2142DAAC">
                  <w:pPr>
                    <w:jc w:val="center"/>
                    <w:rPr>
                      <w:color w:val="auto"/>
                    </w:rPr>
                  </w:pPr>
                  <w:r>
                    <w:rPr>
                      <w:rFonts w:hint="eastAsia"/>
                      <w:color w:val="auto"/>
                    </w:rPr>
                    <w:t>岩（土）层不满足上述</w:t>
                  </w:r>
                  <w:r>
                    <w:rPr>
                      <w:color w:val="auto"/>
                    </w:rPr>
                    <w:t>“</w:t>
                  </w:r>
                  <w:r>
                    <w:rPr>
                      <w:rFonts w:hint="eastAsia"/>
                      <w:color w:val="auto"/>
                    </w:rPr>
                    <w:t>强</w:t>
                  </w:r>
                  <w:r>
                    <w:rPr>
                      <w:color w:val="auto"/>
                    </w:rPr>
                    <w:t>”</w:t>
                  </w:r>
                  <w:r>
                    <w:rPr>
                      <w:rFonts w:hint="eastAsia"/>
                      <w:color w:val="auto"/>
                    </w:rPr>
                    <w:t>和</w:t>
                  </w:r>
                  <w:r>
                    <w:rPr>
                      <w:color w:val="auto"/>
                    </w:rPr>
                    <w:t>“</w:t>
                  </w:r>
                  <w:r>
                    <w:rPr>
                      <w:rFonts w:hint="eastAsia"/>
                      <w:color w:val="auto"/>
                    </w:rPr>
                    <w:t>中</w:t>
                  </w:r>
                  <w:r>
                    <w:rPr>
                      <w:color w:val="auto"/>
                    </w:rPr>
                    <w:t>”</w:t>
                  </w:r>
                  <w:r>
                    <w:rPr>
                      <w:rFonts w:hint="eastAsia"/>
                      <w:color w:val="auto"/>
                    </w:rPr>
                    <w:t>条件</w:t>
                  </w:r>
                </w:p>
              </w:tc>
            </w:tr>
          </w:tbl>
          <w:p w14:paraId="50249C4F">
            <w:pPr>
              <w:ind w:firstLine="420" w:firstLineChars="200"/>
              <w:rPr>
                <w:rFonts w:eastAsia="黑体"/>
                <w:color w:val="auto"/>
              </w:rPr>
            </w:pPr>
            <w:r>
              <w:rPr>
                <w:rFonts w:hint="eastAsia" w:eastAsia="黑体"/>
                <w:color w:val="auto"/>
              </w:rPr>
              <w:t>表4-</w:t>
            </w:r>
            <w:r>
              <w:rPr>
                <w:rFonts w:hint="eastAsia" w:eastAsia="黑体"/>
                <w:color w:val="auto"/>
                <w:lang w:val="en-US" w:eastAsia="zh-CN"/>
              </w:rPr>
              <w:t>21</w:t>
            </w:r>
            <w:r>
              <w:rPr>
                <w:rFonts w:eastAsia="黑体"/>
                <w:color w:val="auto"/>
              </w:rPr>
              <w:t xml:space="preserve">                    </w:t>
            </w:r>
            <w:r>
              <w:rPr>
                <w:rFonts w:hint="eastAsia" w:eastAsia="黑体"/>
                <w:color w:val="auto"/>
              </w:rPr>
              <w:t>地下水污染防渗分区参照表</w:t>
            </w:r>
          </w:p>
          <w:tbl>
            <w:tblPr>
              <w:tblStyle w:val="22"/>
              <w:tblW w:w="81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62"/>
              <w:gridCol w:w="1240"/>
              <w:gridCol w:w="1609"/>
              <w:gridCol w:w="2560"/>
            </w:tblGrid>
            <w:tr w14:paraId="0E9A65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blHeader/>
              </w:trPr>
              <w:tc>
                <w:tcPr>
                  <w:tcW w:w="1336" w:type="dxa"/>
                  <w:tcBorders>
                    <w:top w:val="single" w:color="auto" w:sz="12" w:space="0"/>
                    <w:left w:val="nil"/>
                    <w:bottom w:val="single" w:color="auto" w:sz="4" w:space="0"/>
                    <w:right w:val="single" w:color="auto" w:sz="4" w:space="0"/>
                  </w:tcBorders>
                  <w:vAlign w:val="center"/>
                </w:tcPr>
                <w:p w14:paraId="5F6AE593">
                  <w:pPr>
                    <w:jc w:val="center"/>
                    <w:rPr>
                      <w:color w:val="auto"/>
                    </w:rPr>
                  </w:pPr>
                  <w:r>
                    <w:rPr>
                      <w:rFonts w:hint="eastAsia"/>
                      <w:color w:val="auto"/>
                    </w:rPr>
                    <w:t>防渗分区</w:t>
                  </w:r>
                </w:p>
              </w:tc>
              <w:tc>
                <w:tcPr>
                  <w:tcW w:w="1362" w:type="dxa"/>
                  <w:tcBorders>
                    <w:top w:val="single" w:color="auto" w:sz="12" w:space="0"/>
                    <w:left w:val="single" w:color="auto" w:sz="4" w:space="0"/>
                    <w:bottom w:val="single" w:color="auto" w:sz="4" w:space="0"/>
                    <w:right w:val="single" w:color="auto" w:sz="4" w:space="0"/>
                  </w:tcBorders>
                  <w:vAlign w:val="center"/>
                </w:tcPr>
                <w:p w14:paraId="0547C40C">
                  <w:pPr>
                    <w:jc w:val="center"/>
                    <w:rPr>
                      <w:color w:val="auto"/>
                    </w:rPr>
                  </w:pPr>
                  <w:r>
                    <w:rPr>
                      <w:rFonts w:hint="eastAsia"/>
                      <w:color w:val="auto"/>
                    </w:rPr>
                    <w:t>天然包气带防污性能</w:t>
                  </w:r>
                </w:p>
              </w:tc>
              <w:tc>
                <w:tcPr>
                  <w:tcW w:w="1240" w:type="dxa"/>
                  <w:tcBorders>
                    <w:top w:val="single" w:color="auto" w:sz="12" w:space="0"/>
                    <w:left w:val="single" w:color="auto" w:sz="4" w:space="0"/>
                    <w:bottom w:val="single" w:color="auto" w:sz="4" w:space="0"/>
                    <w:right w:val="single" w:color="auto" w:sz="4" w:space="0"/>
                  </w:tcBorders>
                  <w:vAlign w:val="center"/>
                </w:tcPr>
                <w:p w14:paraId="75277446">
                  <w:pPr>
                    <w:jc w:val="center"/>
                    <w:rPr>
                      <w:color w:val="auto"/>
                    </w:rPr>
                  </w:pPr>
                  <w:r>
                    <w:rPr>
                      <w:rFonts w:hint="eastAsia"/>
                      <w:color w:val="auto"/>
                    </w:rPr>
                    <w:t>污染控制难易程度</w:t>
                  </w:r>
                </w:p>
              </w:tc>
              <w:tc>
                <w:tcPr>
                  <w:tcW w:w="1609" w:type="dxa"/>
                  <w:tcBorders>
                    <w:top w:val="single" w:color="auto" w:sz="12" w:space="0"/>
                    <w:left w:val="single" w:color="auto" w:sz="4" w:space="0"/>
                    <w:bottom w:val="single" w:color="auto" w:sz="4" w:space="0"/>
                    <w:right w:val="single" w:color="auto" w:sz="4" w:space="0"/>
                  </w:tcBorders>
                  <w:vAlign w:val="center"/>
                </w:tcPr>
                <w:p w14:paraId="655228B2">
                  <w:pPr>
                    <w:jc w:val="center"/>
                    <w:rPr>
                      <w:color w:val="auto"/>
                    </w:rPr>
                  </w:pPr>
                  <w:r>
                    <w:rPr>
                      <w:rFonts w:hint="eastAsia"/>
                      <w:color w:val="auto"/>
                    </w:rPr>
                    <w:t>污染物类型</w:t>
                  </w:r>
                </w:p>
              </w:tc>
              <w:tc>
                <w:tcPr>
                  <w:tcW w:w="2560" w:type="dxa"/>
                  <w:tcBorders>
                    <w:top w:val="single" w:color="auto" w:sz="12" w:space="0"/>
                    <w:left w:val="single" w:color="auto" w:sz="4" w:space="0"/>
                    <w:bottom w:val="single" w:color="auto" w:sz="4" w:space="0"/>
                    <w:right w:val="nil"/>
                  </w:tcBorders>
                  <w:vAlign w:val="center"/>
                </w:tcPr>
                <w:p w14:paraId="600B3FBC">
                  <w:pPr>
                    <w:jc w:val="center"/>
                    <w:rPr>
                      <w:color w:val="auto"/>
                    </w:rPr>
                  </w:pPr>
                  <w:r>
                    <w:rPr>
                      <w:rFonts w:hint="eastAsia"/>
                      <w:color w:val="auto"/>
                    </w:rPr>
                    <w:t>防渗技术要求</w:t>
                  </w:r>
                </w:p>
              </w:tc>
            </w:tr>
            <w:tr w14:paraId="61AC38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restart"/>
                  <w:tcBorders>
                    <w:top w:val="single" w:color="auto" w:sz="4" w:space="0"/>
                    <w:left w:val="nil"/>
                    <w:bottom w:val="single" w:color="auto" w:sz="4" w:space="0"/>
                    <w:right w:val="single" w:color="auto" w:sz="4" w:space="0"/>
                  </w:tcBorders>
                  <w:vAlign w:val="center"/>
                </w:tcPr>
                <w:p w14:paraId="1101B2BB">
                  <w:pPr>
                    <w:jc w:val="center"/>
                    <w:rPr>
                      <w:color w:val="auto"/>
                    </w:rPr>
                  </w:pPr>
                  <w:r>
                    <w:rPr>
                      <w:rFonts w:hint="eastAsia"/>
                      <w:color w:val="auto"/>
                    </w:rPr>
                    <w:t>重点防渗区</w:t>
                  </w:r>
                </w:p>
              </w:tc>
              <w:tc>
                <w:tcPr>
                  <w:tcW w:w="1362" w:type="dxa"/>
                  <w:tcBorders>
                    <w:top w:val="single" w:color="auto" w:sz="4" w:space="0"/>
                    <w:left w:val="single" w:color="auto" w:sz="4" w:space="0"/>
                    <w:bottom w:val="single" w:color="auto" w:sz="4" w:space="0"/>
                    <w:right w:val="single" w:color="auto" w:sz="4" w:space="0"/>
                  </w:tcBorders>
                  <w:vAlign w:val="center"/>
                </w:tcPr>
                <w:p w14:paraId="781144AE">
                  <w:pPr>
                    <w:jc w:val="center"/>
                    <w:rPr>
                      <w:color w:val="auto"/>
                    </w:rPr>
                  </w:pPr>
                  <w:r>
                    <w:rPr>
                      <w:rFonts w:hint="eastAsia"/>
                      <w:color w:val="auto"/>
                    </w:rPr>
                    <w:t>弱</w:t>
                  </w:r>
                </w:p>
              </w:tc>
              <w:tc>
                <w:tcPr>
                  <w:tcW w:w="1240" w:type="dxa"/>
                  <w:tcBorders>
                    <w:top w:val="single" w:color="auto" w:sz="4" w:space="0"/>
                    <w:left w:val="single" w:color="auto" w:sz="4" w:space="0"/>
                    <w:bottom w:val="single" w:color="auto" w:sz="4" w:space="0"/>
                    <w:right w:val="single" w:color="auto" w:sz="4" w:space="0"/>
                  </w:tcBorders>
                  <w:vAlign w:val="center"/>
                </w:tcPr>
                <w:p w14:paraId="56083CD9">
                  <w:pPr>
                    <w:jc w:val="center"/>
                    <w:rPr>
                      <w:color w:val="auto"/>
                    </w:rPr>
                  </w:pPr>
                  <w:r>
                    <w:rPr>
                      <w:rFonts w:hint="eastAsia"/>
                      <w:color w:val="auto"/>
                    </w:rPr>
                    <w:t>难</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14:paraId="2BD08E3B">
                  <w:pPr>
                    <w:jc w:val="center"/>
                    <w:rPr>
                      <w:color w:val="auto"/>
                    </w:rPr>
                  </w:pPr>
                  <w:r>
                    <w:rPr>
                      <w:rFonts w:hint="eastAsia"/>
                      <w:color w:val="auto"/>
                    </w:rPr>
                    <w:t>重金属、持久性有机物污染物</w:t>
                  </w:r>
                </w:p>
              </w:tc>
              <w:tc>
                <w:tcPr>
                  <w:tcW w:w="2560" w:type="dxa"/>
                  <w:vMerge w:val="restart"/>
                  <w:tcBorders>
                    <w:top w:val="single" w:color="auto" w:sz="4" w:space="0"/>
                    <w:left w:val="single" w:color="auto" w:sz="4" w:space="0"/>
                    <w:bottom w:val="single" w:color="auto" w:sz="4" w:space="0"/>
                    <w:right w:val="nil"/>
                  </w:tcBorders>
                  <w:vAlign w:val="center"/>
                </w:tcPr>
                <w:p w14:paraId="2322D665">
                  <w:pPr>
                    <w:jc w:val="center"/>
                    <w:rPr>
                      <w:color w:val="auto"/>
                    </w:rPr>
                  </w:pPr>
                  <w:r>
                    <w:rPr>
                      <w:rFonts w:hint="eastAsia"/>
                      <w:color w:val="auto"/>
                    </w:rPr>
                    <w:t>等效黏土防渗层</w:t>
                  </w:r>
                  <w:r>
                    <w:rPr>
                      <w:color w:val="auto"/>
                    </w:rPr>
                    <w:t>Mb≥6.0m</w:t>
                  </w:r>
                  <w:r>
                    <w:rPr>
                      <w:rFonts w:hint="eastAsia"/>
                      <w:color w:val="auto"/>
                    </w:rPr>
                    <w:t>，</w:t>
                  </w:r>
                  <w:r>
                    <w:rPr>
                      <w:color w:val="auto"/>
                    </w:rPr>
                    <w:t>K&lt;1×10</w:t>
                  </w:r>
                  <w:r>
                    <w:rPr>
                      <w:color w:val="auto"/>
                      <w:vertAlign w:val="superscript"/>
                    </w:rPr>
                    <w:t>-7</w:t>
                  </w:r>
                  <w:r>
                    <w:rPr>
                      <w:color w:val="auto"/>
                    </w:rPr>
                    <w:t>cm/s</w:t>
                  </w:r>
                  <w:r>
                    <w:rPr>
                      <w:rFonts w:hint="eastAsia"/>
                      <w:color w:val="auto"/>
                    </w:rPr>
                    <w:t>，或参照</w:t>
                  </w:r>
                  <w:r>
                    <w:rPr>
                      <w:color w:val="auto"/>
                    </w:rPr>
                    <w:t>GB18598</w:t>
                  </w:r>
                  <w:r>
                    <w:rPr>
                      <w:rFonts w:hint="eastAsia"/>
                      <w:color w:val="auto"/>
                    </w:rPr>
                    <w:t>执行</w:t>
                  </w:r>
                </w:p>
              </w:tc>
            </w:tr>
            <w:tr w14:paraId="48F6C5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14:paraId="70764BB8">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14:paraId="0033A9F5">
                  <w:pPr>
                    <w:pStyle w:val="53"/>
                    <w:widowControl w:val="0"/>
                    <w:rPr>
                      <w:color w:val="auto"/>
                      <w:kern w:val="2"/>
                      <w:szCs w:val="24"/>
                    </w:rPr>
                  </w:pPr>
                  <w:r>
                    <w:rPr>
                      <w:rFonts w:hint="eastAsia"/>
                      <w:color w:val="auto"/>
                      <w:kern w:val="2"/>
                      <w:szCs w:val="24"/>
                    </w:rPr>
                    <w:t>中</w:t>
                  </w:r>
                  <w:r>
                    <w:rPr>
                      <w:color w:val="auto"/>
                      <w:kern w:val="2"/>
                      <w:szCs w:val="24"/>
                    </w:rPr>
                    <w:t>-</w:t>
                  </w: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14:paraId="37EA3BEC">
                  <w:pPr>
                    <w:pStyle w:val="53"/>
                    <w:widowControl w:val="0"/>
                    <w:rPr>
                      <w:color w:val="auto"/>
                      <w:kern w:val="2"/>
                      <w:szCs w:val="24"/>
                    </w:rPr>
                  </w:pPr>
                  <w:r>
                    <w:rPr>
                      <w:rFonts w:hint="eastAsia"/>
                      <w:color w:val="auto"/>
                      <w:kern w:val="2"/>
                      <w:szCs w:val="24"/>
                    </w:rPr>
                    <w:t>难</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71AFA9C2">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14:paraId="3374D1AB">
                  <w:pPr>
                    <w:widowControl/>
                    <w:jc w:val="left"/>
                    <w:rPr>
                      <w:color w:val="auto"/>
                    </w:rPr>
                  </w:pPr>
                </w:p>
              </w:tc>
            </w:tr>
            <w:tr w14:paraId="4EC94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14:paraId="630064F6">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14:paraId="6F4E096D">
                  <w:pPr>
                    <w:pStyle w:val="53"/>
                    <w:widowControl w:val="0"/>
                    <w:rPr>
                      <w:color w:val="auto"/>
                      <w:kern w:val="2"/>
                      <w:szCs w:val="24"/>
                    </w:rPr>
                  </w:pPr>
                  <w:r>
                    <w:rPr>
                      <w:rFonts w:hint="eastAsia"/>
                      <w:color w:val="auto"/>
                      <w:kern w:val="2"/>
                      <w:szCs w:val="24"/>
                    </w:rPr>
                    <w:t>弱</w:t>
                  </w:r>
                </w:p>
              </w:tc>
              <w:tc>
                <w:tcPr>
                  <w:tcW w:w="1240" w:type="dxa"/>
                  <w:tcBorders>
                    <w:top w:val="single" w:color="auto" w:sz="4" w:space="0"/>
                    <w:left w:val="single" w:color="auto" w:sz="4" w:space="0"/>
                    <w:bottom w:val="single" w:color="auto" w:sz="4" w:space="0"/>
                    <w:right w:val="single" w:color="auto" w:sz="4" w:space="0"/>
                  </w:tcBorders>
                  <w:vAlign w:val="center"/>
                </w:tcPr>
                <w:p w14:paraId="5CE37249">
                  <w:pPr>
                    <w:pStyle w:val="53"/>
                    <w:widowControl w:val="0"/>
                    <w:rPr>
                      <w:color w:val="auto"/>
                      <w:kern w:val="2"/>
                      <w:szCs w:val="24"/>
                    </w:rPr>
                  </w:pPr>
                  <w:r>
                    <w:rPr>
                      <w:rFonts w:hint="eastAsia"/>
                      <w:color w:val="auto"/>
                      <w:kern w:val="2"/>
                      <w:szCs w:val="24"/>
                    </w:rPr>
                    <w:t>易</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2CC08492">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14:paraId="3F3F6121">
                  <w:pPr>
                    <w:widowControl/>
                    <w:jc w:val="left"/>
                    <w:rPr>
                      <w:color w:val="auto"/>
                    </w:rPr>
                  </w:pPr>
                </w:p>
              </w:tc>
            </w:tr>
            <w:tr w14:paraId="7BECD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restart"/>
                  <w:tcBorders>
                    <w:top w:val="single" w:color="auto" w:sz="4" w:space="0"/>
                    <w:left w:val="nil"/>
                    <w:bottom w:val="single" w:color="auto" w:sz="4" w:space="0"/>
                    <w:right w:val="single" w:color="auto" w:sz="4" w:space="0"/>
                  </w:tcBorders>
                  <w:vAlign w:val="center"/>
                </w:tcPr>
                <w:p w14:paraId="59D12B73">
                  <w:pPr>
                    <w:jc w:val="center"/>
                    <w:rPr>
                      <w:color w:val="auto"/>
                    </w:rPr>
                  </w:pPr>
                  <w:r>
                    <w:rPr>
                      <w:rFonts w:hint="eastAsia"/>
                      <w:color w:val="auto"/>
                    </w:rPr>
                    <w:t>一般防渗区</w:t>
                  </w:r>
                </w:p>
              </w:tc>
              <w:tc>
                <w:tcPr>
                  <w:tcW w:w="1362" w:type="dxa"/>
                  <w:tcBorders>
                    <w:top w:val="single" w:color="auto" w:sz="4" w:space="0"/>
                    <w:left w:val="single" w:color="auto" w:sz="4" w:space="0"/>
                    <w:bottom w:val="single" w:color="auto" w:sz="4" w:space="0"/>
                    <w:right w:val="single" w:color="auto" w:sz="4" w:space="0"/>
                  </w:tcBorders>
                  <w:vAlign w:val="center"/>
                </w:tcPr>
                <w:p w14:paraId="67DDB172">
                  <w:pPr>
                    <w:jc w:val="center"/>
                    <w:rPr>
                      <w:color w:val="auto"/>
                    </w:rPr>
                  </w:pPr>
                  <w:r>
                    <w:rPr>
                      <w:rFonts w:hint="eastAsia"/>
                      <w:color w:val="auto"/>
                    </w:rPr>
                    <w:t>弱</w:t>
                  </w:r>
                </w:p>
              </w:tc>
              <w:tc>
                <w:tcPr>
                  <w:tcW w:w="1240" w:type="dxa"/>
                  <w:tcBorders>
                    <w:top w:val="single" w:color="auto" w:sz="4" w:space="0"/>
                    <w:left w:val="single" w:color="auto" w:sz="4" w:space="0"/>
                    <w:bottom w:val="single" w:color="auto" w:sz="4" w:space="0"/>
                    <w:right w:val="single" w:color="auto" w:sz="4" w:space="0"/>
                  </w:tcBorders>
                  <w:vAlign w:val="center"/>
                </w:tcPr>
                <w:p w14:paraId="5C2A153A">
                  <w:pPr>
                    <w:jc w:val="center"/>
                    <w:rPr>
                      <w:color w:val="auto"/>
                    </w:rPr>
                  </w:pPr>
                  <w:r>
                    <w:rPr>
                      <w:rFonts w:hint="eastAsia"/>
                      <w:color w:val="auto"/>
                    </w:rPr>
                    <w:t>易</w:t>
                  </w:r>
                  <w:r>
                    <w:rPr>
                      <w:color w:val="auto"/>
                    </w:rPr>
                    <w:t>-</w:t>
                  </w:r>
                  <w:r>
                    <w:rPr>
                      <w:rFonts w:hint="eastAsia"/>
                      <w:color w:val="auto"/>
                    </w:rPr>
                    <w:t>难</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14:paraId="3AA765AF">
                  <w:pPr>
                    <w:jc w:val="center"/>
                    <w:rPr>
                      <w:color w:val="auto"/>
                    </w:rPr>
                  </w:pPr>
                  <w:r>
                    <w:rPr>
                      <w:rFonts w:hint="eastAsia"/>
                      <w:color w:val="auto"/>
                    </w:rPr>
                    <w:t>其他类型</w:t>
                  </w:r>
                </w:p>
              </w:tc>
              <w:tc>
                <w:tcPr>
                  <w:tcW w:w="2560" w:type="dxa"/>
                  <w:vMerge w:val="restart"/>
                  <w:tcBorders>
                    <w:top w:val="single" w:color="auto" w:sz="4" w:space="0"/>
                    <w:left w:val="single" w:color="auto" w:sz="4" w:space="0"/>
                    <w:bottom w:val="single" w:color="auto" w:sz="4" w:space="0"/>
                    <w:right w:val="nil"/>
                  </w:tcBorders>
                  <w:vAlign w:val="center"/>
                </w:tcPr>
                <w:p w14:paraId="40F499B7">
                  <w:pPr>
                    <w:jc w:val="center"/>
                    <w:rPr>
                      <w:color w:val="auto"/>
                    </w:rPr>
                  </w:pPr>
                  <w:r>
                    <w:rPr>
                      <w:rFonts w:hint="eastAsia"/>
                      <w:color w:val="auto"/>
                    </w:rPr>
                    <w:t>等效黏土防渗层</w:t>
                  </w:r>
                  <w:r>
                    <w:rPr>
                      <w:color w:val="auto"/>
                    </w:rPr>
                    <w:t>Mb&gt;1.5m</w:t>
                  </w:r>
                  <w:r>
                    <w:rPr>
                      <w:rFonts w:hint="eastAsia"/>
                      <w:color w:val="auto"/>
                    </w:rPr>
                    <w:t>，</w:t>
                  </w:r>
                  <w:r>
                    <w:rPr>
                      <w:color w:val="auto"/>
                    </w:rPr>
                    <w:t>K&lt;1×10</w:t>
                  </w:r>
                  <w:r>
                    <w:rPr>
                      <w:color w:val="auto"/>
                      <w:vertAlign w:val="superscript"/>
                    </w:rPr>
                    <w:t>-7</w:t>
                  </w:r>
                  <w:r>
                    <w:rPr>
                      <w:color w:val="auto"/>
                    </w:rPr>
                    <w:t>cm/s</w:t>
                  </w:r>
                  <w:r>
                    <w:rPr>
                      <w:rFonts w:hint="eastAsia"/>
                      <w:color w:val="auto"/>
                    </w:rPr>
                    <w:t>，或参照</w:t>
                  </w:r>
                  <w:r>
                    <w:rPr>
                      <w:color w:val="auto"/>
                    </w:rPr>
                    <w:t>GB16889</w:t>
                  </w:r>
                  <w:r>
                    <w:rPr>
                      <w:rFonts w:hint="eastAsia"/>
                      <w:color w:val="auto"/>
                    </w:rPr>
                    <w:t>执行</w:t>
                  </w:r>
                </w:p>
              </w:tc>
            </w:tr>
            <w:tr w14:paraId="519621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14:paraId="7A2ED5BF">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14:paraId="3189FD2E">
                  <w:pPr>
                    <w:pStyle w:val="53"/>
                    <w:widowControl w:val="0"/>
                    <w:rPr>
                      <w:color w:val="auto"/>
                      <w:kern w:val="2"/>
                      <w:szCs w:val="24"/>
                    </w:rPr>
                  </w:pPr>
                  <w:r>
                    <w:rPr>
                      <w:rFonts w:hint="eastAsia"/>
                      <w:color w:val="auto"/>
                      <w:kern w:val="2"/>
                      <w:szCs w:val="24"/>
                    </w:rPr>
                    <w:t>中</w:t>
                  </w:r>
                  <w:r>
                    <w:rPr>
                      <w:color w:val="auto"/>
                      <w:kern w:val="2"/>
                      <w:szCs w:val="24"/>
                    </w:rPr>
                    <w:t>-</w:t>
                  </w: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14:paraId="622B727F">
                  <w:pPr>
                    <w:pStyle w:val="53"/>
                    <w:widowControl w:val="0"/>
                    <w:rPr>
                      <w:color w:val="auto"/>
                      <w:kern w:val="2"/>
                      <w:szCs w:val="24"/>
                    </w:rPr>
                  </w:pPr>
                  <w:r>
                    <w:rPr>
                      <w:rFonts w:hint="eastAsia"/>
                      <w:color w:val="auto"/>
                      <w:kern w:val="2"/>
                      <w:szCs w:val="24"/>
                    </w:rPr>
                    <w:t>难</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4787CE82">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14:paraId="0E38132B">
                  <w:pPr>
                    <w:widowControl/>
                    <w:jc w:val="left"/>
                    <w:rPr>
                      <w:color w:val="auto"/>
                    </w:rPr>
                  </w:pPr>
                </w:p>
              </w:tc>
            </w:tr>
            <w:tr w14:paraId="27A15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14:paraId="44EBF523">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14:paraId="2490DE57">
                  <w:pPr>
                    <w:pStyle w:val="53"/>
                    <w:widowControl w:val="0"/>
                    <w:rPr>
                      <w:color w:val="auto"/>
                      <w:kern w:val="2"/>
                      <w:szCs w:val="24"/>
                    </w:rPr>
                  </w:pPr>
                  <w:r>
                    <w:rPr>
                      <w:rFonts w:hint="eastAsia"/>
                      <w:color w:val="auto"/>
                      <w:kern w:val="2"/>
                      <w:szCs w:val="24"/>
                    </w:rPr>
                    <w:t>中</w:t>
                  </w:r>
                </w:p>
              </w:tc>
              <w:tc>
                <w:tcPr>
                  <w:tcW w:w="1240" w:type="dxa"/>
                  <w:tcBorders>
                    <w:top w:val="single" w:color="auto" w:sz="4" w:space="0"/>
                    <w:left w:val="single" w:color="auto" w:sz="4" w:space="0"/>
                    <w:bottom w:val="single" w:color="auto" w:sz="4" w:space="0"/>
                    <w:right w:val="single" w:color="auto" w:sz="4" w:space="0"/>
                  </w:tcBorders>
                  <w:vAlign w:val="center"/>
                </w:tcPr>
                <w:p w14:paraId="507EA61D">
                  <w:pPr>
                    <w:pStyle w:val="53"/>
                    <w:widowControl w:val="0"/>
                    <w:rPr>
                      <w:color w:val="auto"/>
                      <w:kern w:val="2"/>
                      <w:szCs w:val="24"/>
                    </w:rPr>
                  </w:pPr>
                  <w:r>
                    <w:rPr>
                      <w:rFonts w:hint="eastAsia"/>
                      <w:color w:val="auto"/>
                      <w:kern w:val="2"/>
                      <w:szCs w:val="24"/>
                    </w:rPr>
                    <w:t>易</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14:paraId="49A09667">
                  <w:pPr>
                    <w:pStyle w:val="53"/>
                    <w:widowControl w:val="0"/>
                    <w:rPr>
                      <w:color w:val="auto"/>
                      <w:kern w:val="2"/>
                      <w:szCs w:val="24"/>
                    </w:rPr>
                  </w:pPr>
                  <w:r>
                    <w:rPr>
                      <w:rFonts w:hint="eastAsia"/>
                      <w:color w:val="auto"/>
                      <w:kern w:val="2"/>
                      <w:szCs w:val="24"/>
                    </w:rPr>
                    <w:t>重金属、持久性有机物污染物</w:t>
                  </w:r>
                </w:p>
              </w:tc>
              <w:tc>
                <w:tcPr>
                  <w:tcW w:w="2560" w:type="dxa"/>
                  <w:vMerge w:val="continue"/>
                  <w:tcBorders>
                    <w:top w:val="single" w:color="auto" w:sz="4" w:space="0"/>
                    <w:left w:val="single" w:color="auto" w:sz="4" w:space="0"/>
                    <w:bottom w:val="single" w:color="auto" w:sz="4" w:space="0"/>
                    <w:right w:val="nil"/>
                  </w:tcBorders>
                  <w:vAlign w:val="center"/>
                </w:tcPr>
                <w:p w14:paraId="1D46E63D">
                  <w:pPr>
                    <w:widowControl/>
                    <w:jc w:val="left"/>
                    <w:rPr>
                      <w:color w:val="auto"/>
                    </w:rPr>
                  </w:pPr>
                </w:p>
              </w:tc>
            </w:tr>
            <w:tr w14:paraId="2D71AB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14:paraId="0D0ECEB4">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14:paraId="52D6A7F9">
                  <w:pPr>
                    <w:pStyle w:val="53"/>
                    <w:widowControl w:val="0"/>
                    <w:rPr>
                      <w:color w:val="auto"/>
                      <w:kern w:val="2"/>
                      <w:szCs w:val="24"/>
                    </w:rPr>
                  </w:pP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14:paraId="5DC16B5A">
                  <w:pPr>
                    <w:pStyle w:val="53"/>
                    <w:widowControl w:val="0"/>
                    <w:rPr>
                      <w:color w:val="auto"/>
                      <w:kern w:val="2"/>
                      <w:szCs w:val="24"/>
                    </w:rPr>
                  </w:pPr>
                  <w:r>
                    <w:rPr>
                      <w:rFonts w:hint="eastAsia"/>
                      <w:color w:val="auto"/>
                      <w:kern w:val="2"/>
                      <w:szCs w:val="24"/>
                    </w:rPr>
                    <w:t>易</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14:paraId="69828DEC">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14:paraId="11C84AE8">
                  <w:pPr>
                    <w:widowControl/>
                    <w:jc w:val="left"/>
                    <w:rPr>
                      <w:color w:val="auto"/>
                    </w:rPr>
                  </w:pPr>
                </w:p>
              </w:tc>
            </w:tr>
            <w:tr w14:paraId="2F9554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36" w:type="dxa"/>
                  <w:tcBorders>
                    <w:top w:val="single" w:color="auto" w:sz="4" w:space="0"/>
                    <w:left w:val="nil"/>
                    <w:bottom w:val="single" w:color="auto" w:sz="12" w:space="0"/>
                    <w:right w:val="single" w:color="auto" w:sz="4" w:space="0"/>
                  </w:tcBorders>
                  <w:vAlign w:val="center"/>
                </w:tcPr>
                <w:p w14:paraId="260AEBF7">
                  <w:pPr>
                    <w:jc w:val="center"/>
                    <w:rPr>
                      <w:color w:val="auto"/>
                    </w:rPr>
                  </w:pPr>
                  <w:r>
                    <w:rPr>
                      <w:rFonts w:hint="eastAsia"/>
                      <w:color w:val="auto"/>
                    </w:rPr>
                    <w:t>简单防渗区</w:t>
                  </w:r>
                </w:p>
              </w:tc>
              <w:tc>
                <w:tcPr>
                  <w:tcW w:w="1362" w:type="dxa"/>
                  <w:tcBorders>
                    <w:top w:val="single" w:color="auto" w:sz="4" w:space="0"/>
                    <w:left w:val="single" w:color="auto" w:sz="4" w:space="0"/>
                    <w:bottom w:val="single" w:color="auto" w:sz="12" w:space="0"/>
                    <w:right w:val="single" w:color="auto" w:sz="4" w:space="0"/>
                  </w:tcBorders>
                  <w:vAlign w:val="center"/>
                </w:tcPr>
                <w:p w14:paraId="74BCD4B2">
                  <w:pPr>
                    <w:jc w:val="center"/>
                    <w:rPr>
                      <w:color w:val="auto"/>
                    </w:rPr>
                  </w:pPr>
                  <w:r>
                    <w:rPr>
                      <w:rFonts w:hint="eastAsia"/>
                      <w:color w:val="auto"/>
                    </w:rPr>
                    <w:t>中</w:t>
                  </w:r>
                  <w:r>
                    <w:rPr>
                      <w:color w:val="auto"/>
                    </w:rPr>
                    <w:t>-</w:t>
                  </w:r>
                  <w:r>
                    <w:rPr>
                      <w:rFonts w:hint="eastAsia"/>
                      <w:color w:val="auto"/>
                    </w:rPr>
                    <w:t>强</w:t>
                  </w:r>
                </w:p>
              </w:tc>
              <w:tc>
                <w:tcPr>
                  <w:tcW w:w="1240" w:type="dxa"/>
                  <w:tcBorders>
                    <w:top w:val="single" w:color="auto" w:sz="4" w:space="0"/>
                    <w:left w:val="single" w:color="auto" w:sz="4" w:space="0"/>
                    <w:bottom w:val="single" w:color="auto" w:sz="12" w:space="0"/>
                    <w:right w:val="single" w:color="auto" w:sz="4" w:space="0"/>
                  </w:tcBorders>
                  <w:vAlign w:val="center"/>
                </w:tcPr>
                <w:p w14:paraId="31427D65">
                  <w:pPr>
                    <w:jc w:val="center"/>
                    <w:rPr>
                      <w:color w:val="auto"/>
                    </w:rPr>
                  </w:pPr>
                  <w:r>
                    <w:rPr>
                      <w:rFonts w:hint="eastAsia"/>
                      <w:color w:val="auto"/>
                    </w:rPr>
                    <w:t>易</w:t>
                  </w:r>
                </w:p>
              </w:tc>
              <w:tc>
                <w:tcPr>
                  <w:tcW w:w="1609" w:type="dxa"/>
                  <w:tcBorders>
                    <w:top w:val="single" w:color="auto" w:sz="4" w:space="0"/>
                    <w:left w:val="single" w:color="auto" w:sz="4" w:space="0"/>
                    <w:bottom w:val="single" w:color="auto" w:sz="12" w:space="0"/>
                    <w:right w:val="single" w:color="auto" w:sz="4" w:space="0"/>
                  </w:tcBorders>
                  <w:vAlign w:val="center"/>
                </w:tcPr>
                <w:p w14:paraId="64FB5E87">
                  <w:pPr>
                    <w:jc w:val="center"/>
                    <w:rPr>
                      <w:color w:val="auto"/>
                    </w:rPr>
                  </w:pPr>
                  <w:r>
                    <w:rPr>
                      <w:rFonts w:hint="eastAsia"/>
                      <w:color w:val="auto"/>
                    </w:rPr>
                    <w:t>其他类型</w:t>
                  </w:r>
                </w:p>
              </w:tc>
              <w:tc>
                <w:tcPr>
                  <w:tcW w:w="2560" w:type="dxa"/>
                  <w:tcBorders>
                    <w:top w:val="single" w:color="auto" w:sz="4" w:space="0"/>
                    <w:left w:val="single" w:color="auto" w:sz="4" w:space="0"/>
                    <w:bottom w:val="single" w:color="auto" w:sz="12" w:space="0"/>
                    <w:right w:val="nil"/>
                  </w:tcBorders>
                  <w:vAlign w:val="center"/>
                </w:tcPr>
                <w:p w14:paraId="35666072">
                  <w:pPr>
                    <w:jc w:val="center"/>
                    <w:rPr>
                      <w:color w:val="auto"/>
                    </w:rPr>
                  </w:pPr>
                  <w:r>
                    <w:rPr>
                      <w:rFonts w:hint="eastAsia"/>
                      <w:color w:val="auto"/>
                    </w:rPr>
                    <w:t>一般地面硬化</w:t>
                  </w:r>
                </w:p>
              </w:tc>
            </w:tr>
          </w:tbl>
          <w:p w14:paraId="1AEF4700">
            <w:pPr>
              <w:pStyle w:val="47"/>
              <w:spacing w:line="360" w:lineRule="auto"/>
              <w:ind w:firstLine="480"/>
              <w:rPr>
                <w:rFonts w:ascii="Times New Roman" w:hAnsi="Times New Roman" w:cs="Times New Roman"/>
                <w:color w:val="auto"/>
              </w:rPr>
            </w:pPr>
            <w:r>
              <w:rPr>
                <w:rFonts w:ascii="Times New Roman" w:hAnsi="Times New Roman" w:cs="Times New Roman"/>
                <w:color w:val="auto"/>
              </w:rPr>
              <w:t>a.</w:t>
            </w:r>
            <w:r>
              <w:rPr>
                <w:rFonts w:ascii="Times New Roman" w:cs="Times New Roman"/>
                <w:color w:val="auto"/>
              </w:rPr>
              <w:t>重点污染区防渗措施</w:t>
            </w:r>
          </w:p>
          <w:p w14:paraId="17350146">
            <w:pPr>
              <w:pStyle w:val="47"/>
              <w:spacing w:line="360" w:lineRule="auto"/>
              <w:ind w:firstLine="480"/>
              <w:rPr>
                <w:rFonts w:ascii="Times New Roman" w:hAnsi="Times New Roman" w:cs="Times New Roman"/>
                <w:color w:val="auto"/>
              </w:rPr>
            </w:pPr>
            <w:r>
              <w:rPr>
                <w:rFonts w:ascii="Times New Roman" w:cs="Times New Roman"/>
                <w:color w:val="auto"/>
              </w:rPr>
              <w:t>危废暂存间应按照有关防渗要求建设必须做好防渗措施，根据《环境影响评价技术导则</w:t>
            </w:r>
            <w:r>
              <w:rPr>
                <w:rFonts w:ascii="Times New Roman" w:hAnsi="Times New Roman" w:cs="Times New Roman"/>
                <w:color w:val="auto"/>
              </w:rPr>
              <w:t xml:space="preserve"> </w:t>
            </w:r>
            <w:r>
              <w:rPr>
                <w:rFonts w:ascii="Times New Roman" w:cs="Times New Roman"/>
                <w:color w:val="auto"/>
              </w:rPr>
              <w:t>地下水环境》（</w:t>
            </w:r>
            <w:r>
              <w:rPr>
                <w:rFonts w:ascii="Times New Roman" w:hAnsi="Times New Roman" w:cs="Times New Roman"/>
                <w:color w:val="auto"/>
              </w:rPr>
              <w:t>HJ610-2016</w:t>
            </w:r>
            <w:r>
              <w:rPr>
                <w:rFonts w:ascii="Times New Roman" w:cs="Times New Roman"/>
                <w:color w:val="auto"/>
              </w:rPr>
              <w:t>）要求防渗层防渗性能不能低于</w:t>
            </w:r>
            <w:r>
              <w:rPr>
                <w:rFonts w:ascii="Times New Roman" w:hAnsi="Times New Roman" w:cs="Times New Roman"/>
                <w:color w:val="auto"/>
              </w:rPr>
              <w:t>6m</w:t>
            </w:r>
            <w:r>
              <w:rPr>
                <w:rFonts w:ascii="Times New Roman" w:cs="Times New Roman"/>
                <w:color w:val="auto"/>
              </w:rPr>
              <w:t>厚，渗透系数＜</w:t>
            </w:r>
            <w:r>
              <w:rPr>
                <w:rFonts w:ascii="Times New Roman" w:hAnsi="Times New Roman" w:cs="Times New Roman"/>
                <w:color w:val="auto"/>
              </w:rPr>
              <w:t>10</w:t>
            </w:r>
            <w:r>
              <w:rPr>
                <w:rFonts w:ascii="Times New Roman" w:hAnsi="Times New Roman" w:cs="Times New Roman"/>
                <w:color w:val="auto"/>
                <w:vertAlign w:val="superscript"/>
              </w:rPr>
              <w:t>-7</w:t>
            </w:r>
            <w:r>
              <w:rPr>
                <w:rFonts w:ascii="Times New Roman" w:hAnsi="Times New Roman" w:cs="Times New Roman"/>
                <w:color w:val="auto"/>
              </w:rPr>
              <w:t>cm/s</w:t>
            </w:r>
            <w:r>
              <w:rPr>
                <w:rFonts w:ascii="Times New Roman" w:cs="Times New Roman"/>
                <w:color w:val="auto"/>
              </w:rPr>
              <w:t>的防渗性能，防止渗滤液泄漏污染地下水；同时危废暂存间建设应严格按照《危险废物贮存污染控制标准》（</w:t>
            </w:r>
            <w:r>
              <w:rPr>
                <w:rFonts w:ascii="Times New Roman" w:hAnsi="Times New Roman" w:cs="Times New Roman"/>
                <w:color w:val="auto"/>
              </w:rPr>
              <w:t>GB18957-2001</w:t>
            </w:r>
            <w:r>
              <w:rPr>
                <w:rFonts w:ascii="Times New Roman" w:cs="Times New Roman"/>
                <w:color w:val="auto"/>
              </w:rPr>
              <w:t>）及修改单中有关规定进行建设。</w:t>
            </w:r>
          </w:p>
          <w:p w14:paraId="6AC1A335">
            <w:pPr>
              <w:pStyle w:val="47"/>
              <w:spacing w:line="360" w:lineRule="auto"/>
              <w:ind w:firstLine="480"/>
              <w:rPr>
                <w:rFonts w:ascii="Times New Roman" w:hAnsi="Times New Roman" w:cs="Times New Roman"/>
                <w:color w:val="auto"/>
              </w:rPr>
            </w:pPr>
            <w:r>
              <w:rPr>
                <w:rFonts w:ascii="Times New Roman" w:hAnsi="Times New Roman" w:cs="Times New Roman"/>
                <w:color w:val="auto"/>
              </w:rPr>
              <w:t>b.</w:t>
            </w:r>
            <w:r>
              <w:rPr>
                <w:rFonts w:ascii="Times New Roman" w:cs="Times New Roman"/>
                <w:color w:val="auto"/>
              </w:rPr>
              <w:t>一般防渗区</w:t>
            </w:r>
          </w:p>
          <w:p w14:paraId="18538BC6">
            <w:pPr>
              <w:pStyle w:val="47"/>
              <w:spacing w:line="360" w:lineRule="auto"/>
              <w:ind w:firstLine="480"/>
              <w:rPr>
                <w:rFonts w:ascii="Times New Roman" w:hAnsi="Times New Roman" w:cs="Times New Roman"/>
                <w:color w:val="auto"/>
              </w:rPr>
            </w:pPr>
            <w:r>
              <w:rPr>
                <w:rFonts w:hint="eastAsia" w:ascii="Times New Roman" w:cs="Times New Roman"/>
                <w:color w:val="auto"/>
              </w:rPr>
              <w:t>炭化生产车间、汽机房、蒸汽发电车间、汽机房、冷却循环水池</w:t>
            </w:r>
            <w:r>
              <w:rPr>
                <w:rFonts w:ascii="Times New Roman" w:cs="Times New Roman"/>
                <w:color w:val="auto"/>
              </w:rPr>
              <w:t>采用一般防渗方式，要求防渗性能不低于</w:t>
            </w:r>
            <w:r>
              <w:rPr>
                <w:rFonts w:ascii="Times New Roman" w:hAnsi="Times New Roman" w:cs="Times New Roman"/>
                <w:color w:val="auto"/>
              </w:rPr>
              <w:t>1.5m</w:t>
            </w:r>
            <w:r>
              <w:rPr>
                <w:rFonts w:ascii="Times New Roman" w:cs="Times New Roman"/>
                <w:color w:val="auto"/>
              </w:rPr>
              <w:t>厚，渗透系数为</w:t>
            </w:r>
            <w:r>
              <w:rPr>
                <w:rFonts w:ascii="Times New Roman" w:hAnsi="Times New Roman" w:cs="Times New Roman"/>
                <w:color w:val="auto"/>
              </w:rPr>
              <w:t>1.0×10</w:t>
            </w:r>
            <w:r>
              <w:rPr>
                <w:rFonts w:ascii="Times New Roman" w:hAnsi="Times New Roman" w:cs="Times New Roman"/>
                <w:color w:val="auto"/>
                <w:vertAlign w:val="superscript"/>
              </w:rPr>
              <w:t>-7</w:t>
            </w:r>
            <w:r>
              <w:rPr>
                <w:rFonts w:ascii="Times New Roman" w:hAnsi="Times New Roman" w:cs="Times New Roman"/>
                <w:color w:val="auto"/>
              </w:rPr>
              <w:t>cm/s</w:t>
            </w:r>
            <w:r>
              <w:rPr>
                <w:rFonts w:ascii="Times New Roman" w:cs="Times New Roman"/>
                <w:color w:val="auto"/>
              </w:rPr>
              <w:t>的黏土层的防渗性能。</w:t>
            </w:r>
          </w:p>
          <w:p w14:paraId="79956474">
            <w:pPr>
              <w:pStyle w:val="47"/>
              <w:spacing w:line="360" w:lineRule="auto"/>
              <w:ind w:firstLine="480"/>
              <w:rPr>
                <w:rFonts w:ascii="Times New Roman" w:hAnsi="Times New Roman" w:cs="Times New Roman"/>
                <w:color w:val="auto"/>
              </w:rPr>
            </w:pPr>
            <w:r>
              <w:rPr>
                <w:rFonts w:ascii="Times New Roman" w:hAnsi="Times New Roman" w:cs="Times New Roman"/>
                <w:color w:val="auto"/>
              </w:rPr>
              <w:t>c.</w:t>
            </w:r>
            <w:r>
              <w:rPr>
                <w:rFonts w:ascii="Times New Roman" w:cs="Times New Roman"/>
                <w:color w:val="auto"/>
              </w:rPr>
              <w:t>简单防渗区</w:t>
            </w:r>
          </w:p>
          <w:p w14:paraId="11CD61C8">
            <w:pPr>
              <w:pStyle w:val="47"/>
              <w:spacing w:line="360" w:lineRule="auto"/>
              <w:ind w:firstLine="480"/>
              <w:rPr>
                <w:rFonts w:ascii="Times New Roman" w:hAnsi="Times New Roman" w:cs="Times New Roman"/>
                <w:color w:val="auto"/>
              </w:rPr>
            </w:pPr>
            <w:r>
              <w:rPr>
                <w:rFonts w:hint="eastAsia" w:ascii="Times New Roman" w:cs="Times New Roman"/>
                <w:color w:val="auto"/>
              </w:rPr>
              <w:t>炭化车间、机制炭车间、办公生活区及道路</w:t>
            </w:r>
            <w:r>
              <w:rPr>
                <w:rFonts w:ascii="Times New Roman" w:cs="Times New Roman"/>
                <w:color w:val="auto"/>
              </w:rPr>
              <w:t>采用水泥硬化防渗。</w:t>
            </w:r>
          </w:p>
          <w:p w14:paraId="2D7E6E81">
            <w:pPr>
              <w:pStyle w:val="47"/>
              <w:spacing w:line="360" w:lineRule="auto"/>
              <w:ind w:firstLine="480"/>
              <w:rPr>
                <w:rFonts w:ascii="Times New Roman" w:hAnsi="Times New Roman" w:cs="Times New Roman"/>
                <w:color w:val="auto"/>
              </w:rPr>
            </w:pPr>
            <w:r>
              <w:rPr>
                <w:rFonts w:hint="eastAsia" w:ascii="Times New Roman" w:hAnsi="Times New Roman" w:cs="Times New Roman"/>
                <w:color w:val="auto"/>
                <w:lang w:val="en-US" w:eastAsia="zh-CN"/>
              </w:rPr>
              <w:t>d</w:t>
            </w:r>
            <w:r>
              <w:rPr>
                <w:rFonts w:ascii="Times New Roman" w:hAnsi="Times New Roman" w:cs="Times New Roman"/>
                <w:color w:val="auto"/>
              </w:rPr>
              <w:t>.</w:t>
            </w:r>
            <w:r>
              <w:rPr>
                <w:rFonts w:ascii="Times New Roman" w:cs="Times New Roman"/>
                <w:color w:val="auto"/>
              </w:rPr>
              <w:t>管理</w:t>
            </w:r>
          </w:p>
          <w:p w14:paraId="5CCD15D6">
            <w:pPr>
              <w:pStyle w:val="47"/>
              <w:spacing w:line="360" w:lineRule="auto"/>
              <w:ind w:firstLine="480"/>
              <w:rPr>
                <w:color w:val="auto"/>
              </w:rPr>
            </w:pPr>
            <w:r>
              <w:rPr>
                <w:rFonts w:ascii="Times New Roman" w:cs="Times New Roman"/>
                <w:color w:val="auto"/>
              </w:rPr>
              <w:t>项目运行后，配备专兼职技术人</w:t>
            </w:r>
            <w:r>
              <w:rPr>
                <w:rFonts w:hint="eastAsia"/>
                <w:color w:val="auto"/>
              </w:rPr>
              <w:t>员，加强地下水环境管理及巡查，定期对循环水池和危废暂存间等环节进行检漏工作，确保各防渗漏措施运行的长期性、稳定性和可靠性。</w:t>
            </w:r>
          </w:p>
          <w:p w14:paraId="7150EB92">
            <w:pPr>
              <w:pStyle w:val="47"/>
              <w:spacing w:line="360" w:lineRule="auto"/>
              <w:ind w:firstLine="480"/>
              <w:rPr>
                <w:rFonts w:hint="eastAsia" w:cs="Times New Roman"/>
                <w:color w:val="auto"/>
              </w:rPr>
            </w:pPr>
            <w:r>
              <w:rPr>
                <w:rFonts w:hint="eastAsia" w:cs="Times New Roman"/>
                <w:color w:val="auto"/>
              </w:rPr>
              <w:t>在切实落实各项防渗措施后，项目对周边地下水环境影响较小。</w:t>
            </w:r>
          </w:p>
          <w:p w14:paraId="62B16A38">
            <w:pPr>
              <w:tabs>
                <w:tab w:val="center" w:pos="4736"/>
              </w:tabs>
              <w:spacing w:line="360" w:lineRule="auto"/>
              <w:ind w:firstLine="482" w:firstLineChars="200"/>
              <w:jc w:val="left"/>
              <w:rPr>
                <w:b/>
                <w:color w:val="auto"/>
                <w:sz w:val="24"/>
              </w:rPr>
            </w:pPr>
            <w:r>
              <w:rPr>
                <w:rFonts w:hint="eastAsia"/>
                <w:b/>
                <w:color w:val="auto"/>
                <w:sz w:val="24"/>
                <w:lang w:eastAsia="zh-CN"/>
              </w:rPr>
              <w:t>三、噪声</w:t>
            </w:r>
          </w:p>
          <w:p w14:paraId="58EC047C">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1、噪声源强</w:t>
            </w:r>
          </w:p>
          <w:p w14:paraId="75F72BB0">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本项目运营期噪声主要为各类水泵、破碎机、上料机、风机等设备产生的噪声，噪声源强约为噪声级为80～105dB（A），选用低噪声设备，采取厂房隔声、减振等措施降噪。通过类比同类项目，各噪声源统计情况见表</w:t>
            </w:r>
            <w:r>
              <w:rPr>
                <w:rFonts w:hint="eastAsia"/>
                <w:color w:val="auto"/>
                <w:sz w:val="24"/>
                <w:lang w:val="en-US" w:eastAsia="zh-CN"/>
              </w:rPr>
              <w:t>4-22</w:t>
            </w:r>
            <w:r>
              <w:rPr>
                <w:rFonts w:hint="eastAsia"/>
                <w:color w:val="auto"/>
                <w:sz w:val="24"/>
              </w:rPr>
              <w:t>。</w:t>
            </w:r>
          </w:p>
          <w:p w14:paraId="1CC920E2">
            <w:pPr>
              <w:pStyle w:val="79"/>
              <w:keepNext w:val="0"/>
              <w:keepLines w:val="0"/>
              <w:suppressLineNumbers w:val="0"/>
              <w:spacing w:beforeAutospacing="0" w:after="0" w:afterAutospacing="0"/>
              <w:ind w:left="0" w:right="0" w:firstLine="630" w:firstLineChars="300"/>
              <w:jc w:val="both"/>
              <w:rPr>
                <w:rFonts w:hint="default"/>
                <w:color w:val="auto"/>
                <w:lang w:bidi="ar"/>
              </w:rPr>
            </w:pPr>
            <w:r>
              <w:rPr>
                <w:rFonts w:hint="default"/>
                <w:color w:val="auto"/>
                <w:lang w:bidi="ar"/>
              </w:rPr>
              <w:t>表</w:t>
            </w:r>
            <w:r>
              <w:rPr>
                <w:rFonts w:hint="eastAsia"/>
                <w:color w:val="auto"/>
                <w:lang w:val="en-US" w:eastAsia="zh-CN" w:bidi="ar"/>
              </w:rPr>
              <w:t>4-22</w:t>
            </w:r>
            <w:r>
              <w:rPr>
                <w:rFonts w:hint="default"/>
                <w:color w:val="auto"/>
                <w:lang w:bidi="ar"/>
              </w:rPr>
              <w:t xml:space="preserve">                       主要噪声源源强</w:t>
            </w:r>
          </w:p>
          <w:tbl>
            <w:tblPr>
              <w:tblStyle w:val="22"/>
              <w:tblW w:w="829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438"/>
              <w:gridCol w:w="1187"/>
              <w:gridCol w:w="1219"/>
              <w:gridCol w:w="1219"/>
              <w:gridCol w:w="1177"/>
              <w:gridCol w:w="785"/>
            </w:tblGrid>
            <w:tr w14:paraId="57B55B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tblHeader/>
                <w:jc w:val="center"/>
              </w:trPr>
              <w:tc>
                <w:tcPr>
                  <w:tcW w:w="1265" w:type="dxa"/>
                  <w:vAlign w:val="center"/>
                </w:tcPr>
                <w:p w14:paraId="7CEE87C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噪声源</w:t>
                  </w:r>
                </w:p>
              </w:tc>
              <w:tc>
                <w:tcPr>
                  <w:tcW w:w="1438" w:type="dxa"/>
                  <w:vAlign w:val="center"/>
                </w:tcPr>
                <w:p w14:paraId="6CAC2DD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w:t>
                  </w:r>
                </w:p>
                <w:p w14:paraId="1D2B1F3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设备</w:t>
                  </w:r>
                </w:p>
              </w:tc>
              <w:tc>
                <w:tcPr>
                  <w:tcW w:w="1187" w:type="dxa"/>
                  <w:vAlign w:val="center"/>
                </w:tcPr>
                <w:p w14:paraId="2FCDBDE0">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声级/dB(A)</w:t>
                  </w:r>
                </w:p>
              </w:tc>
              <w:tc>
                <w:tcPr>
                  <w:tcW w:w="1219" w:type="dxa"/>
                  <w:vAlign w:val="center"/>
                </w:tcPr>
                <w:p w14:paraId="494EE54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设备数量/台</w:t>
                  </w:r>
                </w:p>
              </w:tc>
              <w:tc>
                <w:tcPr>
                  <w:tcW w:w="1219" w:type="dxa"/>
                  <w:vAlign w:val="center"/>
                </w:tcPr>
                <w:p w14:paraId="6527FDF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运行数量/台</w:t>
                  </w:r>
                </w:p>
              </w:tc>
              <w:tc>
                <w:tcPr>
                  <w:tcW w:w="1177" w:type="dxa"/>
                  <w:vAlign w:val="center"/>
                </w:tcPr>
                <w:p w14:paraId="1AE15C0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噪声类型</w:t>
                  </w:r>
                </w:p>
              </w:tc>
              <w:tc>
                <w:tcPr>
                  <w:tcW w:w="785" w:type="dxa"/>
                  <w:vAlign w:val="center"/>
                </w:tcPr>
                <w:p w14:paraId="461D6B6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运行工况</w:t>
                  </w:r>
                </w:p>
              </w:tc>
            </w:tr>
            <w:tr w14:paraId="2B31B4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0D4D345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上料车间</w:t>
                  </w:r>
                </w:p>
              </w:tc>
              <w:tc>
                <w:tcPr>
                  <w:tcW w:w="1438" w:type="dxa"/>
                  <w:vAlign w:val="center"/>
                </w:tcPr>
                <w:p w14:paraId="22FC26C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给料斗</w:t>
                  </w:r>
                </w:p>
              </w:tc>
              <w:tc>
                <w:tcPr>
                  <w:tcW w:w="1187" w:type="dxa"/>
                  <w:vAlign w:val="center"/>
                </w:tcPr>
                <w:p w14:paraId="7995A55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85~93</w:t>
                  </w:r>
                </w:p>
              </w:tc>
              <w:tc>
                <w:tcPr>
                  <w:tcW w:w="1219" w:type="dxa"/>
                  <w:vAlign w:val="center"/>
                </w:tcPr>
                <w:p w14:paraId="3D27BFF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219" w:type="dxa"/>
                  <w:vAlign w:val="center"/>
                </w:tcPr>
                <w:p w14:paraId="706E0AF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177" w:type="dxa"/>
                  <w:vAlign w:val="center"/>
                </w:tcPr>
                <w:p w14:paraId="37C41E4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64973A2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6BD221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3D2FE64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16759DA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螺旋输送机</w:t>
                  </w:r>
                </w:p>
              </w:tc>
              <w:tc>
                <w:tcPr>
                  <w:tcW w:w="1187" w:type="dxa"/>
                  <w:vAlign w:val="center"/>
                </w:tcPr>
                <w:p w14:paraId="7F3A31D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14:paraId="359ECD7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219" w:type="dxa"/>
                  <w:vAlign w:val="center"/>
                </w:tcPr>
                <w:p w14:paraId="2C56AAA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177" w:type="dxa"/>
                  <w:vAlign w:val="center"/>
                </w:tcPr>
                <w:p w14:paraId="3AABD48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056C77A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63731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70358E1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炭化车间</w:t>
                  </w:r>
                </w:p>
              </w:tc>
              <w:tc>
                <w:tcPr>
                  <w:tcW w:w="1438" w:type="dxa"/>
                  <w:vAlign w:val="center"/>
                </w:tcPr>
                <w:p w14:paraId="6D9D2D4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炭化炉</w:t>
                  </w:r>
                </w:p>
              </w:tc>
              <w:tc>
                <w:tcPr>
                  <w:tcW w:w="1187" w:type="dxa"/>
                  <w:vAlign w:val="center"/>
                </w:tcPr>
                <w:p w14:paraId="74C2FFE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80~90</w:t>
                  </w:r>
                </w:p>
              </w:tc>
              <w:tc>
                <w:tcPr>
                  <w:tcW w:w="1219" w:type="dxa"/>
                  <w:vAlign w:val="center"/>
                </w:tcPr>
                <w:p w14:paraId="1079AC7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219" w:type="dxa"/>
                  <w:vAlign w:val="center"/>
                </w:tcPr>
                <w:p w14:paraId="1411191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177" w:type="dxa"/>
                  <w:vAlign w:val="center"/>
                </w:tcPr>
                <w:p w14:paraId="424C5B5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71D34F8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783D41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11D0F41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64C95E6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增压风机</w:t>
                  </w:r>
                </w:p>
              </w:tc>
              <w:tc>
                <w:tcPr>
                  <w:tcW w:w="1187" w:type="dxa"/>
                  <w:vAlign w:val="center"/>
                </w:tcPr>
                <w:p w14:paraId="7FFB0FC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14:paraId="3AA8CE9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219" w:type="dxa"/>
                  <w:vAlign w:val="center"/>
                </w:tcPr>
                <w:p w14:paraId="238871A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177" w:type="dxa"/>
                  <w:vAlign w:val="center"/>
                </w:tcPr>
                <w:p w14:paraId="72FC697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520E51DA">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3418C4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5F434C0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机制炭车间</w:t>
                  </w:r>
                </w:p>
              </w:tc>
              <w:tc>
                <w:tcPr>
                  <w:tcW w:w="1438" w:type="dxa"/>
                  <w:vAlign w:val="center"/>
                </w:tcPr>
                <w:p w14:paraId="34B549E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破碎机</w:t>
                  </w:r>
                </w:p>
              </w:tc>
              <w:tc>
                <w:tcPr>
                  <w:tcW w:w="1187" w:type="dxa"/>
                  <w:vAlign w:val="center"/>
                </w:tcPr>
                <w:p w14:paraId="5A525E8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85~105</w:t>
                  </w:r>
                </w:p>
              </w:tc>
              <w:tc>
                <w:tcPr>
                  <w:tcW w:w="1219" w:type="dxa"/>
                  <w:vAlign w:val="center"/>
                </w:tcPr>
                <w:p w14:paraId="43D9133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5318EF3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1602599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3CFC35B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14D2CA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2EA34E9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5B3CA22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成型机</w:t>
                  </w:r>
                </w:p>
              </w:tc>
              <w:tc>
                <w:tcPr>
                  <w:tcW w:w="1187" w:type="dxa"/>
                  <w:vAlign w:val="center"/>
                </w:tcPr>
                <w:p w14:paraId="39C3398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14:paraId="29C719D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w:t>
                  </w:r>
                </w:p>
              </w:tc>
              <w:tc>
                <w:tcPr>
                  <w:tcW w:w="1219" w:type="dxa"/>
                  <w:vAlign w:val="center"/>
                </w:tcPr>
                <w:p w14:paraId="2F9ED35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w:t>
                  </w:r>
                </w:p>
              </w:tc>
              <w:tc>
                <w:tcPr>
                  <w:tcW w:w="1177" w:type="dxa"/>
                  <w:vAlign w:val="center"/>
                </w:tcPr>
                <w:p w14:paraId="64AA477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6B2AFA7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162B3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72C3C0E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304A759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包装机</w:t>
                  </w:r>
                </w:p>
              </w:tc>
              <w:tc>
                <w:tcPr>
                  <w:tcW w:w="1187" w:type="dxa"/>
                  <w:vAlign w:val="center"/>
                </w:tcPr>
                <w:p w14:paraId="5A4E612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85~95</w:t>
                  </w:r>
                </w:p>
              </w:tc>
              <w:tc>
                <w:tcPr>
                  <w:tcW w:w="1219" w:type="dxa"/>
                  <w:vAlign w:val="center"/>
                </w:tcPr>
                <w:p w14:paraId="3FC9FBB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14:paraId="63A64C6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14:paraId="50CE730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309EBB5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5A6BAE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074BC07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77034D1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引风机</w:t>
                  </w:r>
                </w:p>
              </w:tc>
              <w:tc>
                <w:tcPr>
                  <w:tcW w:w="1187" w:type="dxa"/>
                  <w:vAlign w:val="center"/>
                </w:tcPr>
                <w:p w14:paraId="05D3C1C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14:paraId="3A19072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70100FB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2EF2CAD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4FC4C89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7EDB16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66554F5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汽机房</w:t>
                  </w:r>
                </w:p>
              </w:tc>
              <w:tc>
                <w:tcPr>
                  <w:tcW w:w="1438" w:type="dxa"/>
                  <w:vAlign w:val="center"/>
                </w:tcPr>
                <w:p w14:paraId="0EAF9B6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汽轮机</w:t>
                  </w:r>
                </w:p>
              </w:tc>
              <w:tc>
                <w:tcPr>
                  <w:tcW w:w="1187" w:type="dxa"/>
                  <w:vAlign w:val="center"/>
                </w:tcPr>
                <w:p w14:paraId="14B9594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14:paraId="7BFC982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3E24857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4D76730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4A2280B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450590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640DF3DA">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7CCE02D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蒸汽发生器</w:t>
                  </w:r>
                </w:p>
              </w:tc>
              <w:tc>
                <w:tcPr>
                  <w:tcW w:w="1187" w:type="dxa"/>
                  <w:vAlign w:val="center"/>
                </w:tcPr>
                <w:p w14:paraId="2E94DCA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14:paraId="65D1600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508346D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4806ECBA">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0EB0A27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18ABA3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6BDB75D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蒸汽发电车间</w:t>
                  </w:r>
                </w:p>
              </w:tc>
              <w:tc>
                <w:tcPr>
                  <w:tcW w:w="1438" w:type="dxa"/>
                  <w:vAlign w:val="center"/>
                </w:tcPr>
                <w:p w14:paraId="79832E4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汽轮机</w:t>
                  </w:r>
                </w:p>
              </w:tc>
              <w:tc>
                <w:tcPr>
                  <w:tcW w:w="1187" w:type="dxa"/>
                  <w:vAlign w:val="center"/>
                </w:tcPr>
                <w:p w14:paraId="32A23D7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14:paraId="2417342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219" w:type="dxa"/>
                  <w:vAlign w:val="center"/>
                </w:tcPr>
                <w:p w14:paraId="189AE8D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177" w:type="dxa"/>
                  <w:vAlign w:val="center"/>
                </w:tcPr>
                <w:p w14:paraId="4125B57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14:paraId="1206815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3EAC13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5BCC1F5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430EA3A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蒸汽发生器</w:t>
                  </w:r>
                </w:p>
              </w:tc>
              <w:tc>
                <w:tcPr>
                  <w:tcW w:w="1187" w:type="dxa"/>
                  <w:vAlign w:val="center"/>
                </w:tcPr>
                <w:p w14:paraId="6917FAB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14:paraId="402DF2D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219" w:type="dxa"/>
                  <w:vAlign w:val="center"/>
                </w:tcPr>
                <w:p w14:paraId="3F6294B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177" w:type="dxa"/>
                  <w:vAlign w:val="center"/>
                </w:tcPr>
                <w:p w14:paraId="5802620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1A0392E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5518D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08CF236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5173D86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引风机</w:t>
                  </w:r>
                </w:p>
              </w:tc>
              <w:tc>
                <w:tcPr>
                  <w:tcW w:w="1187" w:type="dxa"/>
                  <w:vAlign w:val="center"/>
                </w:tcPr>
                <w:p w14:paraId="7A85819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14:paraId="6F59D29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7FB7B35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30AA2B5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14:paraId="2EE5EE2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6EA644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020D701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净水车间</w:t>
                  </w:r>
                </w:p>
              </w:tc>
              <w:tc>
                <w:tcPr>
                  <w:tcW w:w="1438" w:type="dxa"/>
                  <w:vAlign w:val="center"/>
                </w:tcPr>
                <w:p w14:paraId="093B5A4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原水泵</w:t>
                  </w:r>
                </w:p>
              </w:tc>
              <w:tc>
                <w:tcPr>
                  <w:tcW w:w="1187" w:type="dxa"/>
                  <w:vAlign w:val="center"/>
                </w:tcPr>
                <w:p w14:paraId="145B4EF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14:paraId="01205E40">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14:paraId="0EDD9B1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14:paraId="653A635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65D5DF8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070D7A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6C28087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p>
              </w:tc>
              <w:tc>
                <w:tcPr>
                  <w:tcW w:w="1438" w:type="dxa"/>
                  <w:vAlign w:val="center"/>
                </w:tcPr>
                <w:p w14:paraId="0D5AD13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软化水泵</w:t>
                  </w:r>
                </w:p>
              </w:tc>
              <w:tc>
                <w:tcPr>
                  <w:tcW w:w="1187" w:type="dxa"/>
                  <w:vAlign w:val="center"/>
                </w:tcPr>
                <w:p w14:paraId="1AEA233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14:paraId="23EB449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14:paraId="53553830">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14:paraId="2EFF0F8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14:paraId="7CC03FA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71822C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restart"/>
                  <w:vAlign w:val="center"/>
                </w:tcPr>
                <w:p w14:paraId="6AD89A2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冷却水系统</w:t>
                  </w:r>
                </w:p>
              </w:tc>
              <w:tc>
                <w:tcPr>
                  <w:tcW w:w="1438" w:type="dxa"/>
                  <w:vAlign w:val="center"/>
                </w:tcPr>
                <w:p w14:paraId="0D7F7E0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机械冷却塔</w:t>
                  </w:r>
                </w:p>
              </w:tc>
              <w:tc>
                <w:tcPr>
                  <w:tcW w:w="1187" w:type="dxa"/>
                  <w:vAlign w:val="center"/>
                </w:tcPr>
                <w:p w14:paraId="1B8B34F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80~90</w:t>
                  </w:r>
                </w:p>
              </w:tc>
              <w:tc>
                <w:tcPr>
                  <w:tcW w:w="1219" w:type="dxa"/>
                  <w:vAlign w:val="center"/>
                </w:tcPr>
                <w:p w14:paraId="41B38A3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14:paraId="13F69FE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14:paraId="2363978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14:paraId="7F21575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14:paraId="2EC746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65" w:type="dxa"/>
                  <w:vMerge w:val="continue"/>
                  <w:vAlign w:val="center"/>
                </w:tcPr>
                <w:p w14:paraId="5EC2F2D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14:paraId="46731E62">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循环水泵</w:t>
                  </w:r>
                </w:p>
              </w:tc>
              <w:tc>
                <w:tcPr>
                  <w:tcW w:w="1187" w:type="dxa"/>
                  <w:vAlign w:val="center"/>
                </w:tcPr>
                <w:p w14:paraId="71C47B8B">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14:paraId="48CB14F9">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3</w:t>
                  </w:r>
                </w:p>
              </w:tc>
              <w:tc>
                <w:tcPr>
                  <w:tcW w:w="1219" w:type="dxa"/>
                  <w:vAlign w:val="center"/>
                </w:tcPr>
                <w:p w14:paraId="3E9FCD7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14:paraId="7116F5D0">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14:paraId="40D6466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bl>
          <w:p w14:paraId="11F6855C">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2、噪声环境影响分析</w:t>
            </w:r>
          </w:p>
          <w:p w14:paraId="08D4B120">
            <w:pPr>
              <w:pStyle w:val="47"/>
              <w:spacing w:line="360" w:lineRule="auto"/>
              <w:ind w:firstLine="480"/>
              <w:rPr>
                <w:rFonts w:hint="eastAsia" w:ascii="Times New Roman" w:cs="Times New Roman"/>
                <w:color w:val="auto"/>
              </w:rPr>
            </w:pPr>
            <w:r>
              <w:rPr>
                <w:rFonts w:hint="eastAsia" w:ascii="Times New Roman" w:cs="Times New Roman"/>
                <w:color w:val="auto"/>
              </w:rPr>
              <w:t>本次评价标准采用《工业企业厂界环境噪声排放标准》（GB12348-2008）中3类标准，即昼间：65dB（A）、夜间：55dB（A）。噪声源可视为点声源，根据点声源噪声衰减模式，各设备产生的影响采用以下预测模式：</w:t>
            </w:r>
          </w:p>
          <w:p w14:paraId="75FDFF07">
            <w:pPr>
              <w:keepNext w:val="0"/>
              <w:keepLines w:val="0"/>
              <w:numPr>
                <w:ilvl w:val="0"/>
                <w:numId w:val="3"/>
              </w:numPr>
              <w:suppressLineNumbers w:val="0"/>
              <w:shd w:val="clear"/>
              <w:spacing w:before="0" w:beforeAutospacing="0" w:after="0" w:afterAutospacing="0" w:line="360" w:lineRule="auto"/>
              <w:ind w:left="0" w:right="0" w:firstLine="436" w:firstLineChars="182"/>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项目声源在预测点产生的等效声级贡献值（</w:t>
            </w: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）计算公式：</w:t>
            </w:r>
          </w:p>
          <w:p w14:paraId="7A868E50">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30"/>
                <w:sz w:val="24"/>
                <w:highlight w:val="none"/>
              </w:rPr>
              <w:pict>
                <v:shape id="_x0000_s1038" o:spid="_x0000_s1038" o:spt="75" type="#_x0000_t75" style="position:absolute;left:0pt;margin-left:133.95pt;margin-top:6.75pt;height:36pt;width:130pt;mso-wrap-distance-bottom:0pt;mso-wrap-distance-top:0pt;z-index:251670528;mso-width-relative:page;mso-height-relative:page;" o:ole="t" filled="f" o:preferrelative="t" stroked="f" coordsize="21600,21600">
                  <v:path/>
                  <v:fill on="f" focussize="0,0"/>
                  <v:stroke on="f"/>
                  <v:imagedata r:id="rId37" o:title=""/>
                  <o:lock v:ext="edit" aspectratio="t"/>
                  <w10:wrap type="topAndBottom"/>
                </v:shape>
                <o:OLEObject Type="Embed" ProgID="Equation.3" ShapeID="_x0000_s1038" DrawAspect="Content" ObjectID="_1468075739" r:id="rId36">
                  <o:LockedField>false</o:LockedField>
                </o:OLEObject>
              </w:pict>
            </w:r>
            <w:r>
              <w:rPr>
                <w:rFonts w:hint="eastAsia" w:ascii="Times New Roman" w:hAnsi="Times New Roman" w:cs="Times New Roman"/>
                <w:color w:val="auto"/>
                <w:sz w:val="24"/>
                <w:highlight w:val="none"/>
              </w:rPr>
              <w:t>式中：</w:t>
            </w:r>
          </w:p>
          <w:p w14:paraId="2ECDA8A4">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—项目声源在预测点的等效声级贡献值，dB（A）；</w:t>
            </w:r>
          </w:p>
          <w:p w14:paraId="3302377D">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Ai</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i</w:t>
            </w:r>
            <w:r>
              <w:rPr>
                <w:rFonts w:hint="eastAsia" w:ascii="Times New Roman" w:hAnsi="Times New Roman" w:cs="Times New Roman"/>
                <w:color w:val="auto"/>
                <w:sz w:val="24"/>
                <w:highlight w:val="none"/>
              </w:rPr>
              <w:t>声源在预测点产生的A声级，dB（A）；</w:t>
            </w:r>
          </w:p>
          <w:p w14:paraId="5222223A">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T</w:t>
            </w:r>
            <w:r>
              <w:rPr>
                <w:rFonts w:hint="eastAsia" w:ascii="Times New Roman" w:hAnsi="Times New Roman" w:cs="Times New Roman"/>
                <w:color w:val="auto"/>
                <w:sz w:val="24"/>
                <w:highlight w:val="none"/>
              </w:rPr>
              <w:t>—预测计算的时间段，s；</w:t>
            </w:r>
          </w:p>
          <w:p w14:paraId="0FB73781">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T</w:t>
            </w:r>
            <w:r>
              <w:rPr>
                <w:rFonts w:hint="eastAsia" w:ascii="Times New Roman" w:hAnsi="Times New Roman" w:cs="Times New Roman"/>
                <w:i/>
                <w:iCs/>
                <w:color w:val="auto"/>
                <w:sz w:val="24"/>
                <w:highlight w:val="none"/>
                <w:vertAlign w:val="subscript"/>
              </w:rPr>
              <w:t>i</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i</w:t>
            </w:r>
            <w:r>
              <w:rPr>
                <w:rFonts w:hint="eastAsia" w:ascii="Times New Roman" w:hAnsi="Times New Roman" w:cs="Times New Roman"/>
                <w:color w:val="auto"/>
                <w:sz w:val="24"/>
                <w:highlight w:val="none"/>
              </w:rPr>
              <w:t>声源在</w:t>
            </w:r>
            <w:r>
              <w:rPr>
                <w:rFonts w:hint="eastAsia" w:ascii="Times New Roman" w:hAnsi="Times New Roman" w:cs="Times New Roman"/>
                <w:i/>
                <w:iCs/>
                <w:color w:val="auto"/>
                <w:sz w:val="24"/>
                <w:highlight w:val="none"/>
              </w:rPr>
              <w:t>T</w:t>
            </w:r>
            <w:r>
              <w:rPr>
                <w:rFonts w:hint="eastAsia" w:ascii="Times New Roman" w:hAnsi="Times New Roman" w:cs="Times New Roman"/>
                <w:color w:val="auto"/>
                <w:sz w:val="24"/>
                <w:highlight w:val="none"/>
              </w:rPr>
              <w:t>时段内的运行时间，s。</w:t>
            </w:r>
          </w:p>
          <w:p w14:paraId="736D8200">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当声源在厂房内，计算公式为：</w:t>
            </w:r>
          </w:p>
          <w:p w14:paraId="016A2D89">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39" o:spid="_x0000_s1039" o:spt="75" type="#_x0000_t75" style="position:absolute;left:0pt;margin-left:132.85pt;margin-top:1.1pt;height:22.75pt;width:159.15pt;mso-wrap-distance-bottom:0pt;mso-wrap-distance-top:0pt;z-index:251671552;mso-width-relative:page;mso-height-relative:page;" o:ole="t" filled="f" o:preferrelative="t" stroked="f" coordsize="21600,21600">
                  <v:path/>
                  <v:fill on="f" focussize="0,0"/>
                  <v:stroke on="f"/>
                  <v:imagedata r:id="rId39" o:title=""/>
                  <o:lock v:ext="edit" aspectratio="t"/>
                  <w10:wrap type="topAndBottom"/>
                </v:shape>
                <o:OLEObject Type="Embed" ProgID="Equation.3" ShapeID="_x0000_s1039" DrawAspect="Content" ObjectID="_1468075740" r:id="rId38">
                  <o:LockedField>false</o:LockedField>
                </o:OLEObject>
              </w:pict>
            </w:r>
            <w:r>
              <w:rPr>
                <w:rFonts w:hint="eastAsia" w:ascii="Times New Roman" w:hAnsi="Times New Roman" w:cs="Times New Roman"/>
                <w:color w:val="auto"/>
                <w:sz w:val="24"/>
                <w:highlight w:val="none"/>
              </w:rPr>
              <w:t>式中：</w:t>
            </w:r>
            <w:r>
              <w:rPr>
                <w:rFonts w:hint="eastAsia" w:ascii="Times New Roman" w:hAnsi="Times New Roman" w:cs="Times New Roman"/>
                <w:i/>
                <w:iCs/>
                <w:color w:val="auto"/>
                <w:sz w:val="24"/>
                <w:highlight w:val="none"/>
              </w:rPr>
              <w:t>r</w:t>
            </w:r>
            <w:r>
              <w:rPr>
                <w:rFonts w:hint="eastAsia" w:ascii="Times New Roman" w:hAnsi="Times New Roman" w:cs="Times New Roman"/>
                <w:i/>
                <w:iCs/>
                <w:color w:val="auto"/>
                <w:sz w:val="24"/>
                <w:highlight w:val="none"/>
                <w:vertAlign w:val="subscript"/>
              </w:rPr>
              <w:t>1</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r</w:t>
            </w:r>
            <w:r>
              <w:rPr>
                <w:rFonts w:hint="eastAsia" w:ascii="Times New Roman" w:hAnsi="Times New Roman" w:cs="Times New Roman"/>
                <w:i/>
                <w:iCs/>
                <w:color w:val="auto"/>
                <w:sz w:val="24"/>
                <w:highlight w:val="none"/>
                <w:vertAlign w:val="subscript"/>
              </w:rPr>
              <w:t>2</w:t>
            </w:r>
            <w:r>
              <w:rPr>
                <w:rFonts w:hint="eastAsia" w:ascii="Times New Roman" w:hAnsi="Times New Roman" w:cs="Times New Roman"/>
                <w:color w:val="auto"/>
                <w:sz w:val="24"/>
                <w:highlight w:val="none"/>
              </w:rPr>
              <w:t>—声源到墙面的距离。</w:t>
            </w:r>
          </w:p>
          <w:p w14:paraId="3F980BF0">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噪声出厂房外衰减采用自由公式：</w:t>
            </w:r>
          </w:p>
          <w:p w14:paraId="2E69BA58">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40" o:spid="_x0000_s1040" o:spt="75" type="#_x0000_t75" style="position:absolute;left:0pt;margin-left:133.9pt;margin-top:3.25pt;height:23.15pt;width:144.35pt;mso-wrap-distance-bottom:0pt;mso-wrap-distance-top:0pt;z-index:251672576;mso-width-relative:page;mso-height-relative:page;" o:ole="t" filled="f" o:preferrelative="t" stroked="f" coordsize="21600,21600">
                  <v:path/>
                  <v:fill on="f" focussize="0,0"/>
                  <v:stroke on="f"/>
                  <v:imagedata r:id="rId41" o:title=""/>
                  <o:lock v:ext="edit" aspectratio="t"/>
                  <w10:wrap type="topAndBottom"/>
                </v:shape>
                <o:OLEObject Type="Embed" ProgID="Equation.3" ShapeID="_x0000_s1040" DrawAspect="Content" ObjectID="_1468075741" r:id="rId40">
                  <o:LockedField>false</o:LockedField>
                </o:OLEObject>
              </w:pict>
            </w:r>
            <w:r>
              <w:rPr>
                <w:rFonts w:hint="eastAsia" w:ascii="Times New Roman" w:hAnsi="Times New Roman" w:cs="Times New Roman"/>
                <w:color w:val="auto"/>
                <w:sz w:val="24"/>
                <w:highlight w:val="none"/>
              </w:rPr>
              <w:t>预测点的预测等效声级（</w:t>
            </w: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w:t>
            </w:r>
            <w:r>
              <w:rPr>
                <w:rFonts w:hint="eastAsia" w:ascii="Times New Roman" w:hAnsi="Times New Roman" w:cs="Times New Roman"/>
                <w:color w:val="auto"/>
                <w:sz w:val="24"/>
                <w:highlight w:val="none"/>
              </w:rPr>
              <w:t>）计算公式：</w:t>
            </w:r>
          </w:p>
          <w:p w14:paraId="6D235689">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41" o:spid="_x0000_s1041" o:spt="75" type="#_x0000_t75" style="position:absolute;left:0pt;margin-left:132.8pt;margin-top:6.45pt;height:26.9pt;width:175.45pt;mso-wrap-distance-bottom:0pt;mso-wrap-distance-top:0pt;z-index:251673600;mso-width-relative:page;mso-height-relative:page;" o:ole="t" filled="f" o:preferrelative="t" stroked="f" coordsize="21600,21600">
                  <v:path/>
                  <v:fill on="f" focussize="0,0"/>
                  <v:stroke on="f"/>
                  <v:imagedata r:id="rId43" o:title=""/>
                  <o:lock v:ext="edit" aspectratio="t"/>
                  <w10:wrap type="topAndBottom"/>
                </v:shape>
                <o:OLEObject Type="Embed" ProgID="Equation.3" ShapeID="_x0000_s1041" DrawAspect="Content" ObjectID="_1468075742" r:id="rId42">
                  <o:LockedField>false</o:LockedField>
                </o:OLEObject>
              </w:pict>
            </w:r>
            <w:r>
              <w:rPr>
                <w:rFonts w:hint="eastAsia" w:ascii="Times New Roman" w:hAnsi="Times New Roman" w:cs="Times New Roman"/>
                <w:color w:val="auto"/>
                <w:sz w:val="24"/>
                <w:highlight w:val="none"/>
              </w:rPr>
              <w:t>式中：</w:t>
            </w:r>
          </w:p>
          <w:p w14:paraId="34017889">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—项目声源在预测点的等效声级贡献值，dB（A）；</w:t>
            </w:r>
          </w:p>
          <w:p w14:paraId="3A0B0A93">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eqb</w:t>
            </w:r>
            <w:r>
              <w:rPr>
                <w:rFonts w:hint="eastAsia" w:ascii="Times New Roman" w:hAnsi="Times New Roman" w:cs="Times New Roman"/>
                <w:color w:val="auto"/>
                <w:sz w:val="24"/>
                <w:highlight w:val="none"/>
              </w:rPr>
              <w:t>—预测点的背景值，dB（A）。</w:t>
            </w:r>
          </w:p>
          <w:p w14:paraId="4442E0CA">
            <w:pPr>
              <w:keepNext w:val="0"/>
              <w:keepLines w:val="0"/>
              <w:suppressLineNumbers w:val="0"/>
              <w:shd w:val="clear"/>
              <w:spacing w:before="0" w:beforeAutospacing="0" w:after="0" w:afterAutospacing="0"/>
              <w:ind w:left="0" w:right="0" w:firstLine="48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利用公式对项目各设备运行状态时的厂界噪声值进行叠加预测，结果见表</w:t>
            </w:r>
            <w:r>
              <w:rPr>
                <w:rFonts w:hint="eastAsia" w:cs="Times New Roman"/>
                <w:color w:val="auto"/>
                <w:sz w:val="24"/>
                <w:highlight w:val="none"/>
                <w:lang w:val="en-US" w:eastAsia="zh-CN"/>
              </w:rPr>
              <w:t>4-23</w:t>
            </w:r>
            <w:r>
              <w:rPr>
                <w:rFonts w:hint="eastAsia" w:ascii="Times New Roman" w:hAnsi="Times New Roman" w:cs="Times New Roman"/>
                <w:color w:val="auto"/>
                <w:sz w:val="24"/>
                <w:highlight w:val="none"/>
                <w:lang w:eastAsia="zh-CN"/>
              </w:rPr>
              <w:t>。</w:t>
            </w:r>
          </w:p>
          <w:p w14:paraId="071C2D8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val="en-US" w:eastAsia="zh-CN"/>
              </w:rPr>
              <w:t>4-23</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噪声影响预测结果                    单位：dB（A）</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151"/>
              <w:gridCol w:w="1385"/>
              <w:gridCol w:w="1385"/>
              <w:gridCol w:w="1385"/>
              <w:gridCol w:w="1385"/>
            </w:tblGrid>
            <w:tr w14:paraId="29FFB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2" w:type="dxa"/>
                  <w:gridSpan w:val="2"/>
                  <w:vAlign w:val="center"/>
                </w:tcPr>
                <w:p w14:paraId="0EF868EB">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项目</w:t>
                  </w:r>
                </w:p>
              </w:tc>
              <w:tc>
                <w:tcPr>
                  <w:tcW w:w="1385" w:type="dxa"/>
                  <w:vAlign w:val="center"/>
                </w:tcPr>
                <w:p w14:paraId="14F72E2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东厂界</w:t>
                  </w:r>
                  <w:r>
                    <w:rPr>
                      <w:rFonts w:hint="eastAsia" w:ascii="Times New Roman" w:hAnsi="Times New Roman" w:cs="Times New Roman"/>
                      <w:color w:val="auto"/>
                      <w:spacing w:val="-6"/>
                      <w:sz w:val="21"/>
                      <w:szCs w:val="21"/>
                      <w:highlight w:val="none"/>
                      <w:lang w:val="en-US" w:eastAsia="zh-CN"/>
                    </w:rPr>
                    <w:t xml:space="preserve"> </w:t>
                  </w:r>
                </w:p>
              </w:tc>
              <w:tc>
                <w:tcPr>
                  <w:tcW w:w="1385" w:type="dxa"/>
                  <w:vAlign w:val="center"/>
                </w:tcPr>
                <w:p w14:paraId="7061CFBA">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南厂界</w:t>
                  </w:r>
                </w:p>
              </w:tc>
              <w:tc>
                <w:tcPr>
                  <w:tcW w:w="1385" w:type="dxa"/>
                  <w:vAlign w:val="center"/>
                </w:tcPr>
                <w:p w14:paraId="12CE4293">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西厂界</w:t>
                  </w:r>
                </w:p>
              </w:tc>
              <w:tc>
                <w:tcPr>
                  <w:tcW w:w="1385" w:type="dxa"/>
                  <w:vAlign w:val="center"/>
                </w:tcPr>
                <w:p w14:paraId="05905B4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北厂界</w:t>
                  </w:r>
                </w:p>
              </w:tc>
            </w:tr>
            <w:tr w14:paraId="667A70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2" w:type="dxa"/>
                  <w:gridSpan w:val="2"/>
                  <w:vAlign w:val="center"/>
                </w:tcPr>
                <w:p w14:paraId="6079DC3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项目噪声厂界贡献值</w:t>
                  </w:r>
                </w:p>
              </w:tc>
              <w:tc>
                <w:tcPr>
                  <w:tcW w:w="1385" w:type="dxa"/>
                  <w:vAlign w:val="center"/>
                </w:tcPr>
                <w:p w14:paraId="2FF99BDB">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w:t>
                  </w:r>
                  <w:r>
                    <w:rPr>
                      <w:rFonts w:hint="eastAsia" w:ascii="Times New Roman" w:hAnsi="Times New Roman" w:cs="Times New Roman"/>
                      <w:color w:val="auto"/>
                      <w:spacing w:val="-6"/>
                      <w:sz w:val="21"/>
                      <w:szCs w:val="21"/>
                      <w:highlight w:val="none"/>
                      <w:lang w:val="en-US" w:eastAsia="zh-CN"/>
                    </w:rPr>
                    <w:t>1.3</w:t>
                  </w:r>
                </w:p>
              </w:tc>
              <w:tc>
                <w:tcPr>
                  <w:tcW w:w="1385" w:type="dxa"/>
                  <w:vAlign w:val="center"/>
                </w:tcPr>
                <w:p w14:paraId="48771C03">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42.2</w:t>
                  </w:r>
                </w:p>
              </w:tc>
              <w:tc>
                <w:tcPr>
                  <w:tcW w:w="1385" w:type="dxa"/>
                  <w:vAlign w:val="center"/>
                </w:tcPr>
                <w:p w14:paraId="74F43A07">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45.7</w:t>
                  </w:r>
                </w:p>
              </w:tc>
              <w:tc>
                <w:tcPr>
                  <w:tcW w:w="1385" w:type="dxa"/>
                  <w:vAlign w:val="center"/>
                </w:tcPr>
                <w:p w14:paraId="201A933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49.1</w:t>
                  </w:r>
                </w:p>
              </w:tc>
            </w:tr>
            <w:tr w14:paraId="7C5117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vMerge w:val="restart"/>
                  <w:vAlign w:val="center"/>
                </w:tcPr>
                <w:p w14:paraId="291973E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背景值</w:t>
                  </w:r>
                </w:p>
              </w:tc>
              <w:tc>
                <w:tcPr>
                  <w:tcW w:w="1151" w:type="dxa"/>
                  <w:vAlign w:val="center"/>
                </w:tcPr>
                <w:p w14:paraId="6FC3385D">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昼间</w:t>
                  </w:r>
                </w:p>
              </w:tc>
              <w:tc>
                <w:tcPr>
                  <w:tcW w:w="1385" w:type="dxa"/>
                  <w:vAlign w:val="center"/>
                </w:tcPr>
                <w:p w14:paraId="580932A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41</w:t>
                  </w:r>
                </w:p>
              </w:tc>
              <w:tc>
                <w:tcPr>
                  <w:tcW w:w="1385" w:type="dxa"/>
                  <w:vAlign w:val="center"/>
                </w:tcPr>
                <w:p w14:paraId="1033022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41</w:t>
                  </w:r>
                </w:p>
              </w:tc>
              <w:tc>
                <w:tcPr>
                  <w:tcW w:w="1385" w:type="dxa"/>
                  <w:vAlign w:val="center"/>
                </w:tcPr>
                <w:p w14:paraId="6A9F270F">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85" w:type="dxa"/>
                  <w:vAlign w:val="center"/>
                </w:tcPr>
                <w:p w14:paraId="37653C93">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40</w:t>
                  </w:r>
                </w:p>
              </w:tc>
            </w:tr>
            <w:tr w14:paraId="100A15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vMerge w:val="continue"/>
                  <w:vAlign w:val="center"/>
                </w:tcPr>
                <w:p w14:paraId="4DEDFC5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c>
                <w:tcPr>
                  <w:tcW w:w="1151" w:type="dxa"/>
                  <w:vAlign w:val="center"/>
                </w:tcPr>
                <w:p w14:paraId="787935F5">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夜间</w:t>
                  </w:r>
                </w:p>
              </w:tc>
              <w:tc>
                <w:tcPr>
                  <w:tcW w:w="1385" w:type="dxa"/>
                  <w:vAlign w:val="center"/>
                </w:tcPr>
                <w:p w14:paraId="461BC274">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39</w:t>
                  </w:r>
                </w:p>
              </w:tc>
              <w:tc>
                <w:tcPr>
                  <w:tcW w:w="1385" w:type="dxa"/>
                  <w:vAlign w:val="center"/>
                </w:tcPr>
                <w:p w14:paraId="555C0188">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38</w:t>
                  </w:r>
                </w:p>
              </w:tc>
              <w:tc>
                <w:tcPr>
                  <w:tcW w:w="1385" w:type="dxa"/>
                  <w:vAlign w:val="center"/>
                </w:tcPr>
                <w:p w14:paraId="3245FD27">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85" w:type="dxa"/>
                  <w:vAlign w:val="center"/>
                </w:tcPr>
                <w:p w14:paraId="3FB07BC9">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38</w:t>
                  </w:r>
                </w:p>
              </w:tc>
            </w:tr>
            <w:tr w14:paraId="46CB8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vMerge w:val="restart"/>
                  <w:vAlign w:val="center"/>
                </w:tcPr>
                <w:p w14:paraId="728408D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叠加值</w:t>
                  </w:r>
                </w:p>
              </w:tc>
              <w:tc>
                <w:tcPr>
                  <w:tcW w:w="1151" w:type="dxa"/>
                  <w:vAlign w:val="center"/>
                </w:tcPr>
                <w:p w14:paraId="643C5384">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昼间</w:t>
                  </w:r>
                </w:p>
              </w:tc>
              <w:tc>
                <w:tcPr>
                  <w:tcW w:w="1385" w:type="dxa"/>
                  <w:vAlign w:val="center"/>
                </w:tcPr>
                <w:p w14:paraId="7BFE7E89">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51.69</w:t>
                  </w:r>
                </w:p>
              </w:tc>
              <w:tc>
                <w:tcPr>
                  <w:tcW w:w="1385" w:type="dxa"/>
                  <w:vAlign w:val="center"/>
                </w:tcPr>
                <w:p w14:paraId="1B22621F">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44.65</w:t>
                  </w:r>
                </w:p>
              </w:tc>
              <w:tc>
                <w:tcPr>
                  <w:tcW w:w="1385" w:type="dxa"/>
                  <w:vAlign w:val="center"/>
                </w:tcPr>
                <w:p w14:paraId="1EEEC5B9">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46.74</w:t>
                  </w:r>
                </w:p>
              </w:tc>
              <w:tc>
                <w:tcPr>
                  <w:tcW w:w="1385" w:type="dxa"/>
                  <w:vAlign w:val="center"/>
                </w:tcPr>
                <w:p w14:paraId="19B27BE8">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49.60</w:t>
                  </w:r>
                </w:p>
              </w:tc>
            </w:tr>
            <w:tr w14:paraId="5DBBC4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vMerge w:val="continue"/>
                  <w:vAlign w:val="center"/>
                </w:tcPr>
                <w:p w14:paraId="24D00926">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c>
                <w:tcPr>
                  <w:tcW w:w="1151" w:type="dxa"/>
                  <w:vAlign w:val="center"/>
                </w:tcPr>
                <w:p w14:paraId="603EED41">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夜间</w:t>
                  </w:r>
                </w:p>
              </w:tc>
              <w:tc>
                <w:tcPr>
                  <w:tcW w:w="1385" w:type="dxa"/>
                  <w:vAlign w:val="center"/>
                </w:tcPr>
                <w:p w14:paraId="5A6202F5">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51.55</w:t>
                  </w:r>
                </w:p>
              </w:tc>
              <w:tc>
                <w:tcPr>
                  <w:tcW w:w="1385" w:type="dxa"/>
                  <w:vAlign w:val="center"/>
                </w:tcPr>
                <w:p w14:paraId="764D8616">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43.60</w:t>
                  </w:r>
                </w:p>
              </w:tc>
              <w:tc>
                <w:tcPr>
                  <w:tcW w:w="1385" w:type="dxa"/>
                  <w:vAlign w:val="center"/>
                </w:tcPr>
                <w:p w14:paraId="42EECCBA">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46.38</w:t>
                  </w:r>
                </w:p>
              </w:tc>
              <w:tc>
                <w:tcPr>
                  <w:tcW w:w="1385" w:type="dxa"/>
                  <w:vAlign w:val="center"/>
                </w:tcPr>
                <w:p w14:paraId="0EDAE190">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49.42</w:t>
                  </w:r>
                </w:p>
              </w:tc>
            </w:tr>
          </w:tbl>
          <w:p w14:paraId="4AD11615">
            <w:pPr>
              <w:pStyle w:val="47"/>
              <w:spacing w:line="360" w:lineRule="auto"/>
              <w:ind w:firstLine="480"/>
              <w:rPr>
                <w:rFonts w:hint="eastAsia" w:ascii="Times New Roman" w:cs="Times New Roman"/>
                <w:color w:val="auto"/>
              </w:rPr>
            </w:pPr>
            <w:r>
              <w:rPr>
                <w:rFonts w:hint="eastAsia" w:ascii="Times New Roman" w:cs="Times New Roman"/>
                <w:color w:val="auto"/>
              </w:rPr>
              <w:t>根据上表预测结果可知，当项目所有设备同时运行时，厂界四周噪声贡献值均满足《工业企业厂界环境噪声排放标准》（GB12348-2008）3类标准要求，在叠加背景值后项目区四周噪声亦能够满足《声环境质量标准》(GB3096-2008)中相应功能区划要求。为降低项目噪声对周围环境的影响，可采取以下控制措施：</w:t>
            </w:r>
          </w:p>
          <w:p w14:paraId="5E7B7C19">
            <w:pPr>
              <w:pStyle w:val="47"/>
              <w:spacing w:line="360" w:lineRule="auto"/>
              <w:ind w:firstLine="480"/>
              <w:rPr>
                <w:rFonts w:hint="eastAsia" w:ascii="Times New Roman" w:cs="Times New Roman"/>
                <w:color w:val="auto"/>
              </w:rPr>
            </w:pPr>
            <w:r>
              <w:rPr>
                <w:rFonts w:hint="eastAsia" w:ascii="Times New Roman" w:cs="Times New Roman"/>
                <w:color w:val="auto"/>
              </w:rPr>
              <w:t>（1）选用先进的低噪声设备，从源头降低噪声，减少噪声对员工和周围环境的影响；</w:t>
            </w:r>
          </w:p>
          <w:p w14:paraId="17567CDA">
            <w:pPr>
              <w:pStyle w:val="47"/>
              <w:spacing w:line="360" w:lineRule="auto"/>
              <w:ind w:firstLine="480"/>
              <w:rPr>
                <w:rFonts w:hint="eastAsia" w:ascii="Times New Roman" w:cs="Times New Roman"/>
                <w:color w:val="auto"/>
              </w:rPr>
            </w:pPr>
            <w:r>
              <w:rPr>
                <w:rFonts w:hint="eastAsia" w:ascii="Times New Roman" w:cs="Times New Roman"/>
                <w:color w:val="auto"/>
              </w:rPr>
              <w:t>（2）尽量将各类高噪声设备安装在室内，并且安装时采取隔声减振措施，对房屋墙壁做隔声处理；</w:t>
            </w:r>
          </w:p>
          <w:p w14:paraId="46CADC20">
            <w:pPr>
              <w:pStyle w:val="47"/>
              <w:spacing w:line="360" w:lineRule="auto"/>
              <w:ind w:firstLine="480"/>
              <w:rPr>
                <w:rFonts w:hint="eastAsia" w:ascii="Times New Roman" w:cs="Times New Roman"/>
                <w:color w:val="auto"/>
              </w:rPr>
            </w:pPr>
            <w:r>
              <w:rPr>
                <w:rFonts w:hint="eastAsia" w:ascii="Times New Roman" w:cs="Times New Roman"/>
                <w:color w:val="auto"/>
              </w:rPr>
              <w:t>（3）定期检测设备，加强设备的维护，确保设备处于良好的运转状态，杜绝因设备不正常运转时产生的高噪声现象，做到文明生产；</w:t>
            </w:r>
          </w:p>
          <w:p w14:paraId="7DD72143">
            <w:pPr>
              <w:pStyle w:val="47"/>
              <w:spacing w:line="360" w:lineRule="auto"/>
              <w:ind w:firstLine="480"/>
              <w:rPr>
                <w:rFonts w:hint="eastAsia" w:ascii="Times New Roman" w:cs="Times New Roman"/>
                <w:color w:val="auto"/>
              </w:rPr>
            </w:pPr>
            <w:r>
              <w:rPr>
                <w:rFonts w:hint="eastAsia" w:ascii="Times New Roman" w:cs="Times New Roman"/>
                <w:color w:val="auto"/>
              </w:rPr>
              <w:t>（4）加强厂区绿化，在厂区四周多种植树木，使其形成绿化带，以降低噪声对外环境的影响。</w:t>
            </w:r>
          </w:p>
          <w:p w14:paraId="46F45600">
            <w:pPr>
              <w:pStyle w:val="47"/>
              <w:spacing w:line="360" w:lineRule="auto"/>
              <w:ind w:firstLine="480"/>
              <w:rPr>
                <w:rFonts w:hint="eastAsia" w:ascii="Times New Roman" w:cs="Times New Roman"/>
                <w:color w:val="auto"/>
              </w:rPr>
            </w:pPr>
            <w:r>
              <w:rPr>
                <w:rFonts w:hint="eastAsia" w:ascii="Times New Roman" w:cs="Times New Roman"/>
                <w:color w:val="auto"/>
              </w:rPr>
              <w:t>经采取上述措施后，并经距离衰减后，项目厂界噪声均可达到《工业企业厂界环境噪声排放标准》（GB12348-2008）3类标准。因此，故对本项目噪声周围声环境影响不大。</w:t>
            </w:r>
          </w:p>
          <w:p w14:paraId="438F7827">
            <w:pPr>
              <w:tabs>
                <w:tab w:val="center" w:pos="4736"/>
              </w:tabs>
              <w:spacing w:line="360" w:lineRule="auto"/>
              <w:ind w:firstLine="482" w:firstLineChars="200"/>
              <w:jc w:val="left"/>
              <w:rPr>
                <w:rFonts w:hint="eastAsia"/>
                <w:color w:val="auto"/>
                <w:sz w:val="24"/>
                <w:lang w:val="en-US" w:eastAsia="zh-CN"/>
              </w:rPr>
            </w:pPr>
            <w:r>
              <w:rPr>
                <w:rFonts w:hint="eastAsia"/>
                <w:b/>
                <w:color w:val="auto"/>
                <w:sz w:val="24"/>
                <w:lang w:eastAsia="zh-CN"/>
              </w:rPr>
              <w:t>四、固体废物</w:t>
            </w:r>
          </w:p>
          <w:p w14:paraId="0ABE9675">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1、固体废物产生量及处置去向</w:t>
            </w:r>
          </w:p>
          <w:p w14:paraId="6119197C">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本项目运营期间固体废物主要是除尘器的收集尘、净水系统产生的废弃离子树脂、汽轮机产生的废润滑油</w:t>
            </w:r>
            <w:r>
              <w:rPr>
                <w:rFonts w:hint="eastAsia"/>
                <w:color w:val="auto"/>
                <w:sz w:val="24"/>
                <w:lang w:eastAsia="zh-CN"/>
              </w:rPr>
              <w:t>、</w:t>
            </w:r>
            <w:r>
              <w:rPr>
                <w:rFonts w:hint="eastAsia"/>
                <w:color w:val="auto"/>
                <w:sz w:val="24"/>
              </w:rPr>
              <w:t>工作人员生活垃圾</w:t>
            </w:r>
            <w:r>
              <w:rPr>
                <w:rFonts w:hint="eastAsia"/>
                <w:color w:val="auto"/>
                <w:sz w:val="24"/>
                <w:lang w:eastAsia="zh-CN"/>
              </w:rPr>
              <w:t>以及脱硫石膏</w:t>
            </w:r>
            <w:r>
              <w:rPr>
                <w:rFonts w:hint="eastAsia"/>
                <w:color w:val="auto"/>
                <w:sz w:val="24"/>
              </w:rPr>
              <w:t>。其中：</w:t>
            </w:r>
          </w:p>
          <w:p w14:paraId="1994891F">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（1）一般工业固体废物</w:t>
            </w:r>
          </w:p>
          <w:p w14:paraId="483C311E">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①除尘器收集尘S1</w:t>
            </w:r>
          </w:p>
          <w:p w14:paraId="748C5710">
            <w:pPr>
              <w:keepNext w:val="0"/>
              <w:keepLines w:val="0"/>
              <w:pageBreakBefore w:val="0"/>
              <w:widowControl w:val="0"/>
              <w:numPr>
                <w:ilvl w:val="0"/>
                <w:numId w:val="0"/>
              </w:numPr>
              <w:tabs>
                <w:tab w:val="center" w:pos="473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根据上文分析内容，项目上料废气、炭化烟气和机制炭废气均设置有袋式除尘系统，其中：上料车间除尘器收集的粉尘中含有棉杆碎屑、秸秆上沾染的粉尘等，收集后</w:t>
            </w:r>
            <w:r>
              <w:rPr>
                <w:rFonts w:hint="eastAsia"/>
                <w:color w:val="auto"/>
                <w:sz w:val="24"/>
                <w:lang w:eastAsia="zh-CN"/>
              </w:rPr>
              <w:t>还</w:t>
            </w:r>
            <w:r>
              <w:rPr>
                <w:rFonts w:hint="eastAsia"/>
                <w:color w:val="auto"/>
                <w:sz w:val="24"/>
              </w:rPr>
              <w:t>用于周边农田；炭化烟气和机制碳废气收集尘中主要成分为炭粉，经收集后洒入棉杆基炭中回用于机制和成型工段。项目收集尘产生及去向见表</w:t>
            </w:r>
            <w:r>
              <w:rPr>
                <w:rFonts w:hint="eastAsia"/>
                <w:color w:val="auto"/>
                <w:sz w:val="24"/>
                <w:lang w:val="en-US" w:eastAsia="zh-CN"/>
              </w:rPr>
              <w:t>4-24</w:t>
            </w:r>
            <w:r>
              <w:rPr>
                <w:rFonts w:hint="eastAsia"/>
                <w:color w:val="auto"/>
                <w:sz w:val="24"/>
              </w:rPr>
              <w:t>。</w:t>
            </w:r>
          </w:p>
          <w:p w14:paraId="53F2FB82">
            <w:pPr>
              <w:pStyle w:val="79"/>
              <w:keepNext w:val="0"/>
              <w:keepLines w:val="0"/>
              <w:suppressLineNumbers w:val="0"/>
              <w:spacing w:beforeAutospacing="0" w:after="0" w:afterAutospacing="0" w:line="240" w:lineRule="auto"/>
              <w:ind w:left="0" w:right="0" w:firstLine="630" w:firstLineChars="300"/>
              <w:jc w:val="both"/>
              <w:rPr>
                <w:rFonts w:hint="default"/>
                <w:color w:val="auto"/>
                <w:lang w:bidi="ar"/>
              </w:rPr>
            </w:pPr>
            <w:r>
              <w:rPr>
                <w:rFonts w:hint="default"/>
                <w:color w:val="auto"/>
                <w:lang w:bidi="ar"/>
              </w:rPr>
              <w:t>表</w:t>
            </w:r>
            <w:r>
              <w:rPr>
                <w:rFonts w:hint="eastAsia"/>
                <w:color w:val="auto"/>
                <w:lang w:val="en-US" w:eastAsia="zh-CN" w:bidi="ar"/>
              </w:rPr>
              <w:t>4-24</w:t>
            </w:r>
            <w:r>
              <w:rPr>
                <w:rFonts w:hint="default"/>
                <w:color w:val="auto"/>
                <w:lang w:bidi="ar"/>
              </w:rPr>
              <w:t xml:space="preserve">                      </w:t>
            </w:r>
            <w:r>
              <w:rPr>
                <w:rFonts w:hint="eastAsia"/>
                <w:color w:val="auto"/>
                <w:lang w:eastAsia="zh-CN" w:bidi="ar"/>
              </w:rPr>
              <w:t>收集尘产生及处置情况表</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2024"/>
              <w:gridCol w:w="3765"/>
            </w:tblGrid>
            <w:tr w14:paraId="37D300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tblHeader/>
                <w:jc w:val="center"/>
              </w:trPr>
              <w:tc>
                <w:tcPr>
                  <w:tcW w:w="2523" w:type="dxa"/>
                  <w:vAlign w:val="center"/>
                </w:tcPr>
                <w:p w14:paraId="6FFE0A9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项目</w:t>
                  </w:r>
                </w:p>
              </w:tc>
              <w:tc>
                <w:tcPr>
                  <w:tcW w:w="2024" w:type="dxa"/>
                  <w:vAlign w:val="center"/>
                </w:tcPr>
                <w:p w14:paraId="6DF7D91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收集尘产生量</w:t>
                  </w:r>
                </w:p>
              </w:tc>
              <w:tc>
                <w:tcPr>
                  <w:tcW w:w="3765" w:type="dxa"/>
                  <w:vAlign w:val="center"/>
                </w:tcPr>
                <w:p w14:paraId="6AE32FA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处置措施</w:t>
                  </w:r>
                </w:p>
              </w:tc>
            </w:tr>
            <w:tr w14:paraId="763A85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2523" w:type="dxa"/>
                  <w:vAlign w:val="center"/>
                </w:tcPr>
                <w:p w14:paraId="589DC35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上料车间除尘器</w:t>
                  </w:r>
                </w:p>
              </w:tc>
              <w:tc>
                <w:tcPr>
                  <w:tcW w:w="2024" w:type="dxa"/>
                  <w:vAlign w:val="center"/>
                </w:tcPr>
                <w:p w14:paraId="75850BA8">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128.75t/a</w:t>
                  </w:r>
                </w:p>
              </w:tc>
              <w:tc>
                <w:tcPr>
                  <w:tcW w:w="3765" w:type="dxa"/>
                  <w:vAlign w:val="center"/>
                </w:tcPr>
                <w:p w14:paraId="0C71719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收集后还用于周边农田</w:t>
                  </w:r>
                </w:p>
              </w:tc>
            </w:tr>
            <w:tr w14:paraId="7FDD4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2523" w:type="dxa"/>
                  <w:vAlign w:val="center"/>
                </w:tcPr>
                <w:p w14:paraId="4C7ADDE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1#</w:t>
                  </w:r>
                </w:p>
              </w:tc>
              <w:tc>
                <w:tcPr>
                  <w:tcW w:w="2024" w:type="dxa"/>
                  <w:vAlign w:val="center"/>
                </w:tcPr>
                <w:p w14:paraId="7DC0020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1177.87</w:t>
                  </w:r>
                  <w:r>
                    <w:rPr>
                      <w:rFonts w:hint="eastAsia" w:ascii="Times New Roman" w:hAnsi="Times New Roman" w:eastAsia="宋体" w:cs="Times New Roman"/>
                      <w:color w:val="auto"/>
                      <w:sz w:val="21"/>
                      <w:szCs w:val="21"/>
                      <w:lang w:val="en-US" w:eastAsia="zh-CN" w:bidi="en-US"/>
                    </w:rPr>
                    <w:t>t/a</w:t>
                  </w:r>
                </w:p>
              </w:tc>
              <w:tc>
                <w:tcPr>
                  <w:tcW w:w="3765" w:type="dxa"/>
                  <w:vMerge w:val="restart"/>
                  <w:vAlign w:val="center"/>
                </w:tcPr>
                <w:p w14:paraId="42A6572E">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收集后洒入棉杆基炭中回用于机制和成型工段</w:t>
                  </w:r>
                </w:p>
              </w:tc>
            </w:tr>
            <w:tr w14:paraId="75A6BF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2523" w:type="dxa"/>
                  <w:vAlign w:val="center"/>
                </w:tcPr>
                <w:p w14:paraId="0A253C1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2#</w:t>
                  </w:r>
                </w:p>
              </w:tc>
              <w:tc>
                <w:tcPr>
                  <w:tcW w:w="2024" w:type="dxa"/>
                  <w:vAlign w:val="center"/>
                </w:tcPr>
                <w:p w14:paraId="11A8FD91">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2355.74</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14:paraId="19883D5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r w14:paraId="105CB6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2523" w:type="dxa"/>
                  <w:vAlign w:val="center"/>
                </w:tcPr>
                <w:p w14:paraId="6AC8B5E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3#</w:t>
                  </w:r>
                </w:p>
              </w:tc>
              <w:tc>
                <w:tcPr>
                  <w:tcW w:w="2024" w:type="dxa"/>
                  <w:vAlign w:val="center"/>
                </w:tcPr>
                <w:p w14:paraId="1759721F">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2355.74</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14:paraId="1B93DF4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r w14:paraId="2B2F4E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2523" w:type="dxa"/>
                  <w:vAlign w:val="center"/>
                </w:tcPr>
                <w:p w14:paraId="172F2C6D">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机制炭车间除尘器</w:t>
                  </w:r>
                  <w:r>
                    <w:rPr>
                      <w:rFonts w:hint="eastAsia" w:ascii="Times New Roman" w:hAnsi="Times New Roman" w:eastAsia="宋体" w:cs="Times New Roman"/>
                      <w:color w:val="auto"/>
                      <w:sz w:val="21"/>
                      <w:szCs w:val="21"/>
                      <w:lang w:val="en-US" w:eastAsia="zh-CN" w:bidi="en-US"/>
                    </w:rPr>
                    <w:t>4#</w:t>
                  </w:r>
                </w:p>
              </w:tc>
              <w:tc>
                <w:tcPr>
                  <w:tcW w:w="2024" w:type="dxa"/>
                  <w:vAlign w:val="center"/>
                </w:tcPr>
                <w:p w14:paraId="6EDBFEB7">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58.26</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14:paraId="2FEAA9C4">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bl>
          <w:p w14:paraId="74B12118">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②废弃离子交换树脂S2</w:t>
            </w:r>
          </w:p>
          <w:p w14:paraId="59C8B0D0">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项目净水系统离子交换树脂采用盐水反冲洗法再生，直到到其寿命到期后更换。根据项目设计资料，软水制备系统共设置两套树脂交换器，单套交换器内树脂装填量约为50L，一年更换三次，则产生废弃树脂0.36t/a。根据《国家危险废物名录》（2021版）中规定，软水制备过程产生的废弃离子交换树脂已不属于危险废物，其产生后由设备维护厂家回收。</w:t>
            </w:r>
          </w:p>
          <w:p w14:paraId="41C28B2F">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③</w:t>
            </w:r>
            <w:r>
              <w:rPr>
                <w:rFonts w:hint="eastAsia"/>
                <w:color w:val="auto"/>
                <w:sz w:val="24"/>
                <w:lang w:eastAsia="zh-CN"/>
              </w:rPr>
              <w:t>脱硫石膏</w:t>
            </w:r>
            <w:r>
              <w:rPr>
                <w:rFonts w:hint="eastAsia"/>
                <w:color w:val="auto"/>
                <w:sz w:val="24"/>
              </w:rPr>
              <w:t>S</w:t>
            </w:r>
            <w:r>
              <w:rPr>
                <w:rFonts w:hint="eastAsia"/>
                <w:color w:val="auto"/>
                <w:sz w:val="24"/>
                <w:lang w:val="en-US" w:eastAsia="zh-CN"/>
              </w:rPr>
              <w:t>5</w:t>
            </w:r>
          </w:p>
          <w:p w14:paraId="52D32DDD">
            <w:pPr>
              <w:numPr>
                <w:ilvl w:val="0"/>
                <w:numId w:val="0"/>
              </w:numPr>
              <w:tabs>
                <w:tab w:val="center" w:pos="4736"/>
              </w:tabs>
              <w:spacing w:line="360" w:lineRule="auto"/>
              <w:ind w:firstLine="480" w:firstLineChars="200"/>
              <w:rPr>
                <w:rFonts w:hint="eastAsia"/>
                <w:color w:val="auto"/>
                <w:sz w:val="24"/>
                <w:vertAlign w:val="baseline"/>
                <w:lang w:val="en-US" w:eastAsia="zh-CN"/>
              </w:rPr>
            </w:pPr>
            <w:r>
              <w:rPr>
                <w:rFonts w:hint="eastAsia"/>
                <w:color w:val="auto"/>
                <w:sz w:val="24"/>
                <w:lang w:eastAsia="zh-CN"/>
              </w:rPr>
              <w:t>项目脱硫系统共吸收</w:t>
            </w:r>
            <w:r>
              <w:rPr>
                <w:rFonts w:hint="eastAsia"/>
                <w:color w:val="auto"/>
                <w:sz w:val="24"/>
                <w:lang w:val="en-US" w:eastAsia="zh-CN"/>
              </w:rPr>
              <w:t>SO</w:t>
            </w:r>
            <w:r>
              <w:rPr>
                <w:rFonts w:hint="eastAsia"/>
                <w:color w:val="auto"/>
                <w:sz w:val="24"/>
                <w:vertAlign w:val="subscript"/>
                <w:lang w:val="en-US" w:eastAsia="zh-CN"/>
              </w:rPr>
              <w:t>2</w:t>
            </w:r>
            <w:r>
              <w:rPr>
                <w:rFonts w:hint="eastAsia"/>
                <w:color w:val="auto"/>
                <w:sz w:val="24"/>
                <w:vertAlign w:val="baseline"/>
                <w:lang w:val="en-US" w:eastAsia="zh-CN"/>
              </w:rPr>
              <w:t>435.456t/a，则其共产生脱硫石膏（</w:t>
            </w:r>
            <w:r>
              <w:rPr>
                <w:rFonts w:hint="eastAsia" w:cs="Times New Roman"/>
                <w:color w:val="auto"/>
                <w:sz w:val="24"/>
                <w:szCs w:val="24"/>
                <w:highlight w:val="none"/>
                <w:lang w:val="en-US" w:eastAsia="zh-CN"/>
              </w:rPr>
              <w:t>CaSO</w:t>
            </w:r>
            <w:r>
              <w:rPr>
                <w:rFonts w:hint="eastAsia" w:cs="Times New Roman"/>
                <w:color w:val="auto"/>
                <w:sz w:val="24"/>
                <w:szCs w:val="24"/>
                <w:highlight w:val="none"/>
                <w:vertAlign w:val="subscript"/>
                <w:lang w:val="en-US" w:eastAsia="zh-CN"/>
              </w:rPr>
              <w:t>4</w:t>
            </w:r>
            <w:r>
              <w:rPr>
                <w:rFonts w:hint="eastAsia" w:cs="Times New Roman"/>
                <w:color w:val="auto"/>
                <w:sz w:val="24"/>
                <w:szCs w:val="24"/>
                <w:highlight w:val="none"/>
                <w:vertAlign w:val="baseline"/>
                <w:lang w:val="en-US" w:eastAsia="zh-CN"/>
              </w:rPr>
              <w:t>·2H</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vertAlign w:val="baseline"/>
                <w:lang w:val="en-US" w:eastAsia="zh-CN"/>
              </w:rPr>
              <w:t>O</w:t>
            </w:r>
            <w:r>
              <w:rPr>
                <w:rFonts w:hint="eastAsia"/>
                <w:color w:val="auto"/>
                <w:sz w:val="24"/>
                <w:vertAlign w:val="baseline"/>
                <w:lang w:val="en-US" w:eastAsia="zh-CN"/>
              </w:rPr>
              <w:t>）1170.29t/a，收集后作为建筑材料外售。</w:t>
            </w:r>
          </w:p>
          <w:p w14:paraId="64084738">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（2）危险废物S4</w:t>
            </w:r>
          </w:p>
          <w:p w14:paraId="70C1FD0C">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项目汽轮发电机组运行过程中由于轴承摩擦会导致其中的润滑油温度升高，为使轴承正常运行，润滑油须经冷油器冷却后回用。汽轮机运行期间摩擦和冷油器冷却等过程会在润滑油内引入如金属碎屑、沙尘、水等杂质。故企业会周期性对汽轮机润滑油进行更换，更换频率为一年三次，共产生废润滑油约4.5t/a。</w:t>
            </w:r>
          </w:p>
          <w:p w14:paraId="0F64FA97">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根据《国家危险废物名录》（2021版）中内容，项目产生的废润滑油属于HW08 废矿物油与含矿物油废物中的900-217-08使用工业齿轮油进行机械设备润滑过程产生的废润滑油。其产生后需用专用容器盛装并贮存于危险废物暂存间中，定期委托有资质的单位清运处置。</w:t>
            </w:r>
          </w:p>
          <w:p w14:paraId="3E5E4911">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（3）生活垃圾S3</w:t>
            </w:r>
          </w:p>
          <w:p w14:paraId="54291DBD">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rPr>
              <w:t>本项目工作人员共80人，生活垃圾按每人每天产生0.5kg计算，共计产生12t/a。厂区设置垃圾桶，生活垃圾经集中收集后，交由环卫部门定期清运</w:t>
            </w:r>
            <w:r>
              <w:rPr>
                <w:rFonts w:hint="eastAsia"/>
                <w:color w:val="auto"/>
                <w:sz w:val="24"/>
                <w:lang w:eastAsia="zh-CN"/>
              </w:rPr>
              <w:t>。</w:t>
            </w:r>
          </w:p>
          <w:p w14:paraId="7427F551">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2、固体废物环境管理要求</w:t>
            </w:r>
          </w:p>
          <w:p w14:paraId="5D43F6AD">
            <w:pPr>
              <w:pStyle w:val="47"/>
              <w:spacing w:line="360" w:lineRule="auto"/>
              <w:ind w:firstLine="480"/>
              <w:rPr>
                <w:rFonts w:ascii="Times New Roman" w:hAnsi="Times New Roman" w:cs="Times New Roman"/>
                <w:bCs/>
                <w:color w:val="auto"/>
              </w:rPr>
            </w:pPr>
            <w:r>
              <w:rPr>
                <w:rFonts w:ascii="Times New Roman" w:cs="Times New Roman"/>
                <w:bCs/>
                <w:color w:val="auto"/>
              </w:rPr>
              <w:t>根据分析，本项目危险废物产生量较小，因此本次评价要求建设单位设置危废暂存间，用于暂存废润滑油，定期交由有资质单位处置。危废暂存间的设置严格按照《危险废物贮存污染控制标准》（</w:t>
            </w:r>
            <w:r>
              <w:rPr>
                <w:rFonts w:ascii="Times New Roman" w:hAnsi="Times New Roman" w:cs="Times New Roman"/>
                <w:bCs/>
                <w:color w:val="auto"/>
              </w:rPr>
              <w:t>GB18957-2001</w:t>
            </w:r>
            <w:r>
              <w:rPr>
                <w:rFonts w:ascii="Times New Roman" w:cs="Times New Roman"/>
                <w:bCs/>
                <w:color w:val="auto"/>
              </w:rPr>
              <w:t>）及修改单中有关规定，危险废物存放期间，使用完好无损容器盛装；用以存放装置危险废物容器的地方，必须有耐腐蚀的硬化地面，且表面无裂痕。储存容器上必须粘贴该标准中规定的危险废物标签；容器材质与危险废物本身相容</w:t>
            </w:r>
            <w:r>
              <w:rPr>
                <w:rFonts w:ascii="Times New Roman" w:hAnsi="Times New Roman" w:cs="Times New Roman"/>
                <w:bCs/>
                <w:color w:val="auto"/>
              </w:rPr>
              <w:t>(</w:t>
            </w:r>
            <w:r>
              <w:rPr>
                <w:rFonts w:ascii="Times New Roman" w:cs="Times New Roman"/>
                <w:bCs/>
                <w:color w:val="auto"/>
              </w:rPr>
              <w:t>不相互反应</w:t>
            </w:r>
            <w:r>
              <w:rPr>
                <w:rFonts w:ascii="Times New Roman" w:hAnsi="Times New Roman" w:cs="Times New Roman"/>
                <w:bCs/>
                <w:color w:val="auto"/>
              </w:rPr>
              <w:t>)</w:t>
            </w:r>
            <w:r>
              <w:rPr>
                <w:rFonts w:ascii="Times New Roman" w:cs="Times New Roman"/>
                <w:bCs/>
                <w:color w:val="auto"/>
              </w:rPr>
              <w:t>；危废暂存间底部基础做防渗，要求渗透系数小于等于</w:t>
            </w:r>
            <w:r>
              <w:rPr>
                <w:rFonts w:ascii="Times New Roman" w:hAnsi="Times New Roman" w:cs="Times New Roman"/>
                <w:bCs/>
                <w:color w:val="auto"/>
              </w:rPr>
              <w:t>1×10</w:t>
            </w:r>
            <w:r>
              <w:rPr>
                <w:rFonts w:ascii="Times New Roman" w:hAnsi="Times New Roman" w:cs="Times New Roman"/>
                <w:bCs/>
                <w:color w:val="auto"/>
                <w:vertAlign w:val="superscript"/>
              </w:rPr>
              <w:t>-7</w:t>
            </w:r>
            <w:r>
              <w:rPr>
                <w:rFonts w:ascii="Times New Roman" w:hAnsi="Times New Roman" w:cs="Times New Roman"/>
                <w:bCs/>
                <w:color w:val="auto"/>
              </w:rPr>
              <w:t>cm/s</w:t>
            </w:r>
            <w:r>
              <w:rPr>
                <w:rFonts w:ascii="Times New Roman" w:cs="Times New Roman"/>
                <w:bCs/>
                <w:color w:val="auto"/>
              </w:rPr>
              <w:t>。</w:t>
            </w:r>
          </w:p>
          <w:p w14:paraId="4B635901">
            <w:pPr>
              <w:pStyle w:val="47"/>
              <w:spacing w:line="360" w:lineRule="auto"/>
              <w:ind w:firstLine="480"/>
              <w:rPr>
                <w:rFonts w:ascii="Times New Roman" w:hAnsi="Times New Roman" w:cs="Times New Roman"/>
                <w:bCs/>
                <w:color w:val="auto"/>
              </w:rPr>
            </w:pPr>
            <w:r>
              <w:rPr>
                <w:rFonts w:ascii="Times New Roman" w:cs="Times New Roman"/>
                <w:bCs/>
                <w:color w:val="auto"/>
              </w:rPr>
              <w:t>危险废物贮存容器应满足：</w:t>
            </w:r>
          </w:p>
          <w:p w14:paraId="3E1EEF1E">
            <w:pPr>
              <w:pStyle w:val="47"/>
              <w:spacing w:line="360" w:lineRule="auto"/>
              <w:ind w:firstLine="480"/>
              <w:rPr>
                <w:rFonts w:ascii="Times New Roman" w:hAnsi="Times New Roman" w:cs="Times New Roman"/>
                <w:bCs/>
                <w:color w:val="auto"/>
              </w:rPr>
            </w:pPr>
            <w:r>
              <w:rPr>
                <w:rFonts w:ascii="Times New Roman" w:cs="Times New Roman"/>
                <w:bCs/>
                <w:color w:val="auto"/>
              </w:rPr>
              <w:t>①使用符合标准的容器盛装危险废物；应定期对暂时贮存危险废物包装及设施进行检查，发现破损，及时采取措施清理更换；</w:t>
            </w:r>
          </w:p>
          <w:p w14:paraId="02D5883D">
            <w:pPr>
              <w:pStyle w:val="47"/>
              <w:spacing w:line="360" w:lineRule="auto"/>
              <w:ind w:firstLine="480"/>
              <w:rPr>
                <w:rFonts w:ascii="Times New Roman" w:hAnsi="Times New Roman" w:cs="Times New Roman"/>
                <w:bCs/>
                <w:color w:val="auto"/>
              </w:rPr>
            </w:pPr>
            <w:r>
              <w:rPr>
                <w:rFonts w:ascii="Times New Roman" w:cs="Times New Roman"/>
                <w:bCs/>
                <w:color w:val="auto"/>
              </w:rPr>
              <w:t>②装载危险废物的容器及材质要满足相应的强度要求；</w:t>
            </w:r>
          </w:p>
          <w:p w14:paraId="65916170">
            <w:pPr>
              <w:pStyle w:val="47"/>
              <w:spacing w:line="360" w:lineRule="auto"/>
              <w:ind w:firstLine="480"/>
              <w:rPr>
                <w:rFonts w:ascii="Times New Roman" w:hAnsi="Times New Roman" w:cs="Times New Roman"/>
                <w:bCs/>
                <w:color w:val="auto"/>
              </w:rPr>
            </w:pPr>
            <w:r>
              <w:rPr>
                <w:rFonts w:ascii="Times New Roman" w:cs="Times New Roman"/>
                <w:bCs/>
                <w:color w:val="auto"/>
              </w:rPr>
              <w:t>③装载危险废物的容器必须完好无损；</w:t>
            </w:r>
          </w:p>
          <w:p w14:paraId="4447AC45">
            <w:pPr>
              <w:pStyle w:val="47"/>
              <w:spacing w:line="360" w:lineRule="auto"/>
              <w:ind w:firstLine="480"/>
              <w:rPr>
                <w:rFonts w:ascii="Times New Roman" w:hAnsi="Times New Roman" w:cs="Times New Roman"/>
                <w:bCs/>
                <w:color w:val="auto"/>
              </w:rPr>
            </w:pPr>
            <w:r>
              <w:rPr>
                <w:rFonts w:ascii="Times New Roman" w:cs="Times New Roman"/>
                <w:bCs/>
                <w:color w:val="auto"/>
              </w:rPr>
              <w:t>④盛装危险废物的容器材质和衬里要与危险废物相容，不相互反应。危险废物堆放场所选址、平面布置、设计原则及危险废物的堆放要求等，必须满足</w:t>
            </w:r>
            <w:r>
              <w:rPr>
                <w:rFonts w:ascii="Times New Roman" w:hAnsi="Times New Roman" w:cs="Times New Roman"/>
                <w:bCs/>
                <w:color w:val="auto"/>
              </w:rPr>
              <w:t xml:space="preserve"> (GB18597-2001) </w:t>
            </w:r>
            <w:r>
              <w:rPr>
                <w:rFonts w:ascii="Times New Roman" w:cs="Times New Roman"/>
                <w:bCs/>
                <w:color w:val="auto"/>
              </w:rPr>
              <w:t>的要求。危险废物贮存柜必须按</w:t>
            </w:r>
            <w:r>
              <w:rPr>
                <w:rFonts w:ascii="Times New Roman" w:hAnsi="Times New Roman" w:cs="Times New Roman"/>
                <w:bCs/>
                <w:color w:val="auto"/>
              </w:rPr>
              <w:t>(GB15562.2)</w:t>
            </w:r>
            <w:r>
              <w:rPr>
                <w:rFonts w:ascii="Times New Roman" w:cs="Times New Roman"/>
                <w:bCs/>
                <w:color w:val="auto"/>
              </w:rPr>
              <w:t>的规定设置警示标志，周围应设置围墙或其它防护栅栏，配备通讯设备、照明设施、安全防护服装及工具，并设有应急防护设施。</w:t>
            </w:r>
          </w:p>
          <w:p w14:paraId="3F539C1A">
            <w:pPr>
              <w:pStyle w:val="47"/>
              <w:spacing w:line="360" w:lineRule="auto"/>
              <w:ind w:firstLine="480"/>
              <w:rPr>
                <w:rFonts w:ascii="Times New Roman" w:cs="Times New Roman"/>
                <w:bCs/>
                <w:color w:val="auto"/>
              </w:rPr>
            </w:pPr>
            <w:r>
              <w:rPr>
                <w:rFonts w:ascii="Times New Roman" w:cs="Times New Roman"/>
                <w:bCs/>
                <w:color w:val="auto"/>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14:paraId="333FDE86">
            <w:pPr>
              <w:pStyle w:val="47"/>
              <w:spacing w:line="360" w:lineRule="auto"/>
              <w:ind w:firstLine="480"/>
              <w:rPr>
                <w:rFonts w:ascii="Times New Roman" w:hAnsi="Times New Roman" w:cs="Times New Roman"/>
                <w:bCs/>
                <w:color w:val="auto"/>
              </w:rPr>
            </w:pPr>
            <w:r>
              <w:rPr>
                <w:rFonts w:hint="eastAsia" w:cs="宋体"/>
                <w:color w:val="auto"/>
                <w:lang w:eastAsia="zh-CN" w:bidi="en-US"/>
              </w:rPr>
              <w:t>项目</w:t>
            </w:r>
            <w:r>
              <w:rPr>
                <w:rFonts w:hint="eastAsia" w:ascii="Times New Roman" w:hAnsi="Times New Roman" w:cs="宋体"/>
                <w:color w:val="auto"/>
                <w:highlight w:val="none"/>
                <w:lang w:eastAsia="zh-CN" w:bidi="ar"/>
              </w:rPr>
              <w:t>各固体废物的产生源、排放量和处置方式见表</w:t>
            </w:r>
            <w:r>
              <w:rPr>
                <w:rFonts w:hint="default" w:ascii="Times New Roman" w:hAnsi="Times New Roman" w:cs="Times New Roman"/>
                <w:color w:val="auto"/>
                <w:highlight w:val="none"/>
                <w:lang w:val="en-US" w:eastAsia="zh-CN" w:bidi="ar"/>
              </w:rPr>
              <w:t>4-2</w:t>
            </w:r>
            <w:r>
              <w:rPr>
                <w:rFonts w:hint="eastAsia" w:ascii="Times New Roman" w:hAnsi="Times New Roman" w:cs="Times New Roman"/>
                <w:color w:val="auto"/>
                <w:highlight w:val="none"/>
                <w:lang w:val="en-US" w:eastAsia="zh-CN" w:bidi="ar"/>
              </w:rPr>
              <w:t>5</w:t>
            </w:r>
            <w:r>
              <w:rPr>
                <w:rFonts w:hint="eastAsia" w:ascii="Times New Roman" w:hAnsi="Times New Roman" w:cs="宋体"/>
                <w:color w:val="auto"/>
                <w:highlight w:val="none"/>
                <w:lang w:val="en-US" w:eastAsia="zh-CN" w:bidi="ar"/>
              </w:rPr>
              <w:t>。</w:t>
            </w:r>
          </w:p>
          <w:p w14:paraId="65C32EC3">
            <w:pPr>
              <w:keepNext w:val="0"/>
              <w:keepLines w:val="0"/>
              <w:suppressLineNumbers w:val="0"/>
              <w:shd w:val="clear"/>
              <w:adjustRightInd w:val="0"/>
              <w:snapToGrid w:val="0"/>
              <w:spacing w:before="0" w:beforeAutospacing="0" w:after="0" w:afterAutospacing="0"/>
              <w:ind w:left="0" w:right="0" w:firstLine="420" w:firstLineChars="200"/>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val="en-US" w:eastAsia="zh-CN"/>
              </w:rPr>
              <w:t>4-25</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固体废物排放量及处置设施</w:t>
            </w:r>
          </w:p>
          <w:tbl>
            <w:tblPr>
              <w:tblStyle w:val="22"/>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15"/>
              <w:gridCol w:w="1941"/>
              <w:gridCol w:w="1069"/>
              <w:gridCol w:w="2460"/>
              <w:gridCol w:w="815"/>
            </w:tblGrid>
            <w:tr w14:paraId="79C8B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Align w:val="center"/>
                </w:tcPr>
                <w:p w14:paraId="145AC01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类型</w:t>
                  </w:r>
                </w:p>
              </w:tc>
              <w:tc>
                <w:tcPr>
                  <w:tcW w:w="1315" w:type="dxa"/>
                  <w:vAlign w:val="center"/>
                </w:tcPr>
                <w:p w14:paraId="5EDDCCE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生产源</w:t>
                  </w:r>
                </w:p>
              </w:tc>
              <w:tc>
                <w:tcPr>
                  <w:tcW w:w="1941" w:type="dxa"/>
                  <w:vAlign w:val="center"/>
                </w:tcPr>
                <w:p w14:paraId="0802D79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名称</w:t>
                  </w:r>
                </w:p>
              </w:tc>
              <w:tc>
                <w:tcPr>
                  <w:tcW w:w="1069" w:type="dxa"/>
                  <w:vAlign w:val="center"/>
                </w:tcPr>
                <w:p w14:paraId="77C6220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cs="Times New Roman"/>
                      <w:color w:val="auto"/>
                      <w:spacing w:val="-6"/>
                      <w:sz w:val="21"/>
                      <w:szCs w:val="21"/>
                      <w:highlight w:val="none"/>
                      <w:lang w:eastAsia="zh-CN"/>
                    </w:rPr>
                    <w:t>产生</w:t>
                  </w:r>
                  <w:r>
                    <w:rPr>
                      <w:rFonts w:hint="eastAsia" w:ascii="Times New Roman" w:hAnsi="Times New Roman" w:cs="Times New Roman"/>
                      <w:color w:val="auto"/>
                      <w:spacing w:val="-6"/>
                      <w:sz w:val="21"/>
                      <w:szCs w:val="21"/>
                      <w:highlight w:val="none"/>
                    </w:rPr>
                    <w:t>量</w:t>
                  </w:r>
                </w:p>
              </w:tc>
              <w:tc>
                <w:tcPr>
                  <w:tcW w:w="2460" w:type="dxa"/>
                  <w:vAlign w:val="center"/>
                </w:tcPr>
                <w:p w14:paraId="4A3E8D8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处置方法</w:t>
                  </w:r>
                </w:p>
              </w:tc>
              <w:tc>
                <w:tcPr>
                  <w:tcW w:w="815" w:type="dxa"/>
                  <w:vAlign w:val="center"/>
                </w:tcPr>
                <w:p w14:paraId="50B5C74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处置率</w:t>
                  </w:r>
                </w:p>
              </w:tc>
            </w:tr>
            <w:tr w14:paraId="27A5E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Merge w:val="restart"/>
                  <w:vAlign w:val="center"/>
                </w:tcPr>
                <w:p w14:paraId="2853166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一般固废</w:t>
                  </w:r>
                </w:p>
              </w:tc>
              <w:tc>
                <w:tcPr>
                  <w:tcW w:w="1315" w:type="dxa"/>
                  <w:vAlign w:val="center"/>
                </w:tcPr>
                <w:p w14:paraId="5DFD228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上料车间</w:t>
                  </w:r>
                </w:p>
              </w:tc>
              <w:tc>
                <w:tcPr>
                  <w:tcW w:w="1941" w:type="dxa"/>
                  <w:vAlign w:val="center"/>
                </w:tcPr>
                <w:p w14:paraId="702B689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除尘灰</w:t>
                  </w:r>
                </w:p>
              </w:tc>
              <w:tc>
                <w:tcPr>
                  <w:tcW w:w="1069" w:type="dxa"/>
                  <w:vAlign w:val="center"/>
                </w:tcPr>
                <w:p w14:paraId="70E3000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128.75t/a</w:t>
                  </w:r>
                </w:p>
              </w:tc>
              <w:tc>
                <w:tcPr>
                  <w:tcW w:w="2460" w:type="dxa"/>
                  <w:vAlign w:val="center"/>
                </w:tcPr>
                <w:p w14:paraId="5CCADD15">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z w:val="21"/>
                      <w:szCs w:val="21"/>
                      <w:lang w:val="en-US" w:eastAsia="zh-CN" w:bidi="en-US"/>
                    </w:rPr>
                    <w:t>收集后还用于周边农田</w:t>
                  </w:r>
                </w:p>
              </w:tc>
              <w:tc>
                <w:tcPr>
                  <w:tcW w:w="815" w:type="dxa"/>
                  <w:vMerge w:val="restart"/>
                  <w:vAlign w:val="center"/>
                </w:tcPr>
                <w:p w14:paraId="0B7B61E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100%</w:t>
                  </w:r>
                </w:p>
              </w:tc>
            </w:tr>
            <w:tr w14:paraId="1B680B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Merge w:val="continue"/>
                  <w:vAlign w:val="center"/>
                </w:tcPr>
                <w:p w14:paraId="27CDB33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14:paraId="7325742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炭化车间</w:t>
                  </w:r>
                </w:p>
              </w:tc>
              <w:tc>
                <w:tcPr>
                  <w:tcW w:w="1941" w:type="dxa"/>
                  <w:vAlign w:val="center"/>
                </w:tcPr>
                <w:p w14:paraId="16105AE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除尘灰</w:t>
                  </w:r>
                </w:p>
              </w:tc>
              <w:tc>
                <w:tcPr>
                  <w:tcW w:w="1069" w:type="dxa"/>
                  <w:vAlign w:val="center"/>
                </w:tcPr>
                <w:p w14:paraId="29567D2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5889.35t/a</w:t>
                  </w:r>
                </w:p>
              </w:tc>
              <w:tc>
                <w:tcPr>
                  <w:tcW w:w="2460" w:type="dxa"/>
                  <w:vMerge w:val="restart"/>
                  <w:vAlign w:val="center"/>
                </w:tcPr>
                <w:p w14:paraId="4AF0DEEC">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cs="Times New Roman"/>
                      <w:color w:val="auto"/>
                      <w:spacing w:val="-6"/>
                      <w:sz w:val="21"/>
                      <w:szCs w:val="21"/>
                      <w:highlight w:val="none"/>
                    </w:rPr>
                  </w:pPr>
                  <w:r>
                    <w:rPr>
                      <w:rFonts w:hint="eastAsia" w:ascii="Times New Roman" w:hAnsi="Times New Roman" w:eastAsia="宋体" w:cs="Times New Roman"/>
                      <w:color w:val="auto"/>
                      <w:sz w:val="21"/>
                      <w:szCs w:val="21"/>
                      <w:lang w:val="en-US" w:eastAsia="zh-CN" w:bidi="en-US"/>
                    </w:rPr>
                    <w:t>收集后洒入棉杆基炭中作为粘结剂回用于机制和成型工段</w:t>
                  </w:r>
                </w:p>
              </w:tc>
              <w:tc>
                <w:tcPr>
                  <w:tcW w:w="815" w:type="dxa"/>
                  <w:vMerge w:val="continue"/>
                  <w:vAlign w:val="center"/>
                </w:tcPr>
                <w:p w14:paraId="4D66CEF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14:paraId="72BBD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Merge w:val="continue"/>
                  <w:vAlign w:val="center"/>
                </w:tcPr>
                <w:p w14:paraId="2E6F352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14:paraId="657FC75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机制炭车间</w:t>
                  </w:r>
                </w:p>
              </w:tc>
              <w:tc>
                <w:tcPr>
                  <w:tcW w:w="1941" w:type="dxa"/>
                  <w:vAlign w:val="center"/>
                </w:tcPr>
                <w:p w14:paraId="0884126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eastAsia="zh-CN"/>
                    </w:rPr>
                  </w:pPr>
                  <w:r>
                    <w:rPr>
                      <w:rFonts w:hint="eastAsia" w:cs="Times New Roman"/>
                      <w:color w:val="auto"/>
                      <w:spacing w:val="-6"/>
                      <w:sz w:val="21"/>
                      <w:szCs w:val="21"/>
                      <w:highlight w:val="none"/>
                      <w:lang w:eastAsia="zh-CN"/>
                    </w:rPr>
                    <w:t>除尘灰</w:t>
                  </w:r>
                </w:p>
              </w:tc>
              <w:tc>
                <w:tcPr>
                  <w:tcW w:w="1069" w:type="dxa"/>
                  <w:vAlign w:val="center"/>
                </w:tcPr>
                <w:p w14:paraId="1930F9D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58.26t/a</w:t>
                  </w:r>
                </w:p>
              </w:tc>
              <w:tc>
                <w:tcPr>
                  <w:tcW w:w="2460" w:type="dxa"/>
                  <w:vMerge w:val="continue"/>
                  <w:vAlign w:val="center"/>
                </w:tcPr>
                <w:p w14:paraId="080EE8B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815" w:type="dxa"/>
                  <w:vMerge w:val="continue"/>
                  <w:vAlign w:val="center"/>
                </w:tcPr>
                <w:p w14:paraId="35AC56C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14:paraId="6D2E87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Merge w:val="continue"/>
                  <w:vAlign w:val="center"/>
                </w:tcPr>
                <w:p w14:paraId="2E8DB43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14:paraId="3F985B6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净水车间</w:t>
                  </w:r>
                </w:p>
              </w:tc>
              <w:tc>
                <w:tcPr>
                  <w:tcW w:w="1941" w:type="dxa"/>
                  <w:vAlign w:val="center"/>
                </w:tcPr>
                <w:p w14:paraId="5332288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废离子交换树脂</w:t>
                  </w:r>
                </w:p>
              </w:tc>
              <w:tc>
                <w:tcPr>
                  <w:tcW w:w="1069" w:type="dxa"/>
                  <w:vAlign w:val="center"/>
                </w:tcPr>
                <w:p w14:paraId="679A047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0.36t/a</w:t>
                  </w:r>
                </w:p>
              </w:tc>
              <w:tc>
                <w:tcPr>
                  <w:tcW w:w="2460" w:type="dxa"/>
                  <w:vAlign w:val="center"/>
                </w:tcPr>
                <w:p w14:paraId="51AF506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由设备维护厂家回收</w:t>
                  </w:r>
                </w:p>
              </w:tc>
              <w:tc>
                <w:tcPr>
                  <w:tcW w:w="815" w:type="dxa"/>
                  <w:vMerge w:val="continue"/>
                  <w:vAlign w:val="center"/>
                </w:tcPr>
                <w:p w14:paraId="3E17A69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14:paraId="2D1D2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Merge w:val="continue"/>
                  <w:vAlign w:val="center"/>
                </w:tcPr>
                <w:p w14:paraId="58750D0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14:paraId="4F02714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脱硫设施</w:t>
                  </w:r>
                </w:p>
              </w:tc>
              <w:tc>
                <w:tcPr>
                  <w:tcW w:w="1941" w:type="dxa"/>
                  <w:vAlign w:val="center"/>
                </w:tcPr>
                <w:p w14:paraId="643C2AE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脱硫石膏</w:t>
                  </w:r>
                </w:p>
              </w:tc>
              <w:tc>
                <w:tcPr>
                  <w:tcW w:w="1069" w:type="dxa"/>
                  <w:vAlign w:val="center"/>
                </w:tcPr>
                <w:p w14:paraId="46549A7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1170.29t/a</w:t>
                  </w:r>
                </w:p>
              </w:tc>
              <w:tc>
                <w:tcPr>
                  <w:tcW w:w="2460" w:type="dxa"/>
                  <w:vAlign w:val="center"/>
                </w:tcPr>
                <w:p w14:paraId="26393EB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作为建筑材料外售</w:t>
                  </w:r>
                </w:p>
              </w:tc>
              <w:tc>
                <w:tcPr>
                  <w:tcW w:w="815" w:type="dxa"/>
                  <w:vMerge w:val="continue"/>
                  <w:vAlign w:val="center"/>
                </w:tcPr>
                <w:p w14:paraId="593E095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14:paraId="65D29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Align w:val="center"/>
                </w:tcPr>
                <w:p w14:paraId="265898F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危险废物</w:t>
                  </w:r>
                </w:p>
              </w:tc>
              <w:tc>
                <w:tcPr>
                  <w:tcW w:w="1315" w:type="dxa"/>
                  <w:vAlign w:val="center"/>
                </w:tcPr>
                <w:p w14:paraId="362C26B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设备维修保养</w:t>
                  </w:r>
                </w:p>
              </w:tc>
              <w:tc>
                <w:tcPr>
                  <w:tcW w:w="1941" w:type="dxa"/>
                  <w:vAlign w:val="center"/>
                </w:tcPr>
                <w:p w14:paraId="71EF6E5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废机油</w:t>
                  </w:r>
                </w:p>
                <w:p w14:paraId="529CEA8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val="en-US" w:eastAsia="zh-CN"/>
                    </w:rPr>
                    <w:t>HW08 900-249-08</w:t>
                  </w:r>
                </w:p>
              </w:tc>
              <w:tc>
                <w:tcPr>
                  <w:tcW w:w="1069" w:type="dxa"/>
                  <w:vAlign w:val="center"/>
                </w:tcPr>
                <w:p w14:paraId="793D2AD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4.5t/a</w:t>
                  </w:r>
                </w:p>
              </w:tc>
              <w:tc>
                <w:tcPr>
                  <w:tcW w:w="2460" w:type="dxa"/>
                  <w:vAlign w:val="center"/>
                </w:tcPr>
                <w:p w14:paraId="0EC6B91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危险废物暂存间收集后由有资质的单位清运处置</w:t>
                  </w:r>
                </w:p>
              </w:tc>
              <w:tc>
                <w:tcPr>
                  <w:tcW w:w="815" w:type="dxa"/>
                  <w:vMerge w:val="continue"/>
                  <w:vAlign w:val="center"/>
                </w:tcPr>
                <w:p w14:paraId="65911DF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14:paraId="1333D8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Align w:val="center"/>
                </w:tcPr>
                <w:p w14:paraId="735798E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p>
              </w:tc>
              <w:tc>
                <w:tcPr>
                  <w:tcW w:w="1315" w:type="dxa"/>
                  <w:vAlign w:val="center"/>
                </w:tcPr>
                <w:p w14:paraId="1C3128D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职工生活</w:t>
                  </w:r>
                </w:p>
              </w:tc>
              <w:tc>
                <w:tcPr>
                  <w:tcW w:w="1941" w:type="dxa"/>
                  <w:vAlign w:val="center"/>
                </w:tcPr>
                <w:p w14:paraId="06DDA42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生活垃圾</w:t>
                  </w:r>
                </w:p>
              </w:tc>
              <w:tc>
                <w:tcPr>
                  <w:tcW w:w="1069" w:type="dxa"/>
                  <w:vAlign w:val="center"/>
                </w:tcPr>
                <w:p w14:paraId="33B37F1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12t/a</w:t>
                  </w:r>
                </w:p>
              </w:tc>
              <w:tc>
                <w:tcPr>
                  <w:tcW w:w="2460" w:type="dxa"/>
                  <w:vAlign w:val="center"/>
                </w:tcPr>
                <w:p w14:paraId="6B94129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收集后交由环卫部门处置</w:t>
                  </w:r>
                </w:p>
              </w:tc>
              <w:tc>
                <w:tcPr>
                  <w:tcW w:w="815" w:type="dxa"/>
                  <w:vMerge w:val="continue"/>
                  <w:vAlign w:val="center"/>
                </w:tcPr>
                <w:p w14:paraId="08E7F90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bl>
          <w:p w14:paraId="6B9B9108">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综上分析，对固体废弃物采取相应治理措施后，固废可以得到合理的处置，产生的固体废物对周围环境的影响不大。</w:t>
            </w:r>
          </w:p>
          <w:p w14:paraId="446B2615">
            <w:pPr>
              <w:adjustRightInd w:val="0"/>
              <w:snapToGrid w:val="0"/>
              <w:spacing w:line="360" w:lineRule="auto"/>
              <w:ind w:firstLine="482" w:firstLineChars="200"/>
              <w:rPr>
                <w:b/>
                <w:bCs w:val="0"/>
                <w:color w:val="auto"/>
                <w:kern w:val="0"/>
                <w:sz w:val="24"/>
              </w:rPr>
            </w:pPr>
            <w:r>
              <w:rPr>
                <w:rFonts w:hint="eastAsia"/>
                <w:b/>
                <w:bCs w:val="0"/>
                <w:color w:val="auto"/>
                <w:kern w:val="0"/>
                <w:sz w:val="24"/>
                <w:lang w:eastAsia="zh-CN"/>
              </w:rPr>
              <w:t>五</w:t>
            </w:r>
            <w:r>
              <w:rPr>
                <w:b/>
                <w:bCs w:val="0"/>
                <w:color w:val="auto"/>
                <w:kern w:val="0"/>
                <w:sz w:val="24"/>
              </w:rPr>
              <w:t>、环境风险</w:t>
            </w:r>
          </w:p>
          <w:p w14:paraId="14C55C82">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1</w:t>
            </w:r>
            <w:r>
              <w:rPr>
                <w:rFonts w:hint="eastAsia" w:cs="宋体"/>
                <w:color w:val="auto"/>
                <w:sz w:val="24"/>
                <w:szCs w:val="24"/>
                <w:lang w:bidi="ar"/>
              </w:rPr>
              <w:t>、环境</w:t>
            </w:r>
            <w:r>
              <w:rPr>
                <w:rFonts w:hint="eastAsia" w:cs="宋体"/>
                <w:color w:val="auto"/>
                <w:sz w:val="24"/>
                <w:szCs w:val="24"/>
                <w:lang w:eastAsia="zh-CN" w:bidi="ar"/>
              </w:rPr>
              <w:t>风险</w:t>
            </w:r>
            <w:r>
              <w:rPr>
                <w:rFonts w:hint="default" w:cs="宋体"/>
                <w:color w:val="auto"/>
                <w:sz w:val="24"/>
                <w:szCs w:val="24"/>
                <w:lang w:bidi="ar"/>
              </w:rPr>
              <w:t>评价目的</w:t>
            </w:r>
          </w:p>
          <w:p w14:paraId="4DE905D3">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15953891">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（1）根据项目特点，对生产和储运设施在生产过程中存在的各种事故风险因素进行识别；</w:t>
            </w:r>
          </w:p>
          <w:p w14:paraId="3F5B20C4">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（2）有针对性地提出切实可行的事故应急处理计划和</w:t>
            </w:r>
            <w:r>
              <w:rPr>
                <w:rFonts w:hint="eastAsia" w:cs="宋体"/>
                <w:color w:val="auto"/>
                <w:sz w:val="24"/>
                <w:szCs w:val="24"/>
                <w:lang w:eastAsia="zh-CN" w:bidi="ar"/>
              </w:rPr>
              <w:t>应急预案</w:t>
            </w:r>
            <w:r>
              <w:rPr>
                <w:rFonts w:hint="default" w:cs="宋体"/>
                <w:color w:val="auto"/>
                <w:sz w:val="24"/>
                <w:szCs w:val="24"/>
                <w:lang w:bidi="ar"/>
              </w:rPr>
              <w:t>，以及现场监控报警系统。</w:t>
            </w:r>
          </w:p>
          <w:p w14:paraId="196C3B78">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bidi="ar"/>
              </w:rPr>
              <w:t>2、风险</w:t>
            </w:r>
            <w:r>
              <w:rPr>
                <w:rFonts w:hint="default" w:cs="宋体"/>
                <w:color w:val="auto"/>
                <w:sz w:val="24"/>
                <w:szCs w:val="24"/>
                <w:lang w:bidi="ar"/>
              </w:rPr>
              <w:t>调查</w:t>
            </w:r>
          </w:p>
          <w:p w14:paraId="3B73EA31">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bidi="ar"/>
              </w:rPr>
              <w:t>（1）建设</w:t>
            </w:r>
            <w:r>
              <w:rPr>
                <w:rFonts w:hint="default" w:cs="宋体"/>
                <w:color w:val="auto"/>
                <w:sz w:val="24"/>
                <w:szCs w:val="24"/>
                <w:lang w:bidi="ar"/>
              </w:rPr>
              <w:t>项目风险源调查</w:t>
            </w:r>
          </w:p>
          <w:p w14:paraId="5B46059D">
            <w:pPr>
              <w:keepNext w:val="0"/>
              <w:keepLines w:val="0"/>
              <w:suppressLineNumbers w:val="0"/>
              <w:spacing w:before="0" w:beforeAutospacing="0" w:after="0" w:afterAutospacing="0" w:line="360" w:lineRule="auto"/>
              <w:ind w:left="0" w:right="0" w:firstLine="480"/>
              <w:rPr>
                <w:rFonts w:hint="eastAsia" w:cs="宋体"/>
                <w:color w:val="auto"/>
                <w:sz w:val="24"/>
                <w:szCs w:val="24"/>
                <w:lang w:eastAsia="zh-CN" w:bidi="ar"/>
              </w:rPr>
            </w:pPr>
            <w:r>
              <w:rPr>
                <w:rFonts w:hint="eastAsia" w:cs="宋体"/>
                <w:color w:val="auto"/>
                <w:sz w:val="24"/>
                <w:szCs w:val="24"/>
                <w:lang w:bidi="ar"/>
              </w:rPr>
              <w:t>本项目</w:t>
            </w:r>
            <w:r>
              <w:rPr>
                <w:rFonts w:hint="eastAsia" w:cs="宋体"/>
                <w:color w:val="auto"/>
                <w:sz w:val="24"/>
                <w:szCs w:val="24"/>
                <w:lang w:eastAsia="zh-CN" w:bidi="ar"/>
              </w:rPr>
              <w:t>运行期间涉及的风险物质主要为开机期间使用的柴油以及炭化炉内产生的生物质气。生物质气的主要成分为甲烷、一氧化碳、氢气等。本项目柴油属于可燃液体。甲烷、一氧化碳、氢气均为可燃气体，遇火源引起火灾甚至爆炸，一氧化碳属于有毒气体，通过呼吸道可导致人员中毒甚至窒息死亡。主要危险物质性质见表</w:t>
            </w:r>
            <w:r>
              <w:rPr>
                <w:rFonts w:hint="eastAsia" w:cs="宋体"/>
                <w:color w:val="auto"/>
                <w:sz w:val="24"/>
                <w:szCs w:val="24"/>
                <w:lang w:val="en-US" w:eastAsia="zh-CN" w:bidi="ar"/>
              </w:rPr>
              <w:t>4-26~4-29。</w:t>
            </w:r>
          </w:p>
          <w:p w14:paraId="1132AA84">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630" w:firstLineChars="300"/>
              <w:jc w:val="both"/>
              <w:textAlignment w:val="auto"/>
              <w:outlineLvl w:val="9"/>
              <w:rPr>
                <w:rFonts w:hint="eastAsia"/>
                <w:color w:val="auto"/>
                <w:lang w:bidi="ar"/>
              </w:rPr>
            </w:pPr>
            <w:r>
              <w:rPr>
                <w:rFonts w:hint="eastAsia"/>
                <w:color w:val="auto"/>
                <w:lang w:bidi="ar"/>
              </w:rPr>
              <w:t>表</w:t>
            </w:r>
            <w:r>
              <w:rPr>
                <w:rFonts w:hint="eastAsia"/>
                <w:color w:val="auto"/>
                <w:lang w:val="en-US" w:eastAsia="zh-CN" w:bidi="ar"/>
              </w:rPr>
              <w:t>4-26</w:t>
            </w:r>
            <w:r>
              <w:rPr>
                <w:rFonts w:hint="eastAsia"/>
                <w:color w:val="auto"/>
                <w:lang w:bidi="ar"/>
              </w:rPr>
              <w:t xml:space="preserve">                      </w:t>
            </w:r>
            <w:r>
              <w:rPr>
                <w:rFonts w:hint="eastAsia"/>
                <w:color w:val="auto"/>
                <w:lang w:val="en-US" w:eastAsia="zh-CN" w:bidi="ar"/>
              </w:rPr>
              <w:t xml:space="preserve"> </w:t>
            </w:r>
            <w:r>
              <w:rPr>
                <w:rFonts w:hint="eastAsia"/>
                <w:color w:val="auto"/>
                <w:lang w:eastAsia="zh-CN" w:bidi="ar"/>
              </w:rPr>
              <w:t>柴油</w:t>
            </w:r>
            <w:r>
              <w:rPr>
                <w:rFonts w:hint="default"/>
                <w:color w:val="auto"/>
                <w:lang w:bidi="ar"/>
              </w:rPr>
              <w:t>的理化性质</w:t>
            </w:r>
          </w:p>
          <w:tbl>
            <w:tblPr>
              <w:tblStyle w:val="22"/>
              <w:tblW w:w="833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1417"/>
              <w:gridCol w:w="1319"/>
              <w:gridCol w:w="1134"/>
              <w:gridCol w:w="1091"/>
              <w:gridCol w:w="893"/>
              <w:gridCol w:w="1375"/>
            </w:tblGrid>
            <w:tr w14:paraId="4CE51F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Align w:val="center"/>
                </w:tcPr>
                <w:p w14:paraId="221236EF">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品名</w:t>
                  </w:r>
                </w:p>
              </w:tc>
              <w:tc>
                <w:tcPr>
                  <w:tcW w:w="1417" w:type="dxa"/>
                  <w:vAlign w:val="center"/>
                </w:tcPr>
                <w:p w14:paraId="60A21DFB">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柴油</w:t>
                  </w:r>
                </w:p>
              </w:tc>
              <w:tc>
                <w:tcPr>
                  <w:tcW w:w="1319" w:type="dxa"/>
                  <w:vAlign w:val="center"/>
                </w:tcPr>
                <w:p w14:paraId="7817C6E2">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别名</w:t>
                  </w:r>
                </w:p>
              </w:tc>
              <w:tc>
                <w:tcPr>
                  <w:tcW w:w="2225" w:type="dxa"/>
                  <w:gridSpan w:val="2"/>
                  <w:vAlign w:val="center"/>
                </w:tcPr>
                <w:p w14:paraId="3FCD545A">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c>
                <w:tcPr>
                  <w:tcW w:w="893" w:type="dxa"/>
                  <w:vAlign w:val="center"/>
                </w:tcPr>
                <w:p w14:paraId="74559990">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英文名</w:t>
                  </w:r>
                </w:p>
              </w:tc>
              <w:tc>
                <w:tcPr>
                  <w:tcW w:w="1375" w:type="dxa"/>
                  <w:vAlign w:val="center"/>
                </w:tcPr>
                <w:p w14:paraId="790F30CA">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sz w:val="21"/>
                    </w:rPr>
                    <w:t>Diesel oil</w:t>
                  </w:r>
                </w:p>
              </w:tc>
            </w:tr>
            <w:tr w14:paraId="431236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Merge w:val="restart"/>
                  <w:vAlign w:val="center"/>
                </w:tcPr>
                <w:p w14:paraId="1C335B4C">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理化性质</w:t>
                  </w:r>
                </w:p>
              </w:tc>
              <w:tc>
                <w:tcPr>
                  <w:tcW w:w="1417" w:type="dxa"/>
                  <w:vAlign w:val="center"/>
                </w:tcPr>
                <w:p w14:paraId="40D806AE">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分子式</w:t>
                  </w:r>
                </w:p>
              </w:tc>
              <w:tc>
                <w:tcPr>
                  <w:tcW w:w="1319" w:type="dxa"/>
                  <w:vAlign w:val="center"/>
                </w:tcPr>
                <w:p w14:paraId="664DF45A">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c>
                <w:tcPr>
                  <w:tcW w:w="1134" w:type="dxa"/>
                  <w:vAlign w:val="center"/>
                </w:tcPr>
                <w:p w14:paraId="6DA791F5">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分子量</w:t>
                  </w:r>
                </w:p>
              </w:tc>
              <w:tc>
                <w:tcPr>
                  <w:tcW w:w="1091" w:type="dxa"/>
                  <w:vAlign w:val="center"/>
                </w:tcPr>
                <w:p w14:paraId="18F63E12">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180～280</w:t>
                  </w:r>
                </w:p>
              </w:tc>
              <w:tc>
                <w:tcPr>
                  <w:tcW w:w="893" w:type="dxa"/>
                  <w:vAlign w:val="center"/>
                </w:tcPr>
                <w:p w14:paraId="0571787D">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熔点</w:t>
                  </w:r>
                </w:p>
              </w:tc>
              <w:tc>
                <w:tcPr>
                  <w:tcW w:w="1375" w:type="dxa"/>
                  <w:vAlign w:val="center"/>
                </w:tcPr>
                <w:p w14:paraId="1F3FB063">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-18</w:t>
                  </w:r>
                  <w:r>
                    <w:rPr>
                      <w:rFonts w:hint="default" w:ascii="宋体"/>
                      <w:color w:val="auto"/>
                      <w:kern w:val="0"/>
                      <w:sz w:val="21"/>
                      <w:szCs w:val="21"/>
                    </w:rPr>
                    <w:t>℃</w:t>
                  </w:r>
                </w:p>
              </w:tc>
            </w:tr>
            <w:tr w14:paraId="343F47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Merge w:val="continue"/>
                  <w:vAlign w:val="center"/>
                </w:tcPr>
                <w:p w14:paraId="76F31DE2">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14:paraId="57D18D68">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沸点</w:t>
                  </w:r>
                </w:p>
              </w:tc>
              <w:tc>
                <w:tcPr>
                  <w:tcW w:w="1319" w:type="dxa"/>
                  <w:vAlign w:val="center"/>
                </w:tcPr>
                <w:p w14:paraId="4F2C47C8">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282～338</w:t>
                  </w:r>
                  <w:r>
                    <w:rPr>
                      <w:rFonts w:hint="default" w:ascii="宋体"/>
                      <w:color w:val="auto"/>
                      <w:kern w:val="0"/>
                      <w:sz w:val="21"/>
                      <w:szCs w:val="21"/>
                    </w:rPr>
                    <w:t>℃</w:t>
                  </w:r>
                </w:p>
              </w:tc>
              <w:tc>
                <w:tcPr>
                  <w:tcW w:w="1134" w:type="dxa"/>
                  <w:vAlign w:val="center"/>
                </w:tcPr>
                <w:p w14:paraId="0AD122FD">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相对密度</w:t>
                  </w:r>
                </w:p>
              </w:tc>
              <w:tc>
                <w:tcPr>
                  <w:tcW w:w="1091" w:type="dxa"/>
                  <w:vAlign w:val="center"/>
                </w:tcPr>
                <w:p w14:paraId="5430CC7A">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0.85（水）</w:t>
                  </w:r>
                </w:p>
              </w:tc>
              <w:tc>
                <w:tcPr>
                  <w:tcW w:w="893" w:type="dxa"/>
                  <w:vAlign w:val="center"/>
                </w:tcPr>
                <w:p w14:paraId="367E668D">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蒸气压</w:t>
                  </w:r>
                </w:p>
              </w:tc>
              <w:tc>
                <w:tcPr>
                  <w:tcW w:w="1375" w:type="dxa"/>
                  <w:vAlign w:val="center"/>
                </w:tcPr>
                <w:p w14:paraId="545E8DDE">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4.0kg</w:t>
                  </w:r>
                </w:p>
              </w:tc>
            </w:tr>
            <w:tr w14:paraId="130DF3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Merge w:val="continue"/>
                  <w:vAlign w:val="center"/>
                </w:tcPr>
                <w:p w14:paraId="11A15419">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14:paraId="37BC7A47">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外观气味</w:t>
                  </w:r>
                </w:p>
              </w:tc>
              <w:tc>
                <w:tcPr>
                  <w:tcW w:w="5812" w:type="dxa"/>
                  <w:gridSpan w:val="5"/>
                  <w:vAlign w:val="center"/>
                </w:tcPr>
                <w:p w14:paraId="7A2977EF">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r>
            <w:tr w14:paraId="525EAB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Merge w:val="continue"/>
                  <w:vAlign w:val="center"/>
                </w:tcPr>
                <w:p w14:paraId="26D9979A">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14:paraId="6844920B">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溶解性</w:t>
                  </w:r>
                </w:p>
              </w:tc>
              <w:tc>
                <w:tcPr>
                  <w:tcW w:w="5812" w:type="dxa"/>
                  <w:gridSpan w:val="5"/>
                  <w:vAlign w:val="center"/>
                </w:tcPr>
                <w:p w14:paraId="59468E64">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微溶于水</w:t>
                  </w:r>
                </w:p>
              </w:tc>
            </w:tr>
            <w:tr w14:paraId="3AB3A9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Align w:val="center"/>
                </w:tcPr>
                <w:p w14:paraId="0C7650FD">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稳定性 危险性</w:t>
                  </w:r>
                </w:p>
              </w:tc>
              <w:tc>
                <w:tcPr>
                  <w:tcW w:w="7229" w:type="dxa"/>
                  <w:gridSpan w:val="6"/>
                  <w:vAlign w:val="center"/>
                </w:tcPr>
                <w:p w14:paraId="32F4619D">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遇明火、高热或与氧化剂接触，有引起燃烧爆炸的危险；若遇高热，容器内压增大，有开裂和爆炸的危险。燃烧产物：CO、CO</w:t>
                  </w:r>
                  <w:r>
                    <w:rPr>
                      <w:rFonts w:hint="default"/>
                      <w:color w:val="auto"/>
                      <w:kern w:val="0"/>
                      <w:sz w:val="21"/>
                      <w:szCs w:val="21"/>
                      <w:vertAlign w:val="subscript"/>
                    </w:rPr>
                    <w:t>2</w:t>
                  </w:r>
                  <w:r>
                    <w:rPr>
                      <w:rFonts w:hint="default"/>
                      <w:color w:val="auto"/>
                      <w:kern w:val="0"/>
                      <w:sz w:val="21"/>
                      <w:szCs w:val="21"/>
                    </w:rPr>
                    <w:t>；该物质对环境有危害，进入环境后，对水体和大气可造成污染，破坏水生生物呼吸系统</w:t>
                  </w:r>
                </w:p>
              </w:tc>
            </w:tr>
            <w:tr w14:paraId="0DB7F0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101" w:type="dxa"/>
                  <w:vAlign w:val="center"/>
                </w:tcPr>
                <w:p w14:paraId="7A9C3A19">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毒理学 资料</w:t>
                  </w:r>
                </w:p>
              </w:tc>
              <w:tc>
                <w:tcPr>
                  <w:tcW w:w="7229" w:type="dxa"/>
                  <w:gridSpan w:val="6"/>
                  <w:vAlign w:val="center"/>
                </w:tcPr>
                <w:p w14:paraId="7D8D5DE9">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r>
          </w:tbl>
          <w:p w14:paraId="67A82221">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630" w:firstLineChars="300"/>
              <w:jc w:val="both"/>
              <w:textAlignment w:val="auto"/>
              <w:outlineLvl w:val="9"/>
              <w:rPr>
                <w:rFonts w:hint="eastAsia" w:eastAsia="黑体"/>
                <w:color w:val="auto"/>
                <w:lang w:eastAsia="zh-CN" w:bidi="ar"/>
              </w:rPr>
            </w:pPr>
            <w:r>
              <w:rPr>
                <w:rFonts w:hint="eastAsia"/>
                <w:color w:val="auto"/>
                <w:lang w:eastAsia="zh-CN" w:bidi="ar"/>
              </w:rPr>
              <w:t>表</w:t>
            </w:r>
            <w:r>
              <w:rPr>
                <w:rFonts w:hint="eastAsia"/>
                <w:color w:val="auto"/>
                <w:lang w:val="en-US" w:eastAsia="zh-CN" w:bidi="ar"/>
              </w:rPr>
              <w:t xml:space="preserve">4-27                        </w:t>
            </w:r>
            <w:r>
              <w:rPr>
                <w:rFonts w:hint="eastAsia"/>
                <w:color w:val="auto"/>
                <w:lang w:eastAsia="zh-CN" w:bidi="ar"/>
              </w:rPr>
              <w:t>甲烷</w:t>
            </w:r>
            <w:r>
              <w:rPr>
                <w:rFonts w:hint="default"/>
                <w:color w:val="auto"/>
                <w:lang w:bidi="ar"/>
              </w:rPr>
              <w:t>的理化性质</w:t>
            </w:r>
          </w:p>
          <w:tbl>
            <w:tblPr>
              <w:tblStyle w:val="22"/>
              <w:tblW w:w="830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53"/>
              <w:gridCol w:w="677"/>
              <w:gridCol w:w="7372"/>
            </w:tblGrid>
            <w:tr w14:paraId="35BC67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6C1C8BE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677" w:type="dxa"/>
                  <w:vAlign w:val="center"/>
                </w:tcPr>
                <w:p w14:paraId="5454DFB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7372" w:type="dxa"/>
                  <w:vAlign w:val="center"/>
                </w:tcPr>
                <w:p w14:paraId="57BC22B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14:paraId="7D933F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3048B5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677" w:type="dxa"/>
                  <w:vAlign w:val="center"/>
                </w:tcPr>
                <w:p w14:paraId="36F658A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7372" w:type="dxa"/>
                  <w:vAlign w:val="center"/>
                </w:tcPr>
                <w:p w14:paraId="5F47AE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甲烷</w:t>
                  </w:r>
                </w:p>
                <w:p w14:paraId="36B49EC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Meheane</w:t>
                  </w:r>
                </w:p>
                <w:p w14:paraId="24354D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分子式：CH</w:t>
                  </w:r>
                  <w:r>
                    <w:rPr>
                      <w:rFonts w:hint="default" w:ascii="Times New Roman" w:hAnsi="Times New Roman" w:cs="Times New Roman"/>
                      <w:color w:val="auto"/>
                      <w:kern w:val="0"/>
                      <w:sz w:val="21"/>
                      <w:szCs w:val="21"/>
                      <w:vertAlign w:val="subscript"/>
                    </w:rPr>
                    <w:t>4</w:t>
                  </w:r>
                </w:p>
                <w:p w14:paraId="0FDCD1B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18</w:t>
                  </w:r>
                </w:p>
              </w:tc>
            </w:tr>
            <w:tr w14:paraId="08DD13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3BCA02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677" w:type="dxa"/>
                  <w:vAlign w:val="center"/>
                </w:tcPr>
                <w:p w14:paraId="14B6D9C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/组分信息</w:t>
                  </w:r>
                </w:p>
              </w:tc>
              <w:tc>
                <w:tcPr>
                  <w:tcW w:w="7372" w:type="dxa"/>
                  <w:vAlign w:val="center"/>
                </w:tcPr>
                <w:p w14:paraId="5A8AC1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有害物成分含量甲烷</w:t>
                  </w:r>
                  <w:r>
                    <w:rPr>
                      <w:rFonts w:hint="default" w:ascii="Times New Roman" w:hAnsi="Times New Roman" w:cs="Times New Roman"/>
                      <w:color w:val="auto"/>
                      <w:kern w:val="0"/>
                      <w:sz w:val="21"/>
                      <w:szCs w:val="21"/>
                    </w:rPr>
                    <w:t xml:space="preserve"> CAS NO：74-82-8</w:t>
                  </w:r>
                </w:p>
              </w:tc>
            </w:tr>
            <w:tr w14:paraId="1E837F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5DFD5EF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677" w:type="dxa"/>
                  <w:vAlign w:val="center"/>
                </w:tcPr>
                <w:p w14:paraId="77D21A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7372" w:type="dxa"/>
                  <w:vAlign w:val="center"/>
                </w:tcPr>
                <w:p w14:paraId="7BFA1C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物理及化学危险性信息：与空气混合能形成爆炸性混合物，遇明火高热能引起燃烧爆炸。与氟等能发生剧烈的化学反应。若遇高热，容器内压增大，有开烈和爆炸的危险。</w:t>
                  </w:r>
                </w:p>
                <w:p w14:paraId="0E3872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人体健康危害：甲烷对人基本无毒，但浓度过高时，使空气中氧气含量明显降低，使人窒息。当空气中甲烷达到25%~30%时，可引起头痛、头晕、乏力、注意力不集中、呼吸和心跳加快、共济失调。若不及时脱离，可致室息死亡。</w:t>
                  </w:r>
                </w:p>
                <w:p w14:paraId="2B3C6B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环境危害：该物质为温室气体，对环境污染有危害。</w:t>
                  </w:r>
                </w:p>
              </w:tc>
            </w:tr>
            <w:tr w14:paraId="42A563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72477C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677" w:type="dxa"/>
                  <w:vAlign w:val="center"/>
                </w:tcPr>
                <w:p w14:paraId="6A7320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w:t>
                  </w:r>
                </w:p>
                <w:p w14:paraId="57AEFE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措施</w:t>
                  </w:r>
                </w:p>
              </w:tc>
              <w:tc>
                <w:tcPr>
                  <w:tcW w:w="7372" w:type="dxa"/>
                  <w:vAlign w:val="center"/>
                </w:tcPr>
                <w:p w14:paraId="0D63DCF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吸入：迅速离现场至空气新鲜处，保持呼吸道通畅，如呼吸困难，给</w:t>
                  </w:r>
                </w:p>
                <w:p w14:paraId="793A00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输氧，如呼吸停止，立即进行人工呼吸，就医.</w:t>
                  </w:r>
                </w:p>
              </w:tc>
            </w:tr>
            <w:tr w14:paraId="47F772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53" w:type="dxa"/>
                  <w:vAlign w:val="center"/>
                </w:tcPr>
                <w:p w14:paraId="1BF083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677" w:type="dxa"/>
                  <w:vAlign w:val="center"/>
                </w:tcPr>
                <w:p w14:paraId="39BA4BD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w:t>
                  </w:r>
                </w:p>
                <w:p w14:paraId="555DBE1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措施</w:t>
                  </w:r>
                </w:p>
              </w:tc>
              <w:tc>
                <w:tcPr>
                  <w:tcW w:w="7372" w:type="dxa"/>
                  <w:vAlign w:val="center"/>
                </w:tcPr>
                <w:p w14:paraId="7A77EC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合适的灭火方法：本品一般用压力容器运输储存，起火时需切断气源若不能切断气源，则不允许熄灭泄漏处的火焰。火场中，容器有开裂和爆炸的危险，喷水冷却容器，可能的话将容器从火场移至空旷处。</w:t>
                  </w:r>
                </w:p>
                <w:p w14:paraId="16ED1DC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合适的灭火剂：雾状水、泡沫、干粉、二氧化碳。</w:t>
                  </w:r>
                </w:p>
                <w:p w14:paraId="0BC198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化学品危险特性：易燃，与空气混合能形成爆炸性混合物，遇热源和明火有燃烧爆炸的危险，与五氧化溴、氯气、次氯酸、三氟化氮、液氧、二氟化氧及其它强氧化剂接触剧烈反应。</w:t>
                  </w:r>
                </w:p>
              </w:tc>
            </w:tr>
            <w:tr w14:paraId="1D1424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407" w:hRule="atLeast"/>
                <w:jc w:val="center"/>
              </w:trPr>
              <w:tc>
                <w:tcPr>
                  <w:tcW w:w="253" w:type="dxa"/>
                  <w:vAlign w:val="center"/>
                </w:tcPr>
                <w:p w14:paraId="05AD619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677" w:type="dxa"/>
                  <w:vAlign w:val="center"/>
                </w:tcPr>
                <w:p w14:paraId="293AEF1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泄漏应急处理</w:t>
                  </w:r>
                </w:p>
              </w:tc>
              <w:tc>
                <w:tcPr>
                  <w:tcW w:w="7372" w:type="dxa"/>
                  <w:vAlign w:val="center"/>
                </w:tcPr>
                <w:p w14:paraId="286E85F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作业人员防护措施、防护装备和应急处理程序：建议应急处理人员戴自给正压式呼吸器，穿消防防护服，尽可能切断泄漏源。迅速撤离泄漏污染区人员到上风处，并进行隔离，严格限制出入，切断火源。合理通风，加速扩散。</w:t>
                  </w:r>
                </w:p>
                <w:p w14:paraId="40B868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保护措施：构筑围堤或挖坑收容产生的大量废水。泄漏化学品的收容、清除方法及所使用的处置材料：如有可能，将漏出的气体用排风机送至空旷的地方或装设适当喷头烧掉也可以将漏气的容器移至空旷处，注意通风。漏气容器要妥善处理、修复、检验后再使用。次生危害预防措施：对泄漏现场彻底清扫，定期采样观察；对接触人员定期体检。</w:t>
                  </w:r>
                </w:p>
              </w:tc>
            </w:tr>
          </w:tbl>
          <w:p w14:paraId="304E5529">
            <w:pPr>
              <w:keepNext w:val="0"/>
              <w:keepLines w:val="0"/>
              <w:suppressLineNumbers w:val="0"/>
              <w:spacing w:before="0" w:beforeAutospacing="0" w:after="0" w:afterAutospacing="0" w:line="520" w:lineRule="exact"/>
              <w:ind w:left="0" w:right="0" w:firstLine="420" w:firstLineChars="200"/>
              <w:jc w:val="left"/>
              <w:textAlignment w:val="baseline"/>
              <w:rPr>
                <w:rFonts w:hint="default" w:ascii="Times New Roman" w:hAnsi="Times New Roman" w:cs="Times New Roman"/>
                <w:color w:val="auto"/>
                <w:szCs w:val="21"/>
              </w:rPr>
            </w:pPr>
            <w:r>
              <w:rPr>
                <w:rFonts w:hint="default" w:ascii="Times New Roman" w:hAnsi="Times New Roman" w:eastAsia="黑体" w:cs="Times New Roman"/>
                <w:color w:val="auto"/>
                <w:sz w:val="21"/>
                <w:szCs w:val="21"/>
              </w:rPr>
              <w:t>表</w:t>
            </w:r>
            <w:r>
              <w:rPr>
                <w:rFonts w:hint="eastAsia" w:ascii="Times New Roman" w:hAnsi="Times New Roman" w:eastAsia="黑体" w:cs="Times New Roman"/>
                <w:color w:val="auto"/>
                <w:sz w:val="21"/>
                <w:szCs w:val="21"/>
                <w:lang w:val="en-US" w:eastAsia="zh-CN"/>
              </w:rPr>
              <w:t>4</w:t>
            </w:r>
            <w:r>
              <w:rPr>
                <w:rFonts w:hint="eastAsia" w:eastAsia="黑体" w:cs="Times New Roman"/>
                <w:color w:val="auto"/>
                <w:sz w:val="21"/>
                <w:szCs w:val="21"/>
                <w:lang w:val="en-US" w:eastAsia="zh-CN"/>
              </w:rPr>
              <w:t>-28</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 xml:space="preserve">氢气安全技术说明书   </w:t>
            </w:r>
            <w:r>
              <w:rPr>
                <w:rFonts w:hint="default" w:ascii="Times New Roman" w:hAnsi="Times New Roman" w:eastAsia="黑体" w:cs="Times New Roman"/>
                <w:color w:val="auto"/>
                <w:sz w:val="24"/>
              </w:rPr>
              <w:t xml:space="preserve">      </w:t>
            </w:r>
          </w:p>
          <w:tbl>
            <w:tblPr>
              <w:tblStyle w:val="22"/>
              <w:tblW w:w="830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643"/>
              <w:gridCol w:w="1391"/>
              <w:gridCol w:w="6268"/>
            </w:tblGrid>
            <w:tr w14:paraId="25D4DC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0C0318B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1391" w:type="dxa"/>
                  <w:vAlign w:val="center"/>
                </w:tcPr>
                <w:p w14:paraId="7DD6AD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6268" w:type="dxa"/>
                  <w:vAlign w:val="center"/>
                </w:tcPr>
                <w:p w14:paraId="01480A0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14:paraId="794D7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3D298CE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391" w:type="dxa"/>
                  <w:vAlign w:val="center"/>
                </w:tcPr>
                <w:p w14:paraId="6D7581B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6268" w:type="dxa"/>
                  <w:vAlign w:val="center"/>
                </w:tcPr>
                <w:p w14:paraId="36ADE76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hydrongen</w:t>
                  </w:r>
                </w:p>
                <w:p w14:paraId="40AFD5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中文名称：氢气分子式：H</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2</w:t>
                  </w:r>
                </w:p>
              </w:tc>
            </w:tr>
            <w:tr w14:paraId="09EA86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49AC19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391" w:type="dxa"/>
                  <w:vAlign w:val="center"/>
                </w:tcPr>
                <w:p w14:paraId="5E15EF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/组分信息</w:t>
                  </w:r>
                </w:p>
              </w:tc>
              <w:tc>
                <w:tcPr>
                  <w:tcW w:w="6268" w:type="dxa"/>
                  <w:vAlign w:val="center"/>
                </w:tcPr>
                <w:p w14:paraId="245BD45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氢气＞</w:t>
                  </w:r>
                  <w:r>
                    <w:rPr>
                      <w:rFonts w:hint="default" w:ascii="Times New Roman" w:hAnsi="Times New Roman" w:cs="Times New Roman"/>
                      <w:color w:val="auto"/>
                      <w:kern w:val="0"/>
                      <w:sz w:val="21"/>
                      <w:szCs w:val="21"/>
                    </w:rPr>
                    <w:t>99.99%，</w:t>
                  </w:r>
                  <w:r>
                    <w:rPr>
                      <w:rFonts w:hint="default" w:ascii="Times New Roman" w:hAnsi="Times New Roman" w:cs="Times New Roman"/>
                      <w:color w:val="auto"/>
                      <w:kern w:val="0"/>
                      <w:sz w:val="21"/>
                      <w:szCs w:val="21"/>
                      <w:lang w:val="zh-CN"/>
                    </w:rPr>
                    <w:t xml:space="preserve"> CAS NO：</w:t>
                  </w:r>
                  <w:r>
                    <w:rPr>
                      <w:rFonts w:hint="default" w:ascii="Times New Roman" w:hAnsi="Times New Roman" w:cs="Times New Roman"/>
                      <w:color w:val="auto"/>
                      <w:kern w:val="0"/>
                      <w:sz w:val="21"/>
                      <w:szCs w:val="21"/>
                    </w:rPr>
                    <w:t>133-74-0</w:t>
                  </w:r>
                </w:p>
              </w:tc>
            </w:tr>
            <w:tr w14:paraId="57064A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270B20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391" w:type="dxa"/>
                  <w:vAlign w:val="center"/>
                </w:tcPr>
                <w:p w14:paraId="5A741EC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6268" w:type="dxa"/>
                  <w:vAlign w:val="center"/>
                </w:tcPr>
                <w:p w14:paraId="6EBA540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无色无味气体，密度比空气小，本品在生理学上是惰性气体，仅在高浓度时，</w:t>
                  </w:r>
                </w:p>
                <w:p w14:paraId="2E25B94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rPr>
                    <w:t>由于空气中氧分压降低才引起室息。在很高的分压下，可呈现出麻醉作用。易燃，遇热或明火会发生爆炸。</w:t>
                  </w:r>
                </w:p>
              </w:tc>
            </w:tr>
            <w:tr w14:paraId="131389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7EFD1AD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1391" w:type="dxa"/>
                  <w:vAlign w:val="center"/>
                </w:tcPr>
                <w:p w14:paraId="10B3508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急救措施</w:t>
                  </w:r>
                </w:p>
              </w:tc>
              <w:tc>
                <w:tcPr>
                  <w:tcW w:w="6268" w:type="dxa"/>
                  <w:vAlign w:val="center"/>
                </w:tcPr>
                <w:p w14:paraId="21CCF4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吸入：迅速脱离现场至空气新鲜处。保持呼吸道通畅。如呼吸困难，给</w:t>
                  </w:r>
                </w:p>
                <w:p w14:paraId="20153F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输氧。呼吸、心跳停止，立即进行心肺复苏术。立即就医。</w:t>
                  </w:r>
                </w:p>
              </w:tc>
            </w:tr>
            <w:tr w14:paraId="3E1298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643" w:type="dxa"/>
                  <w:vAlign w:val="center"/>
                </w:tcPr>
                <w:p w14:paraId="029DA1A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1391" w:type="dxa"/>
                  <w:vAlign w:val="center"/>
                </w:tcPr>
                <w:p w14:paraId="552ACA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消防措施</w:t>
                  </w:r>
                </w:p>
              </w:tc>
              <w:tc>
                <w:tcPr>
                  <w:tcW w:w="6268" w:type="dxa"/>
                  <w:vAlign w:val="center"/>
                </w:tcPr>
                <w:p w14:paraId="0F54BC9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灭火剂：用雾状水、泡沫、二氧化碳、干粉灭火剂灭火。</w:t>
                  </w:r>
                </w:p>
                <w:p w14:paraId="59FA6B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特别危险性：压缩气体燃烧可导致容器开裂或爆炸。</w:t>
                  </w:r>
                </w:p>
                <w:p w14:paraId="298ADA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注意事项及防护措施：消防人员必须戴好自给正压式呼吸器，穿消防护护服，在安全距离以外灭火。尽可能切断泄漏源，若不能立即切断气源，则不允许熄灭正在燃烧的气体。喷水冷却容器，可能的话将容器从火场移至空旷处</w:t>
                  </w:r>
                </w:p>
                <w:p w14:paraId="77C406F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用水保持火场容器冷却，直至灭火结束。隔离事故现场，禁止无关人员进入。</w:t>
                  </w:r>
                </w:p>
              </w:tc>
            </w:tr>
            <w:tr w14:paraId="3BCBDA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832" w:hRule="atLeast"/>
                <w:jc w:val="center"/>
              </w:trPr>
              <w:tc>
                <w:tcPr>
                  <w:tcW w:w="643" w:type="dxa"/>
                  <w:vAlign w:val="center"/>
                </w:tcPr>
                <w:p w14:paraId="2E55185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1391" w:type="dxa"/>
                  <w:vAlign w:val="center"/>
                </w:tcPr>
                <w:p w14:paraId="4F0DF5D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泄漏应急处理</w:t>
                  </w:r>
                </w:p>
              </w:tc>
              <w:tc>
                <w:tcPr>
                  <w:tcW w:w="6268" w:type="dxa"/>
                  <w:vAlign w:val="center"/>
                </w:tcPr>
                <w:p w14:paraId="1A89C9D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作业人员防护措施、防护装备和应急处理程序：建议应急处理人员戴正压式呼吸器，穿消防护护服。合理通风，加速扩散。如有可能，将漏出气用排风机送至空旷地方或装设头烧掉。消除所有点火源迅速撤离泄漏污染区人员至安全区，并进行隔离，严格限制出入。尽可能切断泄漏源。</w:t>
                  </w:r>
                </w:p>
                <w:p w14:paraId="57FCDEE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环境保护措施：本品燃烧产物是水，对环境无影响泄漏化学品的收容、清除方法及所用的处理材料：本品对环境无污染，可直接排入大气。</w:t>
                  </w:r>
                </w:p>
              </w:tc>
            </w:tr>
          </w:tbl>
          <w:p w14:paraId="0B76DCF9">
            <w:pPr>
              <w:keepNext w:val="0"/>
              <w:keepLines w:val="0"/>
              <w:suppressLineNumbers w:val="0"/>
              <w:spacing w:before="0" w:beforeAutospacing="0" w:after="0" w:afterAutospacing="0" w:line="520" w:lineRule="exact"/>
              <w:ind w:left="0" w:right="0" w:firstLine="420" w:firstLineChars="200"/>
              <w:jc w:val="left"/>
              <w:textAlignment w:val="baseline"/>
              <w:rPr>
                <w:rFonts w:hint="default" w:ascii="Times New Roman" w:hAnsi="Times New Roman" w:cs="Times New Roman"/>
                <w:color w:val="auto"/>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4</w:t>
            </w:r>
            <w:r>
              <w:rPr>
                <w:rFonts w:hint="eastAsia" w:eastAsia="黑体" w:cs="Times New Roman"/>
                <w:color w:val="auto"/>
                <w:sz w:val="21"/>
                <w:szCs w:val="21"/>
                <w:lang w:val="en-US" w:eastAsia="zh-CN"/>
              </w:rPr>
              <w:t>-29</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一氧化碳</w:t>
            </w:r>
            <w:r>
              <w:rPr>
                <w:rFonts w:hint="eastAsia" w:ascii="Times New Roman" w:hAnsi="Times New Roman" w:eastAsia="黑体" w:cs="Times New Roman"/>
                <w:color w:val="auto"/>
                <w:sz w:val="21"/>
                <w:szCs w:val="21"/>
                <w:lang w:eastAsia="zh-CN"/>
              </w:rPr>
              <w:t>理化性质</w:t>
            </w:r>
            <w:r>
              <w:rPr>
                <w:rFonts w:hint="default" w:ascii="Times New Roman" w:hAnsi="Times New Roman" w:eastAsia="黑体" w:cs="Times New Roman"/>
                <w:color w:val="auto"/>
                <w:sz w:val="21"/>
                <w:szCs w:val="21"/>
              </w:rPr>
              <w:t xml:space="preserve"> </w:t>
            </w:r>
            <w:r>
              <w:rPr>
                <w:rFonts w:hint="default" w:ascii="Times New Roman" w:hAnsi="Times New Roman" w:eastAsia="黑体" w:cs="Times New Roman"/>
                <w:color w:val="auto"/>
                <w:sz w:val="24"/>
              </w:rPr>
              <w:t xml:space="preserve">        </w:t>
            </w:r>
          </w:p>
          <w:tbl>
            <w:tblPr>
              <w:tblStyle w:val="22"/>
              <w:tblW w:w="8302"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29"/>
              <w:gridCol w:w="1006"/>
              <w:gridCol w:w="6867"/>
            </w:tblGrid>
            <w:tr w14:paraId="7388F4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429" w:type="dxa"/>
                  <w:vAlign w:val="center"/>
                </w:tcPr>
                <w:p w14:paraId="38DFD1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1006" w:type="dxa"/>
                  <w:vAlign w:val="center"/>
                </w:tcPr>
                <w:p w14:paraId="6D0F4D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6867" w:type="dxa"/>
                  <w:vAlign w:val="center"/>
                </w:tcPr>
                <w:p w14:paraId="737B83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14:paraId="22B1B3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trPr>
              <w:tc>
                <w:tcPr>
                  <w:tcW w:w="429" w:type="dxa"/>
                  <w:vAlign w:val="center"/>
                </w:tcPr>
                <w:p w14:paraId="52C682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06" w:type="dxa"/>
                  <w:vAlign w:val="center"/>
                </w:tcPr>
                <w:p w14:paraId="2CDB91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6867" w:type="dxa"/>
                  <w:vAlign w:val="center"/>
                </w:tcPr>
                <w:p w14:paraId="54102D9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Carbon monoxide</w:t>
                  </w:r>
                </w:p>
                <w:p w14:paraId="353F2F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中文名称：一氧化碳，分子式：</w:t>
                  </w:r>
                  <w:r>
                    <w:rPr>
                      <w:rFonts w:hint="default" w:ascii="Times New Roman" w:hAnsi="Times New Roman" w:cs="Times New Roman"/>
                      <w:color w:val="auto"/>
                      <w:kern w:val="0"/>
                      <w:sz w:val="21"/>
                      <w:szCs w:val="21"/>
                    </w:rPr>
                    <w:t>CO，</w:t>
                  </w: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28.01</w:t>
                  </w:r>
                </w:p>
              </w:tc>
            </w:tr>
            <w:tr w14:paraId="07F9DA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atLeast"/>
              </w:trPr>
              <w:tc>
                <w:tcPr>
                  <w:tcW w:w="429" w:type="dxa"/>
                  <w:vAlign w:val="center"/>
                </w:tcPr>
                <w:p w14:paraId="57E5D9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006" w:type="dxa"/>
                  <w:vAlign w:val="center"/>
                </w:tcPr>
                <w:p w14:paraId="18FE30D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w:t>
                  </w:r>
                </w:p>
                <w:p w14:paraId="5A8E64F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信息</w:t>
                  </w:r>
                </w:p>
              </w:tc>
              <w:tc>
                <w:tcPr>
                  <w:tcW w:w="6867" w:type="dxa"/>
                  <w:vAlign w:val="center"/>
                </w:tcPr>
                <w:p w14:paraId="2146C6C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纯品</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zh-CN"/>
                    </w:rPr>
                    <w:t xml:space="preserve"> CAS NO：</w:t>
                  </w:r>
                  <w:r>
                    <w:rPr>
                      <w:rFonts w:hint="default" w:ascii="Times New Roman" w:hAnsi="Times New Roman" w:cs="Times New Roman"/>
                      <w:color w:val="auto"/>
                      <w:kern w:val="0"/>
                      <w:sz w:val="21"/>
                      <w:szCs w:val="21"/>
                    </w:rPr>
                    <w:t>630-08-0</w:t>
                  </w:r>
                </w:p>
              </w:tc>
            </w:tr>
            <w:tr w14:paraId="36045F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696" w:hRule="atLeast"/>
              </w:trPr>
              <w:tc>
                <w:tcPr>
                  <w:tcW w:w="429" w:type="dxa"/>
                  <w:vAlign w:val="center"/>
                </w:tcPr>
                <w:p w14:paraId="0F0E4B5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006" w:type="dxa"/>
                  <w:vAlign w:val="center"/>
                </w:tcPr>
                <w:p w14:paraId="07FF681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6867" w:type="dxa"/>
                  <w:vAlign w:val="center"/>
                </w:tcPr>
                <w:p w14:paraId="1D6A77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危险性类别：第2.1类易燃气体。根据GB12268《危险货物品名表》，主危险性为2.3类有毒气体。侵入途径：吸入。</w:t>
                  </w:r>
                </w:p>
                <w:p w14:paraId="5F50CB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健康危害：一氧化碳在血中与血红蛋白结合而造成组织缺氧。</w:t>
                  </w:r>
                </w:p>
                <w:p w14:paraId="20138B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急性中毒：轻度中毒者出现头痛、头晕、耳鸣、心悸、恶心、呕吐、无力，轻</w:t>
                  </w:r>
                </w:p>
                <w:p w14:paraId="6225A6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度至中度意识障碍但无昏迷，血液碳氧血红蛋白浓度可高于10%；中度中毒者除上述症状外，意识障碍表现为浅至中度昏迷，但经抢救后恢复且无明显并发症，血液碳氧血红蛋白浓度可高于30%；重度患者出现深度昏迷或去大脑强直状态、休克、脑水肿、肺水肿、严重心肌损害、呼吸衰竭等，血液碳氧血红蛋白可高于50%。部分患者意识障碍恢复后，约经2~60天的“假愈期”，又可能出现迟发性脑病，以意识精神障碍、锥体系或锥体外系损害为主。</w:t>
                  </w:r>
                </w:p>
                <w:p w14:paraId="4A7DBA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慢性影响：能否造成慢性中毒及对心血管影响无定论。</w:t>
                  </w:r>
                </w:p>
              </w:tc>
            </w:tr>
            <w:tr w14:paraId="2CCF15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104" w:hRule="atLeast"/>
              </w:trPr>
              <w:tc>
                <w:tcPr>
                  <w:tcW w:w="429" w:type="dxa"/>
                  <w:vAlign w:val="center"/>
                </w:tcPr>
                <w:p w14:paraId="2AD883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1006" w:type="dxa"/>
                  <w:vAlign w:val="center"/>
                </w:tcPr>
                <w:p w14:paraId="0BC491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急救措施</w:t>
                  </w:r>
                </w:p>
              </w:tc>
              <w:tc>
                <w:tcPr>
                  <w:tcW w:w="6867" w:type="dxa"/>
                  <w:vAlign w:val="center"/>
                </w:tcPr>
                <w:p w14:paraId="30FAB0B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皮肤接触：不会通过该途径接触。眼睛接触：不会通过该途径接触</w:t>
                  </w:r>
                </w:p>
                <w:p w14:paraId="50B59BE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吸入：迅速脱离现场至空气新鲜处。保持呼吸道通畅。如呼吸困难，给输氧。如呼吸、心跳停止，立即进行心肺复苏术。就医。食入：不会通过该途径接触</w:t>
                  </w:r>
                </w:p>
              </w:tc>
            </w:tr>
            <w:tr w14:paraId="410D9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707" w:hRule="atLeast"/>
              </w:trPr>
              <w:tc>
                <w:tcPr>
                  <w:tcW w:w="429" w:type="dxa"/>
                  <w:vAlign w:val="center"/>
                </w:tcPr>
                <w:p w14:paraId="706C1C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1006" w:type="dxa"/>
                  <w:vAlign w:val="center"/>
                </w:tcPr>
                <w:p w14:paraId="3A73A12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消防措施</w:t>
                  </w:r>
                </w:p>
              </w:tc>
              <w:tc>
                <w:tcPr>
                  <w:tcW w:w="6867" w:type="dxa"/>
                  <w:vAlign w:val="center"/>
                </w:tcPr>
                <w:p w14:paraId="277CA3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危险特性：是一种易燃易爆气体。与空气混合能形成爆炸性混合物，遇明火、高热能引起燃烧爆炸。有害燃烧产物：二氧化碳。</w:t>
                  </w:r>
                </w:p>
                <w:p w14:paraId="1495AF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方法：用雾状水、泡沫、二氧化碳、干粉灭火灭火注意事项及措施：切断气源。若不能切断气源，则不允许熄灭泄漏处的火焰。消防人员必须佩戴空气呼吸器、穿全身防火防毒服，在上风向灭火。尽可能将容器从火场移至空旷处。喷水保持火场冷却容器，直至灭火结束。</w:t>
                  </w:r>
                </w:p>
              </w:tc>
            </w:tr>
            <w:tr w14:paraId="5F5B27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33" w:hRule="atLeast"/>
              </w:trPr>
              <w:tc>
                <w:tcPr>
                  <w:tcW w:w="429" w:type="dxa"/>
                  <w:vAlign w:val="center"/>
                </w:tcPr>
                <w:p w14:paraId="3335879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1006" w:type="dxa"/>
                  <w:vAlign w:val="center"/>
                </w:tcPr>
                <w:p w14:paraId="1012F9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w:t>
                  </w:r>
                </w:p>
                <w:p w14:paraId="4D30C0C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处理</w:t>
                  </w:r>
                </w:p>
              </w:tc>
              <w:tc>
                <w:tcPr>
                  <w:tcW w:w="6867" w:type="dxa"/>
                  <w:vAlign w:val="center"/>
                </w:tcPr>
                <w:p w14:paraId="586A2A2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应急行动：消除所有点火源。根据气体扩散的影响区域划定警戒区，无关人员从侧风、上风向撤离至安全区。建议应急处理人员戴正压自给式呼吸器，穿防静电服。作业时使用的所有设备应接地。尽可能切断泄漏源。喷雾状水能抑制蒸气或改变蒸气云流向防止气体通过下水道、通风系统和限制性空间扩散。隔离泄漏区直至气体散尽。</w:t>
                  </w:r>
                </w:p>
              </w:tc>
            </w:tr>
          </w:tbl>
          <w:p w14:paraId="2C17B6F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lang w:bidi="ar"/>
              </w:rPr>
            </w:pPr>
            <w:r>
              <w:rPr>
                <w:rFonts w:hint="default" w:ascii="Times New Roman" w:hAnsi="Times New Roman" w:cs="Times New Roman"/>
                <w:color w:val="auto"/>
                <w:sz w:val="24"/>
                <w:szCs w:val="24"/>
                <w:lang w:bidi="ar"/>
              </w:rPr>
              <w:t>（2）环境敏感目标调查</w:t>
            </w:r>
          </w:p>
          <w:p w14:paraId="39EB409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lang w:bidi="ar"/>
              </w:rPr>
            </w:pPr>
            <w:r>
              <w:rPr>
                <w:rFonts w:hint="default" w:ascii="Times New Roman" w:hAnsi="Times New Roman" w:cs="Times New Roman"/>
                <w:color w:val="auto"/>
                <w:sz w:val="24"/>
                <w:szCs w:val="24"/>
                <w:lang w:bidi="ar"/>
              </w:rPr>
              <w:t>根据本项目情况确定环境风险评价等级和评价范围，项目周围主要环境保护目标见表</w:t>
            </w:r>
            <w:r>
              <w:rPr>
                <w:rFonts w:hint="default" w:ascii="Times New Roman" w:hAnsi="Times New Roman" w:cs="Times New Roman"/>
                <w:color w:val="auto"/>
                <w:sz w:val="24"/>
                <w:szCs w:val="24"/>
                <w:lang w:val="en-US" w:eastAsia="zh-CN" w:bidi="ar"/>
              </w:rPr>
              <w:t>4</w:t>
            </w:r>
            <w:r>
              <w:rPr>
                <w:rFonts w:hint="eastAsia" w:ascii="Times New Roman" w:hAnsi="Times New Roman" w:cs="Times New Roman"/>
                <w:color w:val="auto"/>
                <w:sz w:val="24"/>
                <w:szCs w:val="24"/>
                <w:lang w:val="en-US" w:eastAsia="zh-CN" w:bidi="ar"/>
              </w:rPr>
              <w:t>-3</w:t>
            </w:r>
            <w:r>
              <w:rPr>
                <w:rFonts w:hint="eastAsia" w:cs="Times New Roman"/>
                <w:color w:val="auto"/>
                <w:sz w:val="24"/>
                <w:szCs w:val="24"/>
                <w:lang w:val="en-US" w:eastAsia="zh-CN" w:bidi="ar"/>
              </w:rPr>
              <w:t>0</w:t>
            </w:r>
            <w:r>
              <w:rPr>
                <w:rFonts w:hint="default" w:ascii="Times New Roman" w:hAnsi="Times New Roman" w:cs="Times New Roman"/>
                <w:color w:val="auto"/>
                <w:sz w:val="24"/>
                <w:szCs w:val="24"/>
                <w:lang w:bidi="ar"/>
              </w:rPr>
              <w:t>。</w:t>
            </w:r>
          </w:p>
          <w:p w14:paraId="201318EE">
            <w:pPr>
              <w:pStyle w:val="78"/>
              <w:keepNext w:val="0"/>
              <w:keepLines w:val="0"/>
              <w:suppressLineNumbers w:val="0"/>
              <w:spacing w:beforeAutospacing="0" w:after="0" w:afterAutospacing="0" w:line="240" w:lineRule="auto"/>
              <w:ind w:left="0" w:right="0" w:firstLine="420"/>
              <w:rPr>
                <w:rFonts w:hint="eastAsia"/>
                <w:color w:val="auto"/>
              </w:rPr>
            </w:pPr>
            <w:r>
              <w:rPr>
                <w:rFonts w:hint="default"/>
                <w:color w:val="auto"/>
              </w:rPr>
              <w:t>表</w:t>
            </w:r>
            <w:r>
              <w:rPr>
                <w:rFonts w:hint="eastAsia"/>
                <w:color w:val="auto"/>
                <w:lang w:val="en-US" w:eastAsia="zh-CN"/>
              </w:rPr>
              <w:t>4-30</w:t>
            </w:r>
            <w:r>
              <w:rPr>
                <w:rFonts w:hint="default"/>
                <w:color w:val="auto"/>
              </w:rPr>
              <w:t xml:space="preserve">  </w:t>
            </w:r>
            <w:r>
              <w:rPr>
                <w:rFonts w:hint="eastAsia"/>
                <w:color w:val="auto"/>
              </w:rPr>
              <w:t xml:space="preserve">                    </w:t>
            </w:r>
            <w:r>
              <w:rPr>
                <w:rFonts w:hint="default"/>
                <w:color w:val="auto"/>
              </w:rPr>
              <w:t xml:space="preserve"> </w:t>
            </w:r>
            <w:r>
              <w:rPr>
                <w:rFonts w:hint="eastAsia"/>
                <w:color w:val="auto"/>
              </w:rPr>
              <w:t>环境</w:t>
            </w:r>
            <w:r>
              <w:rPr>
                <w:rFonts w:hint="default"/>
                <w:color w:val="auto"/>
              </w:rPr>
              <w:t>保护目标及执行标准</w:t>
            </w:r>
          </w:p>
          <w:tbl>
            <w:tblPr>
              <w:tblStyle w:val="22"/>
              <w:tblW w:w="8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23"/>
              <w:gridCol w:w="1211"/>
              <w:gridCol w:w="851"/>
              <w:gridCol w:w="3062"/>
            </w:tblGrid>
            <w:tr w14:paraId="1E1D3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14:paraId="27C5F853">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环境要素</w:t>
                  </w:r>
                </w:p>
              </w:tc>
              <w:tc>
                <w:tcPr>
                  <w:tcW w:w="2523" w:type="dxa"/>
                  <w:vAlign w:val="center"/>
                </w:tcPr>
                <w:p w14:paraId="0F69582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环境保护目标</w:t>
                  </w:r>
                </w:p>
              </w:tc>
              <w:tc>
                <w:tcPr>
                  <w:tcW w:w="1211" w:type="dxa"/>
                  <w:vAlign w:val="center"/>
                </w:tcPr>
                <w:p w14:paraId="768C9FB7">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方位</w:t>
                  </w:r>
                </w:p>
              </w:tc>
              <w:tc>
                <w:tcPr>
                  <w:tcW w:w="851" w:type="dxa"/>
                  <w:vAlign w:val="center"/>
                </w:tcPr>
                <w:p w14:paraId="7CFC362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距离</w:t>
                  </w:r>
                </w:p>
              </w:tc>
              <w:tc>
                <w:tcPr>
                  <w:tcW w:w="3062" w:type="dxa"/>
                  <w:vAlign w:val="center"/>
                </w:tcPr>
                <w:p w14:paraId="14D04CF4">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保护要求</w:t>
                  </w:r>
                </w:p>
              </w:tc>
            </w:tr>
            <w:tr w14:paraId="45B20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Merge w:val="restart"/>
                  <w:vAlign w:val="center"/>
                </w:tcPr>
                <w:p w14:paraId="500AD0EA">
                  <w:pPr>
                    <w:keepNext w:val="0"/>
                    <w:keepLines w:val="0"/>
                    <w:suppressLineNumbers w:val="0"/>
                    <w:spacing w:before="0" w:beforeAutospacing="0" w:after="0" w:afterAutospacing="0" w:line="240" w:lineRule="auto"/>
                    <w:ind w:left="0" w:right="0" w:firstLine="0" w:firstLineChars="0"/>
                    <w:jc w:val="center"/>
                    <w:rPr>
                      <w:rFonts w:hint="eastAsia" w:eastAsia="宋体"/>
                      <w:color w:val="auto"/>
                      <w:sz w:val="21"/>
                      <w:szCs w:val="21"/>
                      <w:lang w:eastAsia="zh-CN"/>
                    </w:rPr>
                  </w:pPr>
                  <w:r>
                    <w:rPr>
                      <w:rFonts w:hint="eastAsia"/>
                      <w:color w:val="auto"/>
                      <w:sz w:val="21"/>
                      <w:szCs w:val="21"/>
                      <w:lang w:eastAsia="zh-CN"/>
                    </w:rPr>
                    <w:t>环境风险</w:t>
                  </w:r>
                </w:p>
              </w:tc>
              <w:tc>
                <w:tcPr>
                  <w:tcW w:w="2523" w:type="dxa"/>
                  <w:vAlign w:val="center"/>
                </w:tcPr>
                <w:p w14:paraId="15724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赵家庄村</w:t>
                  </w:r>
                </w:p>
              </w:tc>
              <w:tc>
                <w:tcPr>
                  <w:tcW w:w="1211" w:type="dxa"/>
                  <w:vAlign w:val="center"/>
                </w:tcPr>
                <w:p w14:paraId="6366A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NE</w:t>
                  </w:r>
                </w:p>
              </w:tc>
              <w:tc>
                <w:tcPr>
                  <w:tcW w:w="851" w:type="dxa"/>
                  <w:vAlign w:val="center"/>
                </w:tcPr>
                <w:p w14:paraId="3A2FC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2500</w:t>
                  </w:r>
                  <w:r>
                    <w:rPr>
                      <w:rFonts w:hint="eastAsia" w:cs="Times New Roman"/>
                      <w:b w:val="0"/>
                      <w:bCs w:val="0"/>
                      <w:color w:val="auto"/>
                      <w:sz w:val="21"/>
                      <w:szCs w:val="21"/>
                      <w:lang w:val="en-US" w:eastAsia="zh-CN"/>
                    </w:rPr>
                    <w:t>m</w:t>
                  </w:r>
                </w:p>
              </w:tc>
              <w:tc>
                <w:tcPr>
                  <w:tcW w:w="3062" w:type="dxa"/>
                  <w:vMerge w:val="restart"/>
                  <w:vAlign w:val="center"/>
                </w:tcPr>
                <w:p w14:paraId="59C4A178">
                  <w:pPr>
                    <w:keepNext w:val="0"/>
                    <w:keepLines w:val="0"/>
                    <w:suppressLineNumbers w:val="0"/>
                    <w:spacing w:before="0" w:beforeAutospacing="0" w:after="0" w:afterAutospacing="0" w:line="240" w:lineRule="auto"/>
                    <w:ind w:left="0" w:right="0" w:firstLine="0" w:firstLineChars="0"/>
                    <w:jc w:val="center"/>
                    <w:rPr>
                      <w:rFonts w:hint="eastAsia" w:eastAsia="宋体"/>
                      <w:color w:val="auto"/>
                      <w:sz w:val="21"/>
                      <w:szCs w:val="21"/>
                      <w:lang w:eastAsia="zh-CN"/>
                    </w:rPr>
                  </w:pPr>
                  <w:r>
                    <w:rPr>
                      <w:rFonts w:hint="eastAsia"/>
                      <w:color w:val="auto"/>
                      <w:sz w:val="21"/>
                      <w:szCs w:val="21"/>
                      <w:lang w:eastAsia="zh-CN"/>
                    </w:rPr>
                    <w:t>环境风险控制在可接受范围内</w:t>
                  </w:r>
                </w:p>
              </w:tc>
            </w:tr>
            <w:tr w14:paraId="458976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Merge w:val="continue"/>
                  <w:vAlign w:val="center"/>
                </w:tcPr>
                <w:p w14:paraId="23F760BC">
                  <w:pPr>
                    <w:keepNext w:val="0"/>
                    <w:keepLines w:val="0"/>
                    <w:suppressLineNumbers w:val="0"/>
                    <w:spacing w:before="0" w:beforeAutospacing="0" w:after="0" w:afterAutospacing="0" w:line="240" w:lineRule="auto"/>
                    <w:ind w:left="0" w:right="0" w:firstLine="0" w:firstLineChars="0"/>
                    <w:jc w:val="center"/>
                    <w:rPr>
                      <w:rFonts w:hint="default"/>
                      <w:color w:val="auto"/>
                    </w:rPr>
                  </w:pPr>
                </w:p>
              </w:tc>
              <w:tc>
                <w:tcPr>
                  <w:tcW w:w="2523" w:type="dxa"/>
                  <w:vAlign w:val="center"/>
                </w:tcPr>
                <w:p w14:paraId="00CB4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西戈壁村</w:t>
                  </w:r>
                </w:p>
              </w:tc>
              <w:tc>
                <w:tcPr>
                  <w:tcW w:w="1211" w:type="dxa"/>
                  <w:vAlign w:val="center"/>
                </w:tcPr>
                <w:p w14:paraId="43375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W</w:t>
                  </w:r>
                </w:p>
              </w:tc>
              <w:tc>
                <w:tcPr>
                  <w:tcW w:w="851" w:type="dxa"/>
                  <w:vAlign w:val="center"/>
                </w:tcPr>
                <w:p w14:paraId="1B4AB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ascii="Times New Roman" w:hAnsi="Times New Roman" w:cs="Times New Roman"/>
                      <w:b w:val="0"/>
                      <w:bCs w:val="0"/>
                      <w:color w:val="auto"/>
                      <w:sz w:val="21"/>
                      <w:szCs w:val="21"/>
                      <w:lang w:val="en-US" w:eastAsia="zh-CN"/>
                    </w:rPr>
                    <w:t>3500</w:t>
                  </w:r>
                  <w:r>
                    <w:rPr>
                      <w:rFonts w:hint="eastAsia" w:cs="Times New Roman"/>
                      <w:b w:val="0"/>
                      <w:bCs w:val="0"/>
                      <w:color w:val="auto"/>
                      <w:sz w:val="21"/>
                      <w:szCs w:val="21"/>
                      <w:lang w:val="en-US" w:eastAsia="zh-CN"/>
                    </w:rPr>
                    <w:t>m</w:t>
                  </w:r>
                </w:p>
              </w:tc>
              <w:tc>
                <w:tcPr>
                  <w:tcW w:w="3062" w:type="dxa"/>
                  <w:vMerge w:val="continue"/>
                  <w:vAlign w:val="center"/>
                </w:tcPr>
                <w:p w14:paraId="615C518E">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r>
            <w:tr w14:paraId="429F9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Merge w:val="continue"/>
                  <w:vAlign w:val="center"/>
                </w:tcPr>
                <w:p w14:paraId="2906696E">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c>
                <w:tcPr>
                  <w:tcW w:w="2523" w:type="dxa"/>
                  <w:vAlign w:val="center"/>
                </w:tcPr>
                <w:p w14:paraId="454DC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大草滩村</w:t>
                  </w:r>
                </w:p>
              </w:tc>
              <w:tc>
                <w:tcPr>
                  <w:tcW w:w="1211" w:type="dxa"/>
                  <w:vAlign w:val="center"/>
                </w:tcPr>
                <w:p w14:paraId="2F763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WS</w:t>
                  </w:r>
                </w:p>
              </w:tc>
              <w:tc>
                <w:tcPr>
                  <w:tcW w:w="851" w:type="dxa"/>
                  <w:vAlign w:val="center"/>
                </w:tcPr>
                <w:p w14:paraId="29110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ascii="Times New Roman" w:hAnsi="Times New Roman" w:cs="Times New Roman"/>
                      <w:b w:val="0"/>
                      <w:bCs w:val="0"/>
                      <w:color w:val="auto"/>
                      <w:sz w:val="21"/>
                      <w:szCs w:val="21"/>
                      <w:lang w:val="en-US" w:eastAsia="zh-CN"/>
                    </w:rPr>
                    <w:t>4000</w:t>
                  </w:r>
                  <w:r>
                    <w:rPr>
                      <w:rFonts w:hint="eastAsia" w:cs="Times New Roman"/>
                      <w:b w:val="0"/>
                      <w:bCs w:val="0"/>
                      <w:color w:val="auto"/>
                      <w:sz w:val="21"/>
                      <w:szCs w:val="21"/>
                      <w:lang w:val="en-US" w:eastAsia="zh-CN"/>
                    </w:rPr>
                    <w:t>m</w:t>
                  </w:r>
                </w:p>
              </w:tc>
              <w:tc>
                <w:tcPr>
                  <w:tcW w:w="3062" w:type="dxa"/>
                  <w:vMerge w:val="continue"/>
                  <w:vAlign w:val="center"/>
                </w:tcPr>
                <w:p w14:paraId="4A00AF00">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r>
          </w:tbl>
          <w:p w14:paraId="2B3CB76F">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val="en-US" w:eastAsia="zh-CN" w:bidi="ar"/>
              </w:rPr>
              <w:t>3</w:t>
            </w:r>
            <w:r>
              <w:rPr>
                <w:rFonts w:hint="eastAsia" w:cs="宋体"/>
                <w:color w:val="auto"/>
                <w:sz w:val="24"/>
                <w:szCs w:val="24"/>
                <w:lang w:bidi="ar"/>
              </w:rPr>
              <w:t>、</w:t>
            </w:r>
            <w:r>
              <w:rPr>
                <w:rFonts w:hint="default" w:cs="宋体"/>
                <w:color w:val="auto"/>
                <w:sz w:val="24"/>
                <w:szCs w:val="24"/>
                <w:lang w:bidi="ar"/>
              </w:rPr>
              <w:t>环境风险潜势初判</w:t>
            </w:r>
          </w:p>
          <w:p w14:paraId="1B013E7B">
            <w:pPr>
              <w:pStyle w:val="49"/>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rPr>
              <w:t>（1）</w:t>
            </w:r>
            <w:r>
              <w:rPr>
                <w:rFonts w:hint="default"/>
                <w:color w:val="auto"/>
              </w:rPr>
              <w:t>危险物质数量与临界量比值（</w:t>
            </w:r>
            <w:r>
              <w:rPr>
                <w:rFonts w:hint="default" w:eastAsia="Times New Roman"/>
                <w:color w:val="auto"/>
              </w:rPr>
              <w:t>Q</w:t>
            </w:r>
            <w:r>
              <w:rPr>
                <w:rFonts w:hint="default"/>
                <w:color w:val="auto"/>
              </w:rPr>
              <w:t>）</w:t>
            </w:r>
          </w:p>
          <w:p w14:paraId="586D9886">
            <w:pPr>
              <w:pStyle w:val="49"/>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rPr>
              <w:t>根据《建设项目环境风险评价技术导则》（</w:t>
            </w:r>
            <w:r>
              <w:rPr>
                <w:rFonts w:hint="default"/>
                <w:color w:val="auto"/>
              </w:rPr>
              <w:t>HJ/T169-2018</w:t>
            </w:r>
            <w:r>
              <w:rPr>
                <w:rFonts w:hint="eastAsia"/>
                <w:color w:val="auto"/>
              </w:rPr>
              <w:t>）和《危险化学品重大危险源辨识》（</w:t>
            </w:r>
            <w:r>
              <w:rPr>
                <w:rFonts w:hint="default"/>
                <w:color w:val="auto"/>
              </w:rPr>
              <w:t>GB18218-2018</w:t>
            </w:r>
            <w:r>
              <w:rPr>
                <w:rFonts w:hint="eastAsia"/>
                <w:color w:val="auto"/>
              </w:rPr>
              <w:t>），危险化学品重大危险源是指</w:t>
            </w:r>
            <w:r>
              <w:rPr>
                <w:rFonts w:hint="default"/>
                <w:color w:val="auto"/>
              </w:rPr>
              <w:t>“</w:t>
            </w:r>
            <w:r>
              <w:rPr>
                <w:rFonts w:hint="eastAsia"/>
                <w:color w:val="auto"/>
              </w:rPr>
              <w:t>长期地或临时地生产、加工、搬运、使用或储存危险化学品，且危险化学品的数量等于或</w:t>
            </w:r>
            <w:r>
              <w:rPr>
                <w:rFonts w:hint="default"/>
                <w:color w:val="auto"/>
              </w:rPr>
              <w:t>超过临界量的单元”。计算所涉及的每种危险物质在厂界内的最大存在总量与其在附录B</w:t>
            </w:r>
            <w:r>
              <w:rPr>
                <w:rFonts w:hint="eastAsia"/>
                <w:color w:val="auto"/>
              </w:rPr>
              <w:t>中对应临界量的比值</w:t>
            </w:r>
            <w:r>
              <w:rPr>
                <w:rFonts w:hint="default"/>
                <w:color w:val="auto"/>
              </w:rPr>
              <w:t>Q</w:t>
            </w:r>
            <w:r>
              <w:rPr>
                <w:rFonts w:hint="eastAsia"/>
                <w:color w:val="auto"/>
              </w:rPr>
              <w:t>。在不同厂区的同一种物质，按其在厂界内的最大存在总量计算。单元内存在的危险化学品的数量根据处理危险化学品的多少，区分为以下两种情况：</w:t>
            </w:r>
            <w:r>
              <w:rPr>
                <w:rFonts w:hint="default"/>
                <w:color w:val="auto"/>
              </w:rPr>
              <w:t xml:space="preserve"> </w:t>
            </w:r>
          </w:p>
          <w:p w14:paraId="56A45772">
            <w:pPr>
              <w:pStyle w:val="49"/>
              <w:keepNext w:val="0"/>
              <w:keepLines w:val="0"/>
              <w:suppressLineNumbers w:val="0"/>
              <w:spacing w:before="0" w:beforeAutospacing="0" w:after="0" w:afterAutospacing="0" w:line="360" w:lineRule="auto"/>
              <w:ind w:left="0" w:leftChars="0" w:right="0" w:firstLine="0" w:firstLineChars="0"/>
              <w:rPr>
                <w:rFonts w:hint="default"/>
                <w:color w:val="auto"/>
              </w:rPr>
            </w:pPr>
            <w:r>
              <w:rPr>
                <w:rFonts w:hint="eastAsia"/>
                <w:color w:val="auto"/>
              </w:rPr>
              <w:t>①当只涉及一种危险物质时，计算该物质的总量与其临界量比值，即为</w:t>
            </w:r>
            <w:r>
              <w:rPr>
                <w:rFonts w:hint="default"/>
                <w:color w:val="auto"/>
              </w:rPr>
              <w:t>Q</w:t>
            </w:r>
            <w:r>
              <w:rPr>
                <w:rFonts w:hint="eastAsia"/>
                <w:color w:val="auto"/>
              </w:rPr>
              <w:t>；</w:t>
            </w:r>
          </w:p>
          <w:p w14:paraId="1A4DD0B0">
            <w:pPr>
              <w:pStyle w:val="49"/>
              <w:keepNext w:val="0"/>
              <w:keepLines w:val="0"/>
              <w:suppressLineNumbers w:val="0"/>
              <w:spacing w:before="0" w:beforeAutospacing="0" w:after="0" w:afterAutospacing="0" w:line="360" w:lineRule="auto"/>
              <w:ind w:left="0" w:leftChars="0" w:right="0" w:firstLine="0" w:firstLineChars="0"/>
              <w:rPr>
                <w:rFonts w:hint="default"/>
                <w:color w:val="auto"/>
              </w:rPr>
            </w:pPr>
            <w:r>
              <w:rPr>
                <w:rFonts w:hint="default" w:ascii="Calibri" w:hAnsi="Calibri" w:eastAsia="仿宋_GB2312" w:cs="黑体"/>
                <w:color w:val="auto"/>
                <w:sz w:val="30"/>
                <w:szCs w:val="22"/>
              </w:rPr>
              <w:drawing>
                <wp:anchor distT="0" distB="0" distL="114300" distR="114300" simplePos="0" relativeHeight="251669504" behindDoc="0" locked="0" layoutInCell="1" allowOverlap="1">
                  <wp:simplePos x="0" y="0"/>
                  <wp:positionH relativeFrom="column">
                    <wp:posOffset>1775460</wp:posOffset>
                  </wp:positionH>
                  <wp:positionV relativeFrom="paragraph">
                    <wp:posOffset>359410</wp:posOffset>
                  </wp:positionV>
                  <wp:extent cx="1343025" cy="422910"/>
                  <wp:effectExtent l="0" t="0" r="13335" b="3810"/>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44"/>
                          <a:stretch>
                            <a:fillRect/>
                          </a:stretch>
                        </pic:blipFill>
                        <pic:spPr>
                          <a:xfrm>
                            <a:off x="0" y="0"/>
                            <a:ext cx="1343025" cy="422910"/>
                          </a:xfrm>
                          <a:prstGeom prst="rect">
                            <a:avLst/>
                          </a:prstGeom>
                          <a:noFill/>
                          <a:ln w="9525">
                            <a:noFill/>
                          </a:ln>
                        </pic:spPr>
                      </pic:pic>
                    </a:graphicData>
                  </a:graphic>
                </wp:anchor>
              </w:drawing>
            </w:r>
            <w:r>
              <w:rPr>
                <w:rFonts w:hint="eastAsia"/>
                <w:color w:val="auto"/>
              </w:rPr>
              <w:t>②当存在多种危险物质时，则按下式计算物质总量与其临界量比值（</w:t>
            </w:r>
            <w:r>
              <w:rPr>
                <w:rFonts w:hint="default"/>
                <w:color w:val="auto"/>
              </w:rPr>
              <w:t>Q</w:t>
            </w:r>
            <w:r>
              <w:rPr>
                <w:rFonts w:hint="eastAsia"/>
                <w:color w:val="auto"/>
              </w:rPr>
              <w:t>）：</w:t>
            </w:r>
          </w:p>
          <w:p w14:paraId="406C05A7">
            <w:pPr>
              <w:pStyle w:val="49"/>
              <w:keepNext w:val="0"/>
              <w:keepLines w:val="0"/>
              <w:suppressLineNumbers w:val="0"/>
              <w:spacing w:before="0" w:beforeAutospacing="0" w:after="0" w:afterAutospacing="0"/>
              <w:ind w:left="0" w:right="0" w:firstLine="480"/>
              <w:rPr>
                <w:rFonts w:hint="default"/>
                <w:color w:val="auto"/>
              </w:rPr>
            </w:pPr>
            <w:r>
              <w:rPr>
                <w:rFonts w:hint="eastAsia"/>
                <w:color w:val="auto"/>
              </w:rPr>
              <w:t>式中：</w:t>
            </w:r>
            <w:r>
              <w:rPr>
                <w:rFonts w:hint="default"/>
                <w:iCs/>
                <w:color w:val="auto"/>
              </w:rPr>
              <w:t>q</w:t>
            </w:r>
            <w:r>
              <w:rPr>
                <w:rFonts w:hint="default"/>
                <w:iCs/>
                <w:color w:val="auto"/>
                <w:vertAlign w:val="subscript"/>
              </w:rPr>
              <w:t>1</w:t>
            </w:r>
            <w:r>
              <w:rPr>
                <w:rFonts w:hint="eastAsia"/>
                <w:color w:val="auto"/>
              </w:rPr>
              <w:t>，</w:t>
            </w:r>
            <w:r>
              <w:rPr>
                <w:rFonts w:hint="default"/>
                <w:iCs/>
                <w:color w:val="auto"/>
              </w:rPr>
              <w:t>q</w:t>
            </w:r>
            <w:r>
              <w:rPr>
                <w:rFonts w:hint="default"/>
                <w:iCs/>
                <w:color w:val="auto"/>
                <w:vertAlign w:val="subscript"/>
              </w:rPr>
              <w:t>2</w:t>
            </w:r>
            <w:r>
              <w:rPr>
                <w:rFonts w:hint="eastAsia"/>
                <w:color w:val="auto"/>
              </w:rPr>
              <w:t>，</w:t>
            </w:r>
            <w:r>
              <w:rPr>
                <w:rFonts w:hint="default"/>
                <w:color w:val="auto"/>
              </w:rPr>
              <w:t>...</w:t>
            </w:r>
            <w:r>
              <w:rPr>
                <w:rFonts w:hint="eastAsia"/>
                <w:color w:val="auto"/>
              </w:rPr>
              <w:t>，</w:t>
            </w:r>
            <w:r>
              <w:rPr>
                <w:rFonts w:hint="default"/>
                <w:iCs/>
                <w:color w:val="auto"/>
              </w:rPr>
              <w:t>q</w:t>
            </w:r>
            <w:r>
              <w:rPr>
                <w:rFonts w:hint="default"/>
                <w:iCs/>
                <w:color w:val="auto"/>
                <w:vertAlign w:val="subscript"/>
              </w:rPr>
              <w:t>n</w:t>
            </w:r>
            <w:r>
              <w:rPr>
                <w:rFonts w:hint="default"/>
                <w:color w:val="auto"/>
              </w:rPr>
              <w:t>——</w:t>
            </w:r>
            <w:r>
              <w:rPr>
                <w:rFonts w:hint="eastAsia"/>
                <w:color w:val="auto"/>
              </w:rPr>
              <w:t>每种危险物质的最大总存在量，</w:t>
            </w:r>
            <w:r>
              <w:rPr>
                <w:rFonts w:hint="default"/>
                <w:color w:val="auto"/>
              </w:rPr>
              <w:t>t</w:t>
            </w:r>
            <w:r>
              <w:rPr>
                <w:rFonts w:hint="eastAsia"/>
                <w:color w:val="auto"/>
              </w:rPr>
              <w:t>；</w:t>
            </w:r>
            <w:r>
              <w:rPr>
                <w:rFonts w:hint="default"/>
                <w:color w:val="auto"/>
              </w:rPr>
              <w:t xml:space="preserve"> </w:t>
            </w:r>
          </w:p>
          <w:p w14:paraId="7026C0CD">
            <w:pPr>
              <w:pStyle w:val="49"/>
              <w:keepNext w:val="0"/>
              <w:keepLines w:val="0"/>
              <w:suppressLineNumbers w:val="0"/>
              <w:spacing w:before="0" w:beforeAutospacing="0" w:after="0" w:afterAutospacing="0"/>
              <w:ind w:left="0" w:right="0" w:firstLine="1200" w:firstLineChars="500"/>
              <w:rPr>
                <w:rFonts w:hint="default"/>
                <w:color w:val="auto"/>
              </w:rPr>
            </w:pPr>
            <w:r>
              <w:rPr>
                <w:rFonts w:hint="default"/>
                <w:iCs/>
                <w:color w:val="auto"/>
              </w:rPr>
              <w:t>Q</w:t>
            </w:r>
            <w:r>
              <w:rPr>
                <w:rFonts w:hint="default"/>
                <w:iCs/>
                <w:color w:val="auto"/>
                <w:vertAlign w:val="subscript"/>
              </w:rPr>
              <w:t>1</w:t>
            </w:r>
            <w:r>
              <w:rPr>
                <w:rFonts w:hint="eastAsia"/>
                <w:color w:val="auto"/>
              </w:rPr>
              <w:t>，</w:t>
            </w:r>
            <w:r>
              <w:rPr>
                <w:rFonts w:hint="default"/>
                <w:iCs/>
                <w:color w:val="auto"/>
              </w:rPr>
              <w:t>Q</w:t>
            </w:r>
            <w:r>
              <w:rPr>
                <w:rFonts w:hint="default"/>
                <w:iCs/>
                <w:color w:val="auto"/>
                <w:vertAlign w:val="subscript"/>
              </w:rPr>
              <w:t>2</w:t>
            </w:r>
            <w:r>
              <w:rPr>
                <w:rFonts w:hint="eastAsia"/>
                <w:color w:val="auto"/>
              </w:rPr>
              <w:t>，</w:t>
            </w:r>
            <w:r>
              <w:rPr>
                <w:rFonts w:hint="default"/>
                <w:color w:val="auto"/>
              </w:rPr>
              <w:t>...</w:t>
            </w:r>
            <w:r>
              <w:rPr>
                <w:rFonts w:hint="eastAsia"/>
                <w:color w:val="auto"/>
              </w:rPr>
              <w:t>，</w:t>
            </w:r>
            <w:r>
              <w:rPr>
                <w:rFonts w:hint="default"/>
                <w:iCs/>
                <w:color w:val="auto"/>
              </w:rPr>
              <w:t>Q</w:t>
            </w:r>
            <w:r>
              <w:rPr>
                <w:rFonts w:hint="default"/>
                <w:iCs/>
                <w:color w:val="auto"/>
                <w:vertAlign w:val="subscript"/>
              </w:rPr>
              <w:t>n</w:t>
            </w:r>
            <w:r>
              <w:rPr>
                <w:rFonts w:hint="default"/>
                <w:color w:val="auto"/>
              </w:rPr>
              <w:t>——</w:t>
            </w:r>
            <w:r>
              <w:rPr>
                <w:rFonts w:hint="eastAsia"/>
                <w:color w:val="auto"/>
              </w:rPr>
              <w:t>每种危险物质的临界量，</w:t>
            </w:r>
            <w:r>
              <w:rPr>
                <w:rFonts w:hint="default"/>
                <w:color w:val="auto"/>
              </w:rPr>
              <w:t>t</w:t>
            </w:r>
            <w:r>
              <w:rPr>
                <w:rFonts w:hint="eastAsia"/>
                <w:color w:val="auto"/>
              </w:rPr>
              <w:t>；</w:t>
            </w:r>
            <w:r>
              <w:rPr>
                <w:rFonts w:hint="default"/>
                <w:color w:val="auto"/>
              </w:rPr>
              <w:t xml:space="preserve"> </w:t>
            </w:r>
          </w:p>
          <w:p w14:paraId="484A9FE0">
            <w:pPr>
              <w:pStyle w:val="49"/>
              <w:keepNext w:val="0"/>
              <w:keepLines w:val="0"/>
              <w:suppressLineNumbers w:val="0"/>
              <w:spacing w:before="0" w:beforeAutospacing="0" w:after="0" w:afterAutospacing="0"/>
              <w:ind w:left="0" w:right="0" w:firstLine="1200" w:firstLineChars="500"/>
              <w:rPr>
                <w:rFonts w:hint="default"/>
                <w:color w:val="auto"/>
              </w:rPr>
            </w:pPr>
            <w:r>
              <w:rPr>
                <w:rFonts w:hint="eastAsia"/>
                <w:color w:val="auto"/>
              </w:rPr>
              <w:t>当</w:t>
            </w:r>
            <w:r>
              <w:rPr>
                <w:rFonts w:hint="default"/>
                <w:iCs/>
                <w:color w:val="auto"/>
              </w:rPr>
              <w:t>Q</w:t>
            </w:r>
            <w:r>
              <w:rPr>
                <w:rFonts w:hint="eastAsia"/>
                <w:color w:val="auto"/>
              </w:rPr>
              <w:t>＜</w:t>
            </w:r>
            <w:r>
              <w:rPr>
                <w:rFonts w:hint="default"/>
                <w:color w:val="auto"/>
              </w:rPr>
              <w:t>1</w:t>
            </w:r>
            <w:r>
              <w:rPr>
                <w:rFonts w:hint="eastAsia"/>
                <w:color w:val="auto"/>
              </w:rPr>
              <w:t>时，该项目环境风险潜势为Ⅰ；</w:t>
            </w:r>
            <w:r>
              <w:rPr>
                <w:rFonts w:hint="default"/>
                <w:color w:val="auto"/>
              </w:rPr>
              <w:t xml:space="preserve"> </w:t>
            </w:r>
          </w:p>
          <w:p w14:paraId="440242C0">
            <w:pPr>
              <w:pStyle w:val="49"/>
              <w:keepNext w:val="0"/>
              <w:keepLines w:val="0"/>
              <w:suppressLineNumbers w:val="0"/>
              <w:spacing w:before="0" w:beforeAutospacing="0" w:after="0" w:afterAutospacing="0"/>
              <w:ind w:left="0" w:right="0" w:firstLine="1200" w:firstLineChars="500"/>
              <w:rPr>
                <w:rFonts w:hint="default"/>
                <w:color w:val="auto"/>
              </w:rPr>
            </w:pPr>
            <w:r>
              <w:rPr>
                <w:rFonts w:hint="eastAsia"/>
                <w:color w:val="auto"/>
              </w:rPr>
              <w:t>当</w:t>
            </w:r>
            <w:r>
              <w:rPr>
                <w:rFonts w:hint="default"/>
                <w:iCs/>
                <w:color w:val="auto"/>
              </w:rPr>
              <w:t>Q</w:t>
            </w:r>
            <w:r>
              <w:rPr>
                <w:rFonts w:hint="eastAsia"/>
                <w:color w:val="auto"/>
              </w:rPr>
              <w:t>≥</w:t>
            </w:r>
            <w:r>
              <w:rPr>
                <w:rFonts w:hint="default"/>
                <w:color w:val="auto"/>
              </w:rPr>
              <w:t>1</w:t>
            </w:r>
            <w:r>
              <w:rPr>
                <w:rFonts w:hint="eastAsia"/>
                <w:color w:val="auto"/>
              </w:rPr>
              <w:t>时，将</w:t>
            </w:r>
            <w:r>
              <w:rPr>
                <w:rFonts w:hint="default"/>
                <w:iCs/>
                <w:color w:val="auto"/>
              </w:rPr>
              <w:t xml:space="preserve">Q </w:t>
            </w:r>
            <w:r>
              <w:rPr>
                <w:rFonts w:hint="eastAsia"/>
                <w:color w:val="auto"/>
              </w:rPr>
              <w:t>值划分为：（</w:t>
            </w:r>
            <w:r>
              <w:rPr>
                <w:rFonts w:hint="default"/>
                <w:color w:val="auto"/>
              </w:rPr>
              <w:t>1</w:t>
            </w:r>
            <w:r>
              <w:rPr>
                <w:rFonts w:hint="eastAsia"/>
                <w:color w:val="auto"/>
              </w:rPr>
              <w:t>）</w:t>
            </w:r>
            <w:r>
              <w:rPr>
                <w:rFonts w:hint="default"/>
                <w:color w:val="auto"/>
              </w:rPr>
              <w:t>1</w:t>
            </w:r>
            <w:r>
              <w:rPr>
                <w:rFonts w:hint="eastAsia"/>
                <w:color w:val="auto"/>
              </w:rPr>
              <w:t>≤</w:t>
            </w:r>
            <w:r>
              <w:rPr>
                <w:rFonts w:hint="default"/>
                <w:color w:val="auto"/>
              </w:rPr>
              <w:t>Q</w:t>
            </w:r>
            <w:r>
              <w:rPr>
                <w:rFonts w:hint="eastAsia"/>
                <w:color w:val="auto"/>
              </w:rPr>
              <w:t>＜</w:t>
            </w:r>
            <w:r>
              <w:rPr>
                <w:rFonts w:hint="default"/>
                <w:color w:val="auto"/>
              </w:rPr>
              <w:t>10</w:t>
            </w:r>
            <w:r>
              <w:rPr>
                <w:rFonts w:hint="eastAsia"/>
                <w:color w:val="auto"/>
              </w:rPr>
              <w:t>；（</w:t>
            </w:r>
            <w:r>
              <w:rPr>
                <w:rFonts w:hint="default"/>
                <w:color w:val="auto"/>
              </w:rPr>
              <w:t>2</w:t>
            </w:r>
            <w:r>
              <w:rPr>
                <w:rFonts w:hint="eastAsia"/>
                <w:color w:val="auto"/>
              </w:rPr>
              <w:t>）</w:t>
            </w:r>
            <w:r>
              <w:rPr>
                <w:rFonts w:hint="default"/>
                <w:color w:val="auto"/>
              </w:rPr>
              <w:t>10</w:t>
            </w:r>
            <w:r>
              <w:rPr>
                <w:rFonts w:hint="eastAsia"/>
                <w:color w:val="auto"/>
              </w:rPr>
              <w:t>≤</w:t>
            </w:r>
            <w:r>
              <w:rPr>
                <w:rFonts w:hint="default"/>
                <w:color w:val="auto"/>
              </w:rPr>
              <w:t>Q</w:t>
            </w:r>
            <w:r>
              <w:rPr>
                <w:rFonts w:hint="eastAsia"/>
                <w:color w:val="auto"/>
              </w:rPr>
              <w:t>＜</w:t>
            </w:r>
            <w:r>
              <w:rPr>
                <w:rFonts w:hint="default"/>
                <w:color w:val="auto"/>
              </w:rPr>
              <w:t>100</w:t>
            </w:r>
            <w:r>
              <w:rPr>
                <w:rFonts w:hint="eastAsia"/>
                <w:color w:val="auto"/>
              </w:rPr>
              <w:t>；（</w:t>
            </w:r>
            <w:r>
              <w:rPr>
                <w:rFonts w:hint="default"/>
                <w:color w:val="auto"/>
              </w:rPr>
              <w:t>3</w:t>
            </w:r>
            <w:r>
              <w:rPr>
                <w:rFonts w:hint="eastAsia"/>
                <w:color w:val="auto"/>
              </w:rPr>
              <w:t>）</w:t>
            </w:r>
            <w:r>
              <w:rPr>
                <w:rFonts w:hint="default"/>
                <w:iCs/>
                <w:color w:val="auto"/>
              </w:rPr>
              <w:t>Q</w:t>
            </w:r>
            <w:r>
              <w:rPr>
                <w:rFonts w:hint="eastAsia"/>
                <w:color w:val="auto"/>
              </w:rPr>
              <w:t>≥</w:t>
            </w:r>
            <w:r>
              <w:rPr>
                <w:rFonts w:hint="default"/>
                <w:color w:val="auto"/>
              </w:rPr>
              <w:t>100</w:t>
            </w:r>
            <w:r>
              <w:rPr>
                <w:rFonts w:hint="eastAsia"/>
                <w:color w:val="auto"/>
              </w:rPr>
              <w:t>。</w:t>
            </w:r>
          </w:p>
          <w:p w14:paraId="23C4A7AE">
            <w:pPr>
              <w:pStyle w:val="47"/>
              <w:spacing w:line="360" w:lineRule="auto"/>
              <w:ind w:firstLine="480"/>
              <w:rPr>
                <w:rFonts w:hint="eastAsia" w:ascii="Times New Roman" w:hAnsi="Times New Roman" w:cs="Times New Roman"/>
                <w:color w:val="auto"/>
                <w:lang w:val="en-US" w:eastAsia="zh-CN"/>
              </w:rPr>
            </w:pPr>
            <w:r>
              <w:rPr>
                <w:rFonts w:hint="default" w:ascii="Times New Roman" w:hAnsi="Times New Roman" w:cs="Times New Roman"/>
                <w:color w:val="auto"/>
              </w:rPr>
              <w:t>本项目涉及的危险物质</w:t>
            </w:r>
            <w:r>
              <w:rPr>
                <w:rFonts w:hint="default" w:ascii="Times New Roman" w:hAnsi="Times New Roman" w:cs="Times New Roman"/>
                <w:color w:val="auto"/>
                <w:lang w:eastAsia="zh-CN"/>
              </w:rPr>
              <w:t>中生物质气在产生后迅速进入燃烧室内燃烧，存在量较小，厂区内</w:t>
            </w:r>
            <w:r>
              <w:rPr>
                <w:rFonts w:hint="eastAsia" w:ascii="Times New Roman" w:hAnsi="Times New Roman" w:cs="Times New Roman"/>
                <w:color w:val="auto"/>
                <w:lang w:eastAsia="zh-CN"/>
              </w:rPr>
              <w:t>亦不设柴油储罐，仅在开停机时由罐车拉运柴油至厂内，柴油一次用量约</w:t>
            </w:r>
            <w:r>
              <w:rPr>
                <w:rFonts w:hint="eastAsia" w:ascii="Times New Roman" w:hAnsi="Times New Roman" w:cs="Times New Roman"/>
                <w:color w:val="auto"/>
                <w:lang w:val="en-US" w:eastAsia="zh-CN"/>
              </w:rPr>
              <w:t>5t</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危险物质存在量与临界量比值见表</w:t>
            </w:r>
            <w:r>
              <w:rPr>
                <w:rFonts w:hint="default" w:ascii="Times New Roman" w:hAnsi="Times New Roman" w:cs="Times New Roman"/>
                <w:color w:val="auto"/>
                <w:lang w:val="en-US" w:eastAsia="zh-CN"/>
              </w:rPr>
              <w:t>4</w:t>
            </w:r>
            <w:r>
              <w:rPr>
                <w:rFonts w:hint="eastAsia" w:ascii="Times New Roman" w:hAnsi="Times New Roman" w:cs="Times New Roman"/>
                <w:color w:val="auto"/>
                <w:lang w:val="en-US" w:eastAsia="zh-CN"/>
              </w:rPr>
              <w:t>-31。</w:t>
            </w:r>
          </w:p>
          <w:p w14:paraId="28FCC0DA">
            <w:pPr>
              <w:pStyle w:val="79"/>
              <w:keepNext w:val="0"/>
              <w:keepLines w:val="0"/>
              <w:suppressLineNumbers w:val="0"/>
              <w:spacing w:beforeAutospacing="0" w:after="0" w:afterAutospacing="0" w:line="240" w:lineRule="auto"/>
              <w:ind w:left="0" w:right="0" w:firstLine="630" w:firstLineChars="300"/>
              <w:jc w:val="both"/>
              <w:rPr>
                <w:rFonts w:hint="eastAsia"/>
                <w:color w:val="auto"/>
              </w:rPr>
            </w:pPr>
            <w:r>
              <w:rPr>
                <w:rFonts w:hint="eastAsia"/>
                <w:color w:val="auto"/>
              </w:rPr>
              <w:t>表</w:t>
            </w:r>
            <w:r>
              <w:rPr>
                <w:rFonts w:hint="eastAsia"/>
                <w:color w:val="auto"/>
                <w:lang w:val="en-US" w:eastAsia="zh-CN"/>
              </w:rPr>
              <w:t>4-31</w:t>
            </w:r>
            <w:r>
              <w:rPr>
                <w:rFonts w:hint="eastAsia"/>
                <w:color w:val="auto"/>
              </w:rPr>
              <w:t xml:space="preserve">    </w:t>
            </w:r>
            <w:r>
              <w:rPr>
                <w:rFonts w:hint="default"/>
                <w:color w:val="auto"/>
              </w:rPr>
              <w:t xml:space="preserve">       </w:t>
            </w:r>
            <w:r>
              <w:rPr>
                <w:rFonts w:hint="eastAsia"/>
                <w:color w:val="auto"/>
              </w:rPr>
              <w:t xml:space="preserve"> 本项目</w:t>
            </w:r>
            <w:r>
              <w:rPr>
                <w:rFonts w:hint="default"/>
                <w:color w:val="auto"/>
              </w:rPr>
              <w:t>危险</w:t>
            </w:r>
            <w:r>
              <w:rPr>
                <w:rFonts w:hint="eastAsia"/>
                <w:color w:val="auto"/>
              </w:rPr>
              <w:t>物质存在</w:t>
            </w:r>
            <w:r>
              <w:rPr>
                <w:rFonts w:hint="default"/>
                <w:color w:val="auto"/>
              </w:rPr>
              <w:t>量与临界量</w:t>
            </w:r>
            <w:r>
              <w:rPr>
                <w:rFonts w:hint="eastAsia"/>
                <w:color w:val="auto"/>
              </w:rPr>
              <w:t>比值</w:t>
            </w:r>
            <w:r>
              <w:rPr>
                <w:rFonts w:hint="default"/>
                <w:color w:val="auto"/>
              </w:rPr>
              <w:t>一览表</w:t>
            </w:r>
          </w:p>
          <w:tbl>
            <w:tblPr>
              <w:tblStyle w:val="22"/>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83"/>
              <w:gridCol w:w="1589"/>
              <w:gridCol w:w="1418"/>
              <w:gridCol w:w="1275"/>
              <w:gridCol w:w="1267"/>
              <w:gridCol w:w="1370"/>
            </w:tblGrid>
            <w:tr w14:paraId="6C25B2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83" w:type="dxa"/>
                  <w:vAlign w:val="center"/>
                </w:tcPr>
                <w:p w14:paraId="3343AF9F">
                  <w:pPr>
                    <w:pStyle w:val="58"/>
                    <w:keepNext w:val="0"/>
                    <w:keepLines w:val="0"/>
                    <w:suppressLineNumbers w:val="0"/>
                    <w:spacing w:before="0" w:beforeAutospacing="0" w:after="0" w:afterAutospacing="0"/>
                    <w:ind w:left="0" w:right="0"/>
                    <w:rPr>
                      <w:rFonts w:hint="default"/>
                      <w:color w:val="auto"/>
                    </w:rPr>
                  </w:pPr>
                  <w:r>
                    <w:rPr>
                      <w:rFonts w:hint="default"/>
                      <w:color w:val="auto"/>
                    </w:rPr>
                    <w:t>物质名称</w:t>
                  </w:r>
                </w:p>
              </w:tc>
              <w:tc>
                <w:tcPr>
                  <w:tcW w:w="1589" w:type="dxa"/>
                  <w:vAlign w:val="center"/>
                </w:tcPr>
                <w:p w14:paraId="7E437495">
                  <w:pPr>
                    <w:pStyle w:val="58"/>
                    <w:keepNext w:val="0"/>
                    <w:keepLines w:val="0"/>
                    <w:suppressLineNumbers w:val="0"/>
                    <w:spacing w:before="0" w:beforeAutospacing="0" w:after="0" w:afterAutospacing="0"/>
                    <w:ind w:left="0" w:right="0"/>
                    <w:rPr>
                      <w:rFonts w:hint="default"/>
                      <w:color w:val="auto"/>
                    </w:rPr>
                  </w:pPr>
                  <w:r>
                    <w:rPr>
                      <w:rFonts w:hint="default"/>
                      <w:color w:val="auto"/>
                    </w:rPr>
                    <w:t>重大危险源</w:t>
                  </w:r>
                </w:p>
                <w:p w14:paraId="1EF81175">
                  <w:pPr>
                    <w:pStyle w:val="58"/>
                    <w:keepNext w:val="0"/>
                    <w:keepLines w:val="0"/>
                    <w:suppressLineNumbers w:val="0"/>
                    <w:spacing w:before="0" w:beforeAutospacing="0" w:after="0" w:afterAutospacing="0"/>
                    <w:ind w:left="0" w:right="0"/>
                    <w:rPr>
                      <w:rFonts w:hint="default"/>
                      <w:color w:val="auto"/>
                    </w:rPr>
                  </w:pPr>
                  <w:r>
                    <w:rPr>
                      <w:rFonts w:hint="default"/>
                      <w:color w:val="auto"/>
                    </w:rPr>
                    <w:t>中分类</w:t>
                  </w:r>
                </w:p>
              </w:tc>
              <w:tc>
                <w:tcPr>
                  <w:tcW w:w="1418" w:type="dxa"/>
                  <w:vAlign w:val="center"/>
                </w:tcPr>
                <w:p w14:paraId="2A1431B6">
                  <w:pPr>
                    <w:pStyle w:val="58"/>
                    <w:keepNext w:val="0"/>
                    <w:keepLines w:val="0"/>
                    <w:suppressLineNumbers w:val="0"/>
                    <w:spacing w:before="0" w:beforeAutospacing="0" w:after="0" w:afterAutospacing="0"/>
                    <w:ind w:left="0" w:right="0" w:firstLine="315" w:firstLineChars="150"/>
                    <w:jc w:val="both"/>
                    <w:rPr>
                      <w:rFonts w:hint="default"/>
                      <w:color w:val="auto"/>
                    </w:rPr>
                  </w:pPr>
                  <w:r>
                    <w:rPr>
                      <w:rFonts w:hint="default"/>
                      <w:color w:val="auto"/>
                    </w:rPr>
                    <w:t>临界量</w:t>
                  </w:r>
                  <w:r>
                    <w:rPr>
                      <w:rFonts w:hint="eastAsia"/>
                      <w:color w:val="auto"/>
                    </w:rPr>
                    <w:t>（</w:t>
                  </w:r>
                  <w:r>
                    <w:rPr>
                      <w:rFonts w:hint="default"/>
                      <w:color w:val="auto"/>
                    </w:rPr>
                    <w:t>Qi</w:t>
                  </w:r>
                  <w:r>
                    <w:rPr>
                      <w:rFonts w:hint="eastAsia"/>
                      <w:color w:val="auto"/>
                    </w:rPr>
                    <w:t>）</w:t>
                  </w:r>
                  <w:r>
                    <w:rPr>
                      <w:rFonts w:hint="default"/>
                      <w:color w:val="auto"/>
                    </w:rPr>
                    <w:t xml:space="preserve"> </w:t>
                  </w:r>
                </w:p>
              </w:tc>
              <w:tc>
                <w:tcPr>
                  <w:tcW w:w="1275" w:type="dxa"/>
                  <w:vAlign w:val="center"/>
                </w:tcPr>
                <w:p w14:paraId="1782E129">
                  <w:pPr>
                    <w:pStyle w:val="58"/>
                    <w:keepNext w:val="0"/>
                    <w:keepLines w:val="0"/>
                    <w:suppressLineNumbers w:val="0"/>
                    <w:spacing w:before="0" w:beforeAutospacing="0" w:after="0" w:afterAutospacing="0"/>
                    <w:ind w:left="0" w:right="0"/>
                    <w:rPr>
                      <w:rFonts w:hint="default"/>
                      <w:color w:val="auto"/>
                    </w:rPr>
                  </w:pPr>
                  <w:r>
                    <w:rPr>
                      <w:rFonts w:hint="default"/>
                      <w:color w:val="auto"/>
                    </w:rPr>
                    <w:t>存</w:t>
                  </w:r>
                  <w:r>
                    <w:rPr>
                      <w:rFonts w:hint="eastAsia"/>
                      <w:color w:val="auto"/>
                    </w:rPr>
                    <w:t>在</w:t>
                  </w:r>
                  <w:r>
                    <w:rPr>
                      <w:rFonts w:hint="default"/>
                      <w:color w:val="auto"/>
                    </w:rPr>
                    <w:t>量</w:t>
                  </w:r>
                  <w:r>
                    <w:rPr>
                      <w:rFonts w:hint="eastAsia"/>
                      <w:color w:val="auto"/>
                    </w:rPr>
                    <w:t>（</w:t>
                  </w:r>
                  <w:r>
                    <w:rPr>
                      <w:rFonts w:hint="default"/>
                      <w:color w:val="auto"/>
                    </w:rPr>
                    <w:t>qi</w:t>
                  </w:r>
                  <w:r>
                    <w:rPr>
                      <w:rFonts w:hint="eastAsia"/>
                      <w:color w:val="auto"/>
                    </w:rPr>
                    <w:t>）</w:t>
                  </w:r>
                </w:p>
              </w:tc>
              <w:tc>
                <w:tcPr>
                  <w:tcW w:w="1267" w:type="dxa"/>
                  <w:vAlign w:val="center"/>
                </w:tcPr>
                <w:p w14:paraId="63DEB8E6">
                  <w:pPr>
                    <w:pStyle w:val="58"/>
                    <w:keepNext w:val="0"/>
                    <w:keepLines w:val="0"/>
                    <w:suppressLineNumbers w:val="0"/>
                    <w:spacing w:before="0" w:beforeAutospacing="0" w:after="0" w:afterAutospacing="0"/>
                    <w:ind w:left="0" w:right="0"/>
                    <w:rPr>
                      <w:rFonts w:hint="default"/>
                      <w:color w:val="auto"/>
                    </w:rPr>
                  </w:pPr>
                  <w:r>
                    <w:rPr>
                      <w:rFonts w:hint="default"/>
                      <w:color w:val="auto"/>
                    </w:rPr>
                    <w:t>qi/Qi</w:t>
                  </w:r>
                </w:p>
              </w:tc>
              <w:tc>
                <w:tcPr>
                  <w:tcW w:w="1370" w:type="dxa"/>
                  <w:vAlign w:val="center"/>
                </w:tcPr>
                <w:p w14:paraId="32DC2801">
                  <w:pPr>
                    <w:pStyle w:val="58"/>
                    <w:keepNext w:val="0"/>
                    <w:keepLines w:val="0"/>
                    <w:suppressLineNumbers w:val="0"/>
                    <w:spacing w:before="0" w:beforeAutospacing="0" w:after="0" w:afterAutospacing="0"/>
                    <w:ind w:left="0" w:right="0"/>
                    <w:rPr>
                      <w:rFonts w:hint="default"/>
                      <w:color w:val="auto"/>
                    </w:rPr>
                  </w:pPr>
                  <w:r>
                    <w:rPr>
                      <w:rFonts w:hint="default"/>
                      <w:color w:val="auto"/>
                    </w:rPr>
                    <w:t>是否构成重</w:t>
                  </w:r>
                </w:p>
                <w:p w14:paraId="1D22902C">
                  <w:pPr>
                    <w:pStyle w:val="58"/>
                    <w:keepNext w:val="0"/>
                    <w:keepLines w:val="0"/>
                    <w:suppressLineNumbers w:val="0"/>
                    <w:spacing w:before="0" w:beforeAutospacing="0" w:after="0" w:afterAutospacing="0"/>
                    <w:ind w:left="0" w:right="0"/>
                    <w:rPr>
                      <w:rFonts w:hint="default"/>
                      <w:color w:val="auto"/>
                    </w:rPr>
                  </w:pPr>
                  <w:r>
                    <w:rPr>
                      <w:rFonts w:hint="default"/>
                      <w:color w:val="auto"/>
                    </w:rPr>
                    <w:t>大危险源</w:t>
                  </w:r>
                </w:p>
              </w:tc>
            </w:tr>
            <w:tr w14:paraId="7B45DE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83" w:type="dxa"/>
                  <w:vAlign w:val="center"/>
                </w:tcPr>
                <w:p w14:paraId="63076476">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柴油</w:t>
                  </w:r>
                </w:p>
              </w:tc>
              <w:tc>
                <w:tcPr>
                  <w:tcW w:w="1589" w:type="dxa"/>
                  <w:vAlign w:val="center"/>
                </w:tcPr>
                <w:p w14:paraId="37D6F6CA">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易燃液体</w:t>
                  </w:r>
                </w:p>
              </w:tc>
              <w:tc>
                <w:tcPr>
                  <w:tcW w:w="1418" w:type="dxa"/>
                  <w:vAlign w:val="center"/>
                </w:tcPr>
                <w:p w14:paraId="46C7E23F">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2</w:t>
                  </w:r>
                  <w:r>
                    <w:rPr>
                      <w:rFonts w:hint="default"/>
                      <w:color w:val="auto"/>
                    </w:rPr>
                    <w:t>5</w:t>
                  </w:r>
                  <w:r>
                    <w:rPr>
                      <w:rFonts w:hint="eastAsia"/>
                      <w:color w:val="auto"/>
                      <w:lang w:val="en-US" w:eastAsia="zh-CN"/>
                    </w:rPr>
                    <w:t>00</w:t>
                  </w:r>
                  <w:r>
                    <w:rPr>
                      <w:rFonts w:hint="default"/>
                      <w:color w:val="auto"/>
                    </w:rPr>
                    <w:t>t</w:t>
                  </w:r>
                </w:p>
              </w:tc>
              <w:tc>
                <w:tcPr>
                  <w:tcW w:w="1275" w:type="dxa"/>
                  <w:vAlign w:val="center"/>
                </w:tcPr>
                <w:p w14:paraId="6FB44C1B">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5</w:t>
                  </w:r>
                  <w:r>
                    <w:rPr>
                      <w:rFonts w:hint="default"/>
                      <w:color w:val="auto"/>
                    </w:rPr>
                    <w:t>t</w:t>
                  </w:r>
                </w:p>
              </w:tc>
              <w:tc>
                <w:tcPr>
                  <w:tcW w:w="1267" w:type="dxa"/>
                  <w:vAlign w:val="center"/>
                </w:tcPr>
                <w:p w14:paraId="4B065369">
                  <w:pPr>
                    <w:pStyle w:val="58"/>
                    <w:keepNext w:val="0"/>
                    <w:keepLines w:val="0"/>
                    <w:suppressLineNumbers w:val="0"/>
                    <w:spacing w:before="0" w:beforeAutospacing="0" w:after="0" w:afterAutospacing="0"/>
                    <w:ind w:left="0" w:right="0"/>
                    <w:rPr>
                      <w:rFonts w:hint="default"/>
                      <w:color w:val="auto"/>
                    </w:rPr>
                  </w:pPr>
                  <w:r>
                    <w:rPr>
                      <w:rFonts w:hint="default"/>
                      <w:color w:val="auto"/>
                    </w:rPr>
                    <w:t>0.</w:t>
                  </w:r>
                  <w:r>
                    <w:rPr>
                      <w:rFonts w:hint="eastAsia"/>
                      <w:color w:val="auto"/>
                      <w:lang w:val="en-US" w:eastAsia="zh-CN"/>
                    </w:rPr>
                    <w:t>05</w:t>
                  </w:r>
                </w:p>
              </w:tc>
              <w:tc>
                <w:tcPr>
                  <w:tcW w:w="1370" w:type="dxa"/>
                  <w:vMerge w:val="restart"/>
                  <w:vAlign w:val="center"/>
                </w:tcPr>
                <w:p w14:paraId="5C5B20C3">
                  <w:pPr>
                    <w:pStyle w:val="58"/>
                    <w:keepNext w:val="0"/>
                    <w:keepLines w:val="0"/>
                    <w:suppressLineNumbers w:val="0"/>
                    <w:spacing w:before="0" w:beforeAutospacing="0" w:after="0" w:afterAutospacing="0"/>
                    <w:ind w:left="0" w:right="0"/>
                    <w:rPr>
                      <w:rFonts w:hint="default"/>
                      <w:color w:val="auto"/>
                    </w:rPr>
                  </w:pPr>
                  <w:r>
                    <w:rPr>
                      <w:rFonts w:hint="default"/>
                      <w:color w:val="auto"/>
                    </w:rPr>
                    <w:t>否</w:t>
                  </w:r>
                </w:p>
              </w:tc>
            </w:tr>
            <w:tr w14:paraId="24A931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72" w:type="dxa"/>
                  <w:gridSpan w:val="2"/>
                  <w:vAlign w:val="center"/>
                </w:tcPr>
                <w:p w14:paraId="125C544B">
                  <w:pPr>
                    <w:pStyle w:val="58"/>
                    <w:keepNext w:val="0"/>
                    <w:keepLines w:val="0"/>
                    <w:suppressLineNumbers w:val="0"/>
                    <w:spacing w:before="0" w:beforeAutospacing="0" w:after="0" w:afterAutospacing="0"/>
                    <w:ind w:left="0" w:right="0"/>
                    <w:rPr>
                      <w:rFonts w:hint="default"/>
                      <w:color w:val="auto"/>
                    </w:rPr>
                  </w:pPr>
                  <w:r>
                    <w:rPr>
                      <w:rFonts w:hint="default"/>
                      <w:color w:val="auto"/>
                    </w:rPr>
                    <w:t>∑（qi/Qi）</w:t>
                  </w:r>
                </w:p>
              </w:tc>
              <w:tc>
                <w:tcPr>
                  <w:tcW w:w="1418" w:type="dxa"/>
                  <w:vAlign w:val="center"/>
                </w:tcPr>
                <w:p w14:paraId="0A74ABFB">
                  <w:pPr>
                    <w:pStyle w:val="58"/>
                    <w:keepNext w:val="0"/>
                    <w:keepLines w:val="0"/>
                    <w:suppressLineNumbers w:val="0"/>
                    <w:spacing w:before="0" w:beforeAutospacing="0" w:after="0" w:afterAutospacing="0"/>
                    <w:ind w:left="0" w:right="0"/>
                    <w:rPr>
                      <w:rFonts w:hint="default"/>
                      <w:color w:val="auto"/>
                    </w:rPr>
                  </w:pPr>
                  <w:r>
                    <w:rPr>
                      <w:rFonts w:hint="default"/>
                      <w:color w:val="auto"/>
                    </w:rPr>
                    <w:t>/</w:t>
                  </w:r>
                </w:p>
              </w:tc>
              <w:tc>
                <w:tcPr>
                  <w:tcW w:w="1275" w:type="dxa"/>
                  <w:vAlign w:val="center"/>
                </w:tcPr>
                <w:p w14:paraId="2FDAF88F">
                  <w:pPr>
                    <w:pStyle w:val="58"/>
                    <w:keepNext w:val="0"/>
                    <w:keepLines w:val="0"/>
                    <w:suppressLineNumbers w:val="0"/>
                    <w:spacing w:before="0" w:beforeAutospacing="0" w:after="0" w:afterAutospacing="0"/>
                    <w:ind w:left="0" w:right="0"/>
                    <w:rPr>
                      <w:rFonts w:hint="default"/>
                      <w:color w:val="auto"/>
                    </w:rPr>
                  </w:pPr>
                  <w:r>
                    <w:rPr>
                      <w:rFonts w:hint="default"/>
                      <w:color w:val="auto"/>
                    </w:rPr>
                    <w:t>/</w:t>
                  </w:r>
                </w:p>
              </w:tc>
              <w:tc>
                <w:tcPr>
                  <w:tcW w:w="1267" w:type="dxa"/>
                  <w:vAlign w:val="center"/>
                </w:tcPr>
                <w:p w14:paraId="1EFB65EA">
                  <w:pPr>
                    <w:pStyle w:val="58"/>
                    <w:keepNext w:val="0"/>
                    <w:keepLines w:val="0"/>
                    <w:suppressLineNumbers w:val="0"/>
                    <w:spacing w:before="0" w:beforeAutospacing="0" w:after="0" w:afterAutospacing="0"/>
                    <w:ind w:left="0" w:right="0"/>
                    <w:rPr>
                      <w:rFonts w:hint="default"/>
                      <w:color w:val="auto"/>
                    </w:rPr>
                  </w:pPr>
                  <w:r>
                    <w:rPr>
                      <w:rFonts w:hint="default"/>
                      <w:color w:val="auto"/>
                    </w:rPr>
                    <w:t>0.</w:t>
                  </w:r>
                  <w:r>
                    <w:rPr>
                      <w:rFonts w:hint="eastAsia"/>
                      <w:color w:val="auto"/>
                      <w:lang w:val="en-US" w:eastAsia="zh-CN"/>
                    </w:rPr>
                    <w:t>05</w:t>
                  </w:r>
                </w:p>
              </w:tc>
              <w:tc>
                <w:tcPr>
                  <w:tcW w:w="1370" w:type="dxa"/>
                  <w:vMerge w:val="continue"/>
                  <w:vAlign w:val="center"/>
                </w:tcPr>
                <w:p w14:paraId="669091AC">
                  <w:pPr>
                    <w:pStyle w:val="58"/>
                    <w:keepNext w:val="0"/>
                    <w:keepLines w:val="0"/>
                    <w:suppressLineNumbers w:val="0"/>
                    <w:spacing w:before="0" w:beforeAutospacing="0" w:after="0" w:afterAutospacing="0"/>
                    <w:ind w:left="0" w:right="0"/>
                    <w:rPr>
                      <w:rFonts w:hint="default"/>
                      <w:color w:val="auto"/>
                    </w:rPr>
                  </w:pPr>
                </w:p>
              </w:tc>
            </w:tr>
          </w:tbl>
          <w:p w14:paraId="59E36838">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本项目柴油未构成重大危险源，其存在量和临界量比值（Q）＜1，则该项目环境风险潜势为I。</w:t>
            </w:r>
          </w:p>
          <w:p w14:paraId="61C98585">
            <w:pPr>
              <w:pStyle w:val="49"/>
              <w:keepNext w:val="0"/>
              <w:keepLines w:val="0"/>
              <w:suppressLineNumbers w:val="0"/>
              <w:spacing w:before="0" w:beforeAutospacing="0" w:after="0" w:afterAutospacing="0" w:line="360" w:lineRule="auto"/>
              <w:ind w:left="0" w:right="0" w:firstLine="480"/>
              <w:rPr>
                <w:rFonts w:hint="default" w:cs="宋体"/>
                <w:color w:val="auto"/>
                <w:lang w:bidi="ar"/>
              </w:rPr>
            </w:pPr>
            <w:r>
              <w:rPr>
                <w:rFonts w:hint="eastAsia" w:cs="宋体"/>
                <w:color w:val="auto"/>
                <w:lang w:bidi="ar"/>
              </w:rPr>
              <w:t>（2）</w:t>
            </w:r>
            <w:r>
              <w:rPr>
                <w:rFonts w:hint="default" w:cs="宋体"/>
                <w:color w:val="auto"/>
                <w:lang w:bidi="ar"/>
              </w:rPr>
              <w:t>环境</w:t>
            </w:r>
            <w:r>
              <w:rPr>
                <w:rFonts w:hint="eastAsia" w:cs="宋体"/>
                <w:color w:val="auto"/>
                <w:lang w:bidi="ar"/>
              </w:rPr>
              <w:t>风险</w:t>
            </w:r>
            <w:r>
              <w:rPr>
                <w:rFonts w:hint="default" w:cs="宋体"/>
                <w:color w:val="auto"/>
                <w:lang w:bidi="ar"/>
              </w:rPr>
              <w:t>评价等级</w:t>
            </w:r>
          </w:p>
          <w:p w14:paraId="15B855E3">
            <w:pPr>
              <w:pStyle w:val="49"/>
              <w:keepNext w:val="0"/>
              <w:keepLines w:val="0"/>
              <w:suppressLineNumbers w:val="0"/>
              <w:spacing w:before="0" w:beforeAutospacing="0" w:after="0" w:afterAutospacing="0" w:line="360" w:lineRule="auto"/>
              <w:ind w:left="0" w:right="0" w:firstLine="480"/>
              <w:rPr>
                <w:rFonts w:hint="default" w:cs="宋体"/>
                <w:color w:val="auto"/>
                <w:lang w:bidi="ar"/>
              </w:rPr>
            </w:pPr>
            <w:r>
              <w:rPr>
                <w:rFonts w:hint="eastAsia" w:cs="宋体"/>
                <w:color w:val="auto"/>
                <w:lang w:bidi="ar"/>
              </w:rPr>
              <w:t>根据《建设项目环境风险评价技术导则》（</w:t>
            </w:r>
            <w:r>
              <w:rPr>
                <w:rFonts w:hint="default" w:cs="宋体"/>
                <w:color w:val="auto"/>
                <w:lang w:bidi="ar"/>
              </w:rPr>
              <w:t>HJ/T169-2018</w:t>
            </w:r>
            <w:r>
              <w:rPr>
                <w:rFonts w:hint="eastAsia" w:cs="宋体"/>
                <w:color w:val="auto"/>
                <w:lang w:bidi="ar"/>
              </w:rPr>
              <w:t>）确定</w:t>
            </w:r>
            <w:r>
              <w:rPr>
                <w:rFonts w:hint="default" w:cs="宋体"/>
                <w:color w:val="auto"/>
                <w:lang w:bidi="ar"/>
              </w:rPr>
              <w:t>本项目评价等级</w:t>
            </w:r>
            <w:r>
              <w:rPr>
                <w:rFonts w:hint="eastAsia" w:cs="宋体"/>
                <w:color w:val="auto"/>
                <w:lang w:bidi="ar"/>
              </w:rPr>
              <w:t>，评价工作等级划分</w:t>
            </w:r>
            <w:r>
              <w:rPr>
                <w:rFonts w:hint="eastAsia" w:cs="宋体"/>
                <w:color w:val="auto"/>
                <w:lang w:eastAsia="zh-CN" w:bidi="ar"/>
              </w:rPr>
              <w:t>见</w:t>
            </w:r>
            <w:r>
              <w:rPr>
                <w:rFonts w:hint="eastAsia" w:cs="宋体"/>
                <w:color w:val="auto"/>
                <w:lang w:bidi="ar"/>
              </w:rPr>
              <w:t>表</w:t>
            </w:r>
            <w:r>
              <w:rPr>
                <w:rFonts w:hint="eastAsia" w:cs="宋体"/>
                <w:color w:val="auto"/>
                <w:lang w:val="en-US" w:eastAsia="zh-CN" w:bidi="ar"/>
              </w:rPr>
              <w:t>4-32</w:t>
            </w:r>
            <w:r>
              <w:rPr>
                <w:rFonts w:hint="eastAsia" w:cs="宋体"/>
                <w:color w:val="auto"/>
                <w:lang w:bidi="ar"/>
              </w:rPr>
              <w:t>。</w:t>
            </w:r>
          </w:p>
          <w:p w14:paraId="4F079E29">
            <w:pPr>
              <w:pStyle w:val="79"/>
              <w:keepNext w:val="0"/>
              <w:keepLines w:val="0"/>
              <w:suppressLineNumbers w:val="0"/>
              <w:spacing w:beforeAutospacing="0" w:after="0" w:afterAutospacing="0" w:line="240" w:lineRule="auto"/>
              <w:ind w:left="0" w:right="0" w:firstLine="840" w:firstLineChars="400"/>
              <w:jc w:val="both"/>
              <w:rPr>
                <w:rFonts w:hint="default"/>
                <w:color w:val="auto"/>
                <w:lang w:bidi="ar"/>
              </w:rPr>
            </w:pPr>
            <w:r>
              <w:rPr>
                <w:rFonts w:hint="eastAsia"/>
                <w:color w:val="auto"/>
                <w:lang w:bidi="ar"/>
              </w:rPr>
              <w:t>表</w:t>
            </w:r>
            <w:r>
              <w:rPr>
                <w:rFonts w:hint="eastAsia"/>
                <w:color w:val="auto"/>
                <w:lang w:val="en-US" w:eastAsia="zh-CN" w:bidi="ar"/>
              </w:rPr>
              <w:t>4-32</w:t>
            </w:r>
            <w:r>
              <w:rPr>
                <w:rFonts w:hint="eastAsia"/>
                <w:color w:val="auto"/>
                <w:lang w:bidi="ar"/>
              </w:rPr>
              <w:t xml:space="preserve">              </w:t>
            </w:r>
            <w:r>
              <w:rPr>
                <w:rFonts w:hint="default"/>
                <w:color w:val="auto"/>
                <w:lang w:bidi="ar"/>
              </w:rPr>
              <w:t xml:space="preserve">     </w:t>
            </w:r>
            <w:r>
              <w:rPr>
                <w:rFonts w:hint="eastAsia"/>
                <w:color w:val="auto"/>
                <w:lang w:bidi="ar"/>
              </w:rPr>
              <w:t xml:space="preserve"> 评价工作等级划分表</w:t>
            </w:r>
          </w:p>
          <w:tbl>
            <w:tblPr>
              <w:tblStyle w:val="22"/>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1813"/>
              <w:gridCol w:w="853"/>
              <w:gridCol w:w="853"/>
              <w:gridCol w:w="2210"/>
            </w:tblGrid>
            <w:tr w14:paraId="073AFB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73" w:type="dxa"/>
                  <w:vAlign w:val="center"/>
                </w:tcPr>
                <w:p w14:paraId="75AC3137">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环境风险潜势</w:t>
                  </w:r>
                </w:p>
              </w:tc>
              <w:tc>
                <w:tcPr>
                  <w:tcW w:w="1813" w:type="dxa"/>
                  <w:vAlign w:val="center"/>
                </w:tcPr>
                <w:p w14:paraId="26276650">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Ⅳ</w:t>
                  </w:r>
                  <w:r>
                    <w:rPr>
                      <w:rFonts w:hint="default"/>
                      <w:color w:val="auto"/>
                      <w:lang w:bidi="en-US"/>
                    </w:rPr>
                    <w:t>、</w:t>
                  </w:r>
                  <w:r>
                    <w:rPr>
                      <w:rFonts w:hint="eastAsia"/>
                      <w:color w:val="auto"/>
                      <w:lang w:bidi="en-US"/>
                    </w:rPr>
                    <w:t>Ⅳ</w:t>
                  </w:r>
                  <w:r>
                    <w:rPr>
                      <w:rFonts w:hint="default"/>
                      <w:color w:val="auto"/>
                      <w:lang w:bidi="en-US"/>
                    </w:rPr>
                    <w:t>+</w:t>
                  </w:r>
                </w:p>
              </w:tc>
              <w:tc>
                <w:tcPr>
                  <w:tcW w:w="853" w:type="dxa"/>
                  <w:vAlign w:val="center"/>
                </w:tcPr>
                <w:p w14:paraId="7AAA5269">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Ⅲ</w:t>
                  </w:r>
                </w:p>
              </w:tc>
              <w:tc>
                <w:tcPr>
                  <w:tcW w:w="853" w:type="dxa"/>
                  <w:vAlign w:val="center"/>
                </w:tcPr>
                <w:p w14:paraId="6909B584">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Ⅱ</w:t>
                  </w:r>
                </w:p>
              </w:tc>
              <w:tc>
                <w:tcPr>
                  <w:tcW w:w="2210" w:type="dxa"/>
                  <w:vAlign w:val="center"/>
                </w:tcPr>
                <w:p w14:paraId="2D912864">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Ⅰ</w:t>
                  </w:r>
                </w:p>
              </w:tc>
            </w:tr>
            <w:tr w14:paraId="48735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73" w:type="dxa"/>
                  <w:vAlign w:val="center"/>
                </w:tcPr>
                <w:p w14:paraId="1D52B0F0">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评价工作等级</w:t>
                  </w:r>
                </w:p>
              </w:tc>
              <w:tc>
                <w:tcPr>
                  <w:tcW w:w="1813" w:type="dxa"/>
                  <w:vAlign w:val="center"/>
                </w:tcPr>
                <w:p w14:paraId="6161109F">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一</w:t>
                  </w:r>
                </w:p>
              </w:tc>
              <w:tc>
                <w:tcPr>
                  <w:tcW w:w="853" w:type="dxa"/>
                  <w:vAlign w:val="center"/>
                </w:tcPr>
                <w:p w14:paraId="648F7198">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二</w:t>
                  </w:r>
                </w:p>
              </w:tc>
              <w:tc>
                <w:tcPr>
                  <w:tcW w:w="853" w:type="dxa"/>
                  <w:vAlign w:val="center"/>
                </w:tcPr>
                <w:p w14:paraId="5FE92753">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三</w:t>
                  </w:r>
                </w:p>
              </w:tc>
              <w:tc>
                <w:tcPr>
                  <w:tcW w:w="2210" w:type="dxa"/>
                  <w:vAlign w:val="center"/>
                </w:tcPr>
                <w:p w14:paraId="33CAFC00">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简单分析 a</w:t>
                  </w:r>
                </w:p>
              </w:tc>
            </w:tr>
            <w:tr w14:paraId="08CC2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02" w:type="dxa"/>
                  <w:gridSpan w:val="5"/>
                  <w:vAlign w:val="center"/>
                </w:tcPr>
                <w:p w14:paraId="3931F1E7">
                  <w:pPr>
                    <w:pStyle w:val="58"/>
                    <w:keepNext w:val="0"/>
                    <w:keepLines w:val="0"/>
                    <w:suppressLineNumbers w:val="0"/>
                    <w:spacing w:before="0" w:beforeAutospacing="0" w:after="0" w:afterAutospacing="0"/>
                    <w:ind w:left="0" w:right="0"/>
                    <w:jc w:val="left"/>
                    <w:rPr>
                      <w:rFonts w:hint="default"/>
                      <w:color w:val="auto"/>
                      <w:lang w:bidi="en-US"/>
                    </w:rPr>
                  </w:pPr>
                  <w:r>
                    <w:rPr>
                      <w:rFonts w:hint="default"/>
                      <w:color w:val="auto"/>
                      <w:lang w:bidi="en-US"/>
                    </w:rPr>
                    <w:t>a 是相对于详细评价工作内容而言，在描述危险物质、环境影响途径、环境危害后果、风险防范措施等方面给出定性的说明。</w:t>
                  </w:r>
                </w:p>
              </w:tc>
            </w:tr>
          </w:tbl>
          <w:p w14:paraId="73870EEF">
            <w:pPr>
              <w:pStyle w:val="49"/>
              <w:keepNext w:val="0"/>
              <w:keepLines w:val="0"/>
              <w:suppressLineNumbers w:val="0"/>
              <w:spacing w:before="0" w:beforeAutospacing="0" w:after="0" w:afterAutospacing="0" w:line="360" w:lineRule="auto"/>
              <w:ind w:left="0" w:right="0" w:firstLine="480"/>
              <w:rPr>
                <w:rFonts w:hint="eastAsia" w:cs="宋体"/>
                <w:color w:val="auto"/>
                <w:lang w:eastAsia="zh-CN" w:bidi="ar"/>
              </w:rPr>
            </w:pPr>
            <w:r>
              <w:rPr>
                <w:rFonts w:hint="eastAsia" w:cs="宋体"/>
                <w:color w:val="auto"/>
                <w:lang w:bidi="ar"/>
              </w:rPr>
              <w:t>根据</w:t>
            </w:r>
            <w:r>
              <w:rPr>
                <w:rFonts w:hint="default" w:cs="宋体"/>
                <w:color w:val="auto"/>
                <w:lang w:bidi="ar"/>
              </w:rPr>
              <w:t>《建设项目环境风险评价技术导则》（HJ/T169-20</w:t>
            </w:r>
            <w:r>
              <w:rPr>
                <w:rFonts w:hint="eastAsia" w:cs="宋体"/>
                <w:color w:val="auto"/>
                <w:lang w:bidi="ar"/>
              </w:rPr>
              <w:t>18</w:t>
            </w:r>
            <w:r>
              <w:rPr>
                <w:rFonts w:hint="default" w:cs="宋体"/>
                <w:color w:val="auto"/>
                <w:lang w:bidi="ar"/>
              </w:rPr>
              <w:t>）</w:t>
            </w:r>
            <w:r>
              <w:rPr>
                <w:rFonts w:hint="eastAsia" w:cs="宋体"/>
                <w:color w:val="auto"/>
                <w:lang w:bidi="ar"/>
              </w:rPr>
              <w:t>中判定原则，</w:t>
            </w:r>
            <w:r>
              <w:rPr>
                <w:rFonts w:hint="default" w:cs="宋体"/>
                <w:color w:val="auto"/>
                <w:lang w:bidi="ar"/>
              </w:rPr>
              <w:t>本项目</w:t>
            </w:r>
            <w:r>
              <w:rPr>
                <w:rFonts w:hint="eastAsia" w:cs="宋体"/>
                <w:color w:val="auto"/>
                <w:lang w:bidi="ar"/>
              </w:rPr>
              <w:t>环境风险潜势为Ⅰ，故进行</w:t>
            </w:r>
            <w:r>
              <w:rPr>
                <w:rFonts w:hint="default" w:cs="宋体"/>
                <w:color w:val="auto"/>
                <w:lang w:bidi="ar"/>
              </w:rPr>
              <w:t>简单分析</w:t>
            </w:r>
            <w:r>
              <w:rPr>
                <w:rFonts w:hint="eastAsia" w:cs="宋体"/>
                <w:color w:val="auto"/>
                <w:lang w:eastAsia="zh-CN" w:bidi="ar"/>
              </w:rPr>
              <w:t>。</w:t>
            </w:r>
          </w:p>
          <w:p w14:paraId="2683779F">
            <w:pPr>
              <w:pStyle w:val="49"/>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3、</w:t>
            </w:r>
            <w:r>
              <w:rPr>
                <w:rFonts w:hint="default" w:ascii="Times New Roman" w:hAnsi="Times New Roman" w:eastAsia="宋体" w:cs="Times New Roman"/>
                <w:color w:val="auto"/>
                <w:sz w:val="24"/>
                <w:szCs w:val="24"/>
                <w:lang w:eastAsia="zh-CN" w:bidi="ar"/>
              </w:rPr>
              <w:t>环境风险</w:t>
            </w:r>
            <w:r>
              <w:rPr>
                <w:rFonts w:hint="default" w:ascii="Times New Roman" w:hAnsi="Times New Roman" w:eastAsia="宋体" w:cs="Times New Roman"/>
                <w:color w:val="auto"/>
                <w:sz w:val="24"/>
                <w:szCs w:val="24"/>
                <w:lang w:bidi="ar"/>
              </w:rPr>
              <w:t>分析</w:t>
            </w:r>
          </w:p>
          <w:p w14:paraId="6AEADC80">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（1）大气污染分析</w:t>
            </w:r>
          </w:p>
          <w:p w14:paraId="0F0278F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eastAsia="zh-CN" w:bidi="ar"/>
              </w:rPr>
              <w:t>项目危险物质主要风险情形为火灾。</w:t>
            </w:r>
            <w:r>
              <w:rPr>
                <w:rFonts w:hint="default" w:ascii="Times New Roman" w:hAnsi="Times New Roman" w:eastAsia="宋体" w:cs="Times New Roman"/>
                <w:color w:val="auto"/>
                <w:sz w:val="24"/>
                <w:szCs w:val="24"/>
                <w:lang w:bidi="ar"/>
              </w:rPr>
              <w:t>发生火灾时，火场的温度很高，辐射热强烈，且火灾蔓延速度快。如抢救不及时，累积它装罝着火并伴随容器爆炸，物品沸溢、喷溅、流散，极易造成大面积火灾。火灾、爆炸事故对环境的危害主要足热辐射、冲击波和抛射物造成的后果。此外，火灾燃烧过程产生的烟雾及有害气体可造成较大范围环境污染。</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泄漏则可能造成厂区内以及周边有</w:t>
            </w:r>
            <w:r>
              <w:rPr>
                <w:rFonts w:hint="default" w:ascii="Times New Roman" w:hAnsi="Times New Roman" w:eastAsia="宋体" w:cs="Times New Roman"/>
                <w:color w:val="auto"/>
                <w:sz w:val="24"/>
                <w:szCs w:val="24"/>
                <w:lang w:eastAsia="zh-CN" w:bidi="ar"/>
              </w:rPr>
              <w:t>刺鼻气味</w:t>
            </w:r>
            <w:r>
              <w:rPr>
                <w:rFonts w:hint="default" w:ascii="Times New Roman" w:hAnsi="Times New Roman" w:eastAsia="宋体" w:cs="Times New Roman"/>
                <w:color w:val="auto"/>
                <w:sz w:val="24"/>
                <w:szCs w:val="24"/>
                <w:lang w:bidi="ar"/>
              </w:rPr>
              <w:t>。</w:t>
            </w:r>
          </w:p>
          <w:p w14:paraId="21ECB2E7">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（2）水污染分析</w:t>
            </w:r>
          </w:p>
          <w:p w14:paraId="7BAFA29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bidi="ar"/>
              </w:rPr>
              <w:t>项目风险事故状态下对水环境造成的影响主要为</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泄漏</w:t>
            </w:r>
            <w:r>
              <w:rPr>
                <w:rFonts w:hint="default" w:ascii="Times New Roman" w:hAnsi="Times New Roman" w:eastAsia="宋体" w:cs="Times New Roman"/>
                <w:color w:val="auto"/>
                <w:sz w:val="24"/>
                <w:szCs w:val="24"/>
                <w:lang w:eastAsia="zh-CN" w:bidi="ar"/>
              </w:rPr>
              <w:t>造成周边地下水环境污染。</w:t>
            </w:r>
          </w:p>
          <w:p w14:paraId="5D58704E">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4、环境风险防范措施及应急要求</w:t>
            </w:r>
          </w:p>
          <w:p w14:paraId="33202FAD">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eastAsia="zh-CN" w:bidi="ar"/>
              </w:rPr>
              <w:t>风险防范措施</w:t>
            </w:r>
          </w:p>
          <w:p w14:paraId="3FB1270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①全厂消防设计本着“预防为主，防消结合”的原则，立足于火灾自救。对主要设备和重要建筑物均采取防消结合措施。要按照有关要求，设置消火栓、灭火器。</w:t>
            </w:r>
          </w:p>
          <w:p w14:paraId="48222C8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②防火间距：在总平面布置中，各建筑物构筑物之间的距离应满足有关设计技术规范和建筑设计防火规范的要求。</w:t>
            </w:r>
          </w:p>
          <w:p w14:paraId="2C111872">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③设备的安全管理：定期对设备进行安全检测，检测内容、时间、人员应有记录保存、安全检测应根据设备的安全性、危险性设定检测频次。</w:t>
            </w:r>
          </w:p>
          <w:p w14:paraId="26AECD71">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④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14:paraId="5F869072">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⑤生产车间管理：区域内严格管控明火的使用，要提出安全措施，保厂部履行必要的审批手续。生产车间内电气设备不得任意安装更改，严禁使用临时电线电灯。</w:t>
            </w:r>
          </w:p>
          <w:p w14:paraId="470BF2FF">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⑥厂区</w:t>
            </w:r>
            <w:r>
              <w:rPr>
                <w:rFonts w:hint="default" w:ascii="Times New Roman" w:hAnsi="Times New Roman" w:eastAsia="宋体" w:cs="Times New Roman"/>
                <w:color w:val="auto"/>
                <w:sz w:val="24"/>
                <w:szCs w:val="24"/>
                <w:lang w:eastAsia="zh-CN" w:bidi="ar"/>
              </w:rPr>
              <w:t>炭化车间</w:t>
            </w:r>
            <w:r>
              <w:rPr>
                <w:rFonts w:hint="default" w:ascii="Times New Roman" w:hAnsi="Times New Roman" w:eastAsia="宋体" w:cs="Times New Roman"/>
                <w:color w:val="auto"/>
                <w:sz w:val="24"/>
                <w:szCs w:val="24"/>
                <w:lang w:bidi="ar"/>
              </w:rPr>
              <w:t>设置</w:t>
            </w:r>
            <w:r>
              <w:rPr>
                <w:rFonts w:hint="default" w:ascii="Times New Roman" w:hAnsi="Times New Roman" w:eastAsia="宋体" w:cs="Times New Roman"/>
                <w:color w:val="auto"/>
                <w:sz w:val="24"/>
                <w:szCs w:val="24"/>
                <w:lang w:eastAsia="zh-CN" w:bidi="ar"/>
              </w:rPr>
              <w:t>可燃气体</w:t>
            </w:r>
            <w:r>
              <w:rPr>
                <w:rFonts w:hint="default" w:ascii="Times New Roman" w:hAnsi="Times New Roman" w:eastAsia="宋体" w:cs="Times New Roman"/>
                <w:color w:val="auto"/>
                <w:sz w:val="24"/>
                <w:szCs w:val="24"/>
                <w:lang w:bidi="ar"/>
              </w:rPr>
              <w:t>泄漏报警器。</w:t>
            </w:r>
          </w:p>
          <w:p w14:paraId="7AC06FE9">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⑦</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设置专门</w:t>
            </w:r>
            <w:r>
              <w:rPr>
                <w:rFonts w:hint="eastAsia" w:cs="Times New Roman"/>
                <w:color w:val="auto"/>
                <w:sz w:val="24"/>
                <w:szCs w:val="24"/>
                <w:lang w:eastAsia="zh-CN" w:bidi="ar"/>
              </w:rPr>
              <w:t>车位</w:t>
            </w:r>
            <w:r>
              <w:rPr>
                <w:rFonts w:hint="default" w:ascii="Times New Roman" w:hAnsi="Times New Roman" w:eastAsia="宋体" w:cs="Times New Roman"/>
                <w:color w:val="auto"/>
                <w:sz w:val="24"/>
                <w:szCs w:val="24"/>
                <w:lang w:bidi="ar"/>
              </w:rPr>
              <w:t>，</w:t>
            </w:r>
            <w:r>
              <w:rPr>
                <w:rFonts w:hint="eastAsia" w:cs="Times New Roman"/>
                <w:color w:val="auto"/>
                <w:sz w:val="24"/>
                <w:szCs w:val="24"/>
                <w:lang w:eastAsia="zh-CN" w:bidi="ar"/>
              </w:rPr>
              <w:t>车位下</w:t>
            </w:r>
            <w:r>
              <w:rPr>
                <w:rFonts w:hint="default" w:ascii="Times New Roman" w:hAnsi="Times New Roman" w:eastAsia="宋体" w:cs="Times New Roman"/>
                <w:color w:val="auto"/>
                <w:sz w:val="24"/>
                <w:szCs w:val="24"/>
                <w:lang w:bidi="ar"/>
              </w:rPr>
              <w:t>设防腐蚀衬层，</w:t>
            </w:r>
            <w:r>
              <w:rPr>
                <w:rFonts w:hint="eastAsia" w:cs="Times New Roman"/>
                <w:color w:val="auto"/>
                <w:sz w:val="24"/>
                <w:szCs w:val="24"/>
                <w:lang w:eastAsia="zh-CN" w:bidi="ar"/>
              </w:rPr>
              <w:t>柴油使用过程中</w:t>
            </w:r>
            <w:r>
              <w:rPr>
                <w:rFonts w:hint="default" w:ascii="Times New Roman" w:hAnsi="Times New Roman" w:eastAsia="宋体" w:cs="Times New Roman"/>
                <w:color w:val="auto"/>
                <w:sz w:val="24"/>
                <w:szCs w:val="24"/>
                <w:lang w:bidi="ar"/>
              </w:rPr>
              <w:t>定期检查，发现跑冒滴漏及时处理。</w:t>
            </w:r>
          </w:p>
          <w:p w14:paraId="06E196F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（2）</w:t>
            </w:r>
            <w:r>
              <w:rPr>
                <w:rFonts w:hint="default" w:ascii="Times New Roman" w:hAnsi="Times New Roman" w:eastAsia="宋体" w:cs="Times New Roman"/>
                <w:color w:val="auto"/>
                <w:sz w:val="24"/>
                <w:szCs w:val="24"/>
                <w:lang w:eastAsia="zh-CN" w:bidi="ar"/>
              </w:rPr>
              <w:t>应急措施</w:t>
            </w:r>
          </w:p>
          <w:p w14:paraId="68635B7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①突发环境事件应急预案</w:t>
            </w:r>
          </w:p>
          <w:p w14:paraId="3C0CFA00">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14:paraId="616A670B">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②环境风险应急体系</w:t>
            </w:r>
          </w:p>
          <w:p w14:paraId="04B28DF0">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本项目应急系统应与周边企业、</w:t>
            </w:r>
            <w:r>
              <w:rPr>
                <w:rFonts w:hint="default" w:ascii="Times New Roman" w:hAnsi="Times New Roman" w:eastAsia="宋体" w:cs="Times New Roman"/>
                <w:color w:val="auto"/>
                <w:sz w:val="24"/>
                <w:szCs w:val="24"/>
                <w:lang w:eastAsia="zh-CN" w:bidi="ar"/>
              </w:rPr>
              <w:t>园区</w:t>
            </w:r>
            <w:r>
              <w:rPr>
                <w:rFonts w:hint="default" w:ascii="Times New Roman" w:hAnsi="Times New Roman" w:eastAsia="宋体" w:cs="Times New Roman"/>
                <w:color w:val="auto"/>
                <w:sz w:val="24"/>
                <w:szCs w:val="24"/>
                <w:lang w:bidi="ar"/>
              </w:rPr>
              <w:t>、</w:t>
            </w:r>
            <w:r>
              <w:rPr>
                <w:rFonts w:hint="default" w:ascii="Times New Roman" w:hAnsi="Times New Roman" w:eastAsia="宋体" w:cs="Times New Roman"/>
                <w:color w:val="auto"/>
                <w:sz w:val="24"/>
                <w:szCs w:val="24"/>
                <w:lang w:eastAsia="zh-CN" w:bidi="ar"/>
              </w:rPr>
              <w:t>玛纳斯县</w:t>
            </w:r>
            <w:r>
              <w:rPr>
                <w:rFonts w:hint="default" w:ascii="Times New Roman" w:hAnsi="Times New Roman" w:eastAsia="宋体" w:cs="Times New Roman"/>
                <w:color w:val="auto"/>
                <w:sz w:val="24"/>
                <w:szCs w:val="24"/>
                <w:lang w:bidi="ar"/>
              </w:rPr>
              <w:t>等区域环境风险应急系统对接联动，实现区域联防联控。项目厂区配备足够的消防、防毒防护设施及应急监测等应急设施和物资。配备应急队伍，能够立即响应，立即汇报，立即事故处置等。</w:t>
            </w:r>
          </w:p>
          <w:p w14:paraId="71D423EA">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5、结论</w:t>
            </w:r>
          </w:p>
          <w:p w14:paraId="56264773">
            <w:pPr>
              <w:keepNext w:val="0"/>
              <w:keepLines w:val="0"/>
              <w:suppressLineNumbers w:val="0"/>
              <w:spacing w:before="0" w:beforeAutospacing="0" w:after="0" w:afterAutospacing="0" w:line="360" w:lineRule="auto"/>
              <w:ind w:left="0" w:right="0" w:firstLine="480"/>
              <w:rPr>
                <w:rFonts w:hint="eastAsia" w:eastAsia="黑体"/>
                <w:color w:val="auto"/>
                <w:sz w:val="21"/>
              </w:rPr>
            </w:pPr>
            <w:r>
              <w:rPr>
                <w:rFonts w:hint="default" w:ascii="Times New Roman" w:hAnsi="Times New Roman" w:eastAsia="宋体" w:cs="Times New Roman"/>
                <w:color w:val="auto"/>
                <w:sz w:val="24"/>
                <w:szCs w:val="24"/>
                <w:lang w:bidi="ar"/>
              </w:rPr>
              <w:t>综上所述，本项目存在易燃</w:t>
            </w:r>
            <w:r>
              <w:rPr>
                <w:rFonts w:hint="default" w:ascii="Times New Roman" w:hAnsi="Times New Roman" w:eastAsia="宋体" w:cs="Times New Roman"/>
                <w:color w:val="auto"/>
                <w:sz w:val="24"/>
                <w:szCs w:val="24"/>
                <w:lang w:eastAsia="zh-CN" w:bidi="ar"/>
              </w:rPr>
              <w:t>液体和</w:t>
            </w:r>
            <w:r>
              <w:rPr>
                <w:rFonts w:hint="default" w:ascii="Times New Roman" w:hAnsi="Times New Roman" w:eastAsia="宋体" w:cs="Times New Roman"/>
                <w:color w:val="auto"/>
                <w:sz w:val="24"/>
                <w:szCs w:val="24"/>
                <w:lang w:bidi="ar"/>
              </w:rPr>
              <w:t>气体，发生火灾、爆炸时，主要危害区域为生产车间，对厂界外影响不大。本项目采取的环境风险防范措施有效，可行。因此在落实相应的安全防范措施、事故应急措施的同时，并制定有针对性的、操作性强的突发环境事件应急预案的前提下，本项目环境风险属于可接受水平。本项目环境风险简单分析内容</w:t>
            </w:r>
            <w:r>
              <w:rPr>
                <w:rFonts w:hint="default" w:ascii="Times New Roman" w:hAnsi="Times New Roman" w:eastAsia="宋体" w:cs="Times New Roman"/>
                <w:color w:val="auto"/>
                <w:sz w:val="24"/>
                <w:szCs w:val="24"/>
                <w:lang w:eastAsia="zh-CN" w:bidi="ar"/>
              </w:rPr>
              <w:t>见表</w:t>
            </w:r>
            <w:r>
              <w:rPr>
                <w:rFonts w:hint="eastAsia" w:ascii="Times New Roman" w:hAnsi="Times New Roman" w:eastAsia="宋体" w:cs="Times New Roman"/>
                <w:color w:val="auto"/>
                <w:sz w:val="24"/>
                <w:szCs w:val="24"/>
                <w:lang w:val="en-US" w:eastAsia="zh-CN" w:bidi="ar"/>
              </w:rPr>
              <w:t>4-3</w:t>
            </w:r>
            <w:r>
              <w:rPr>
                <w:rFonts w:hint="eastAsia" w:cs="Times New Roman"/>
                <w:color w:val="auto"/>
                <w:sz w:val="24"/>
                <w:szCs w:val="24"/>
                <w:lang w:val="en-US" w:eastAsia="zh-CN" w:bidi="ar"/>
              </w:rPr>
              <w:t>3</w:t>
            </w:r>
            <w:r>
              <w:rPr>
                <w:rFonts w:hint="default" w:ascii="Times New Roman" w:hAnsi="Times New Roman" w:eastAsia="宋体" w:cs="Times New Roman"/>
                <w:color w:val="auto"/>
                <w:sz w:val="24"/>
                <w:szCs w:val="24"/>
                <w:lang w:bidi="ar"/>
              </w:rPr>
              <w:t>。</w:t>
            </w:r>
          </w:p>
          <w:p w14:paraId="33AA468A">
            <w:pPr>
              <w:pStyle w:val="83"/>
              <w:spacing w:line="240" w:lineRule="auto"/>
              <w:ind w:firstLine="420"/>
              <w:rPr>
                <w:rFonts w:eastAsia="黑体"/>
                <w:color w:val="auto"/>
                <w:sz w:val="21"/>
              </w:rPr>
            </w:pPr>
            <w:r>
              <w:rPr>
                <w:rFonts w:hint="eastAsia" w:eastAsia="黑体"/>
                <w:color w:val="auto"/>
                <w:sz w:val="21"/>
              </w:rPr>
              <w:t>表4-</w:t>
            </w:r>
            <w:r>
              <w:rPr>
                <w:rFonts w:hint="eastAsia" w:eastAsia="黑体"/>
                <w:color w:val="auto"/>
                <w:sz w:val="21"/>
                <w:lang w:val="en-US" w:eastAsia="zh-CN"/>
              </w:rPr>
              <w:t>33</w:t>
            </w:r>
            <w:r>
              <w:rPr>
                <w:rFonts w:eastAsia="黑体"/>
                <w:color w:val="auto"/>
                <w:sz w:val="21"/>
              </w:rPr>
              <w:t xml:space="preserve">                 </w:t>
            </w:r>
            <w:r>
              <w:rPr>
                <w:rFonts w:hint="eastAsia" w:eastAsia="黑体"/>
                <w:color w:val="auto"/>
                <w:sz w:val="21"/>
              </w:rPr>
              <w:t>建设项目环境风险简单分析内容表</w:t>
            </w:r>
          </w:p>
          <w:tbl>
            <w:tblPr>
              <w:tblStyle w:val="22"/>
              <w:tblW w:w="8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07"/>
              <w:gridCol w:w="1514"/>
              <w:gridCol w:w="172"/>
              <w:gridCol w:w="744"/>
              <w:gridCol w:w="1377"/>
              <w:gridCol w:w="1677"/>
            </w:tblGrid>
            <w:tr w14:paraId="65DADC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353091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建设项目名称</w:t>
                  </w:r>
                </w:p>
              </w:tc>
              <w:tc>
                <w:tcPr>
                  <w:tcW w:w="6891" w:type="dxa"/>
                  <w:gridSpan w:val="6"/>
                  <w:vAlign w:val="center"/>
                </w:tcPr>
                <w:p w14:paraId="2C9B0CB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玛纳斯恒吉农林资源化利用科技有限公司农林固废资源化利用工程</w:t>
                  </w:r>
                </w:p>
              </w:tc>
            </w:tr>
            <w:tr w14:paraId="53785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52AD02C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建设地点</w:t>
                  </w:r>
                </w:p>
              </w:tc>
              <w:tc>
                <w:tcPr>
                  <w:tcW w:w="1407" w:type="dxa"/>
                  <w:vAlign w:val="center"/>
                </w:tcPr>
                <w:p w14:paraId="1EE7536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新疆维吾尔自治区</w:t>
                  </w:r>
                </w:p>
              </w:tc>
              <w:tc>
                <w:tcPr>
                  <w:tcW w:w="1514" w:type="dxa"/>
                  <w:vAlign w:val="center"/>
                </w:tcPr>
                <w:p w14:paraId="313B5C6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昌吉回族自治州</w:t>
                  </w:r>
                </w:p>
              </w:tc>
              <w:tc>
                <w:tcPr>
                  <w:tcW w:w="916" w:type="dxa"/>
                  <w:gridSpan w:val="2"/>
                  <w:vAlign w:val="center"/>
                </w:tcPr>
                <w:p w14:paraId="1AAE20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w:t>
                  </w:r>
                </w:p>
              </w:tc>
              <w:tc>
                <w:tcPr>
                  <w:tcW w:w="1377" w:type="dxa"/>
                  <w:vAlign w:val="center"/>
                </w:tcPr>
                <w:p w14:paraId="0D4B55D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eastAsia="zh-CN"/>
                    </w:rPr>
                    <w:t>玛纳斯</w:t>
                  </w:r>
                  <w:r>
                    <w:rPr>
                      <w:rFonts w:hint="default" w:ascii="Times New Roman" w:hAnsi="Times New Roman" w:cs="Times New Roman"/>
                      <w:color w:val="auto"/>
                      <w:sz w:val="21"/>
                      <w:szCs w:val="21"/>
                    </w:rPr>
                    <w:t>）县</w:t>
                  </w:r>
                </w:p>
              </w:tc>
              <w:tc>
                <w:tcPr>
                  <w:tcW w:w="1677" w:type="dxa"/>
                  <w:vAlign w:val="center"/>
                </w:tcPr>
                <w:p w14:paraId="6C78156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塔河工业园区</w:t>
                  </w:r>
                </w:p>
              </w:tc>
            </w:tr>
            <w:tr w14:paraId="330FE6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5AB8557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1407" w:type="dxa"/>
                  <w:vAlign w:val="center"/>
                </w:tcPr>
                <w:p w14:paraId="695E359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经度</w:t>
                  </w:r>
                </w:p>
              </w:tc>
              <w:tc>
                <w:tcPr>
                  <w:tcW w:w="1686" w:type="dxa"/>
                  <w:gridSpan w:val="2"/>
                  <w:vAlign w:val="center"/>
                </w:tcPr>
                <w:p w14:paraId="7F7D76A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Cs/>
                      <w:color w:val="auto"/>
                      <w:sz w:val="21"/>
                      <w:szCs w:val="21"/>
                      <w:highlight w:val="none"/>
                      <w:lang w:eastAsia="zh-CN"/>
                    </w:rPr>
                    <w:t>8</w:t>
                  </w:r>
                  <w:r>
                    <w:rPr>
                      <w:rFonts w:hint="eastAsia"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25</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46.328</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E</w:t>
                  </w:r>
                </w:p>
              </w:tc>
              <w:tc>
                <w:tcPr>
                  <w:tcW w:w="744" w:type="dxa"/>
                  <w:vAlign w:val="center"/>
                </w:tcPr>
                <w:p w14:paraId="1186BF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纬度</w:t>
                  </w:r>
                </w:p>
              </w:tc>
              <w:tc>
                <w:tcPr>
                  <w:tcW w:w="3054" w:type="dxa"/>
                  <w:gridSpan w:val="2"/>
                  <w:vAlign w:val="center"/>
                </w:tcPr>
                <w:p w14:paraId="3F9002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Cs/>
                      <w:color w:val="auto"/>
                      <w:sz w:val="21"/>
                      <w:szCs w:val="21"/>
                      <w:highlight w:val="none"/>
                      <w:lang w:eastAsia="zh-CN"/>
                    </w:rPr>
                    <w:t>44°1</w:t>
                  </w:r>
                  <w:r>
                    <w:rPr>
                      <w:rFonts w:hint="eastAsia" w:cs="Times New Roman"/>
                      <w:bCs/>
                      <w:color w:val="auto"/>
                      <w:sz w:val="21"/>
                      <w:szCs w:val="21"/>
                      <w:highlight w:val="none"/>
                      <w:lang w:val="en-US" w:eastAsia="zh-CN"/>
                    </w:rPr>
                    <w:t>7</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36.637</w:t>
                  </w:r>
                  <w:r>
                    <w:rPr>
                      <w:rFonts w:hint="default" w:ascii="Times New Roman" w:hAnsi="Times New Roman" w:cs="Times New Roman"/>
                      <w:bCs/>
                      <w:color w:val="auto"/>
                      <w:sz w:val="21"/>
                      <w:szCs w:val="21"/>
                      <w:highlight w:val="none"/>
                      <w:lang w:eastAsia="zh-CN"/>
                    </w:rPr>
                    <w:t>"</w:t>
                  </w:r>
                  <w:r>
                    <w:rPr>
                      <w:rFonts w:hint="eastAsia"/>
                      <w:bCs/>
                      <w:color w:val="auto"/>
                      <w:sz w:val="21"/>
                      <w:szCs w:val="21"/>
                      <w:lang w:val="en-US" w:eastAsia="zh-CN"/>
                    </w:rPr>
                    <w:t>N</w:t>
                  </w:r>
                </w:p>
              </w:tc>
            </w:tr>
            <w:tr w14:paraId="20968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3AD3DA2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主要危险物质及分布</w:t>
                  </w:r>
                </w:p>
              </w:tc>
              <w:tc>
                <w:tcPr>
                  <w:tcW w:w="6891" w:type="dxa"/>
                  <w:gridSpan w:val="6"/>
                  <w:vAlign w:val="center"/>
                </w:tcPr>
                <w:p w14:paraId="70914BD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本项目主要危险化学品为生物质气，主要分布在</w:t>
                  </w:r>
                  <w:r>
                    <w:rPr>
                      <w:rFonts w:hint="eastAsia" w:ascii="Times New Roman" w:hAnsi="Times New Roman" w:cs="Times New Roman"/>
                      <w:color w:val="auto"/>
                      <w:sz w:val="21"/>
                      <w:szCs w:val="21"/>
                      <w:lang w:eastAsia="zh-CN"/>
                    </w:rPr>
                    <w:t>炭化炉</w:t>
                  </w:r>
                  <w:r>
                    <w:rPr>
                      <w:rFonts w:hint="default" w:ascii="Times New Roman" w:hAnsi="Times New Roman" w:cs="Times New Roman"/>
                      <w:color w:val="auto"/>
                      <w:sz w:val="21"/>
                      <w:szCs w:val="21"/>
                    </w:rPr>
                    <w:t>输气管道中。</w:t>
                  </w:r>
                </w:p>
                <w:p w14:paraId="75E43412">
                  <w:pPr>
                    <w:pStyle w:val="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柴油</w:t>
                  </w:r>
                  <w:r>
                    <w:rPr>
                      <w:rFonts w:hint="default" w:ascii="Times New Roman" w:hAnsi="Times New Roman" w:cs="Times New Roman"/>
                      <w:color w:val="auto"/>
                      <w:sz w:val="21"/>
                      <w:szCs w:val="21"/>
                    </w:rPr>
                    <w:t>，主要储存在</w:t>
                  </w:r>
                  <w:r>
                    <w:rPr>
                      <w:rFonts w:hint="eastAsia" w:ascii="Times New Roman" w:hAnsi="Times New Roman" w:cs="Times New Roman"/>
                      <w:color w:val="auto"/>
                      <w:sz w:val="21"/>
                      <w:szCs w:val="21"/>
                      <w:lang w:eastAsia="zh-CN"/>
                    </w:rPr>
                    <w:t>厂区储</w:t>
                  </w:r>
                  <w:r>
                    <w:rPr>
                      <w:rFonts w:hint="default" w:ascii="Times New Roman" w:hAnsi="Times New Roman" w:cs="Times New Roman"/>
                      <w:color w:val="auto"/>
                      <w:sz w:val="21"/>
                      <w:szCs w:val="21"/>
                    </w:rPr>
                    <w:t>罐内。</w:t>
                  </w:r>
                </w:p>
              </w:tc>
            </w:tr>
            <w:tr w14:paraId="19781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20E7D37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环境影响途径及后果</w:t>
                  </w:r>
                </w:p>
              </w:tc>
              <w:tc>
                <w:tcPr>
                  <w:tcW w:w="6891" w:type="dxa"/>
                  <w:gridSpan w:val="6"/>
                  <w:vAlign w:val="center"/>
                </w:tcPr>
                <w:p w14:paraId="15CE5B3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（1）大气环境影响途径及后果：当发生火灾爆炸事故时，会造成大量废气，对环境空气及人群健康造成较大的影响。</w:t>
                  </w:r>
                </w:p>
                <w:p w14:paraId="653FD5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（2）水环境影响途径及后果：</w:t>
                  </w:r>
                  <w:r>
                    <w:rPr>
                      <w:rFonts w:hint="eastAsia" w:ascii="Times New Roman" w:hAnsi="Times New Roman" w:cs="Times New Roman"/>
                      <w:color w:val="auto"/>
                      <w:sz w:val="21"/>
                      <w:szCs w:val="21"/>
                      <w:lang w:eastAsia="zh-CN"/>
                    </w:rPr>
                    <w:t>柴</w:t>
                  </w:r>
                  <w:r>
                    <w:rPr>
                      <w:rFonts w:hint="default" w:ascii="Times New Roman" w:hAnsi="Times New Roman" w:cs="Times New Roman"/>
                      <w:color w:val="auto"/>
                      <w:sz w:val="21"/>
                      <w:szCs w:val="21"/>
                    </w:rPr>
                    <w:t>油泄露漫流造成</w:t>
                  </w:r>
                  <w:r>
                    <w:rPr>
                      <w:rFonts w:hint="eastAsia" w:ascii="Times New Roman" w:hAnsi="Times New Roman" w:cs="Times New Roman"/>
                      <w:color w:val="auto"/>
                      <w:sz w:val="21"/>
                      <w:szCs w:val="21"/>
                      <w:lang w:eastAsia="zh-CN"/>
                    </w:rPr>
                    <w:t>地下水</w:t>
                  </w:r>
                  <w:r>
                    <w:rPr>
                      <w:rFonts w:hint="default" w:ascii="Times New Roman" w:hAnsi="Times New Roman" w:cs="Times New Roman"/>
                      <w:color w:val="auto"/>
                      <w:sz w:val="21"/>
                      <w:szCs w:val="21"/>
                    </w:rPr>
                    <w:t>污染。</w:t>
                  </w:r>
                </w:p>
              </w:tc>
            </w:tr>
            <w:tr w14:paraId="15B938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1" w:type="dxa"/>
                  <w:vAlign w:val="center"/>
                </w:tcPr>
                <w:p w14:paraId="3316C5D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风险防范措施要求</w:t>
                  </w:r>
                </w:p>
              </w:tc>
              <w:tc>
                <w:tcPr>
                  <w:tcW w:w="6891" w:type="dxa"/>
                  <w:gridSpan w:val="6"/>
                  <w:vAlign w:val="center"/>
                </w:tcPr>
                <w:p w14:paraId="3DC80F7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w:t>
                  </w:r>
                  <w:r>
                    <w:rPr>
                      <w:rFonts w:hint="eastAsia" w:ascii="Times New Roman" w:hAnsi="Times New Roman" w:cs="Times New Roman"/>
                      <w:color w:val="auto"/>
                      <w:sz w:val="21"/>
                      <w:szCs w:val="21"/>
                      <w:lang w:eastAsia="zh-CN"/>
                    </w:rPr>
                    <w:t>气体</w:t>
                  </w:r>
                  <w:r>
                    <w:rPr>
                      <w:rFonts w:hint="default" w:ascii="Times New Roman" w:hAnsi="Times New Roman" w:cs="Times New Roman"/>
                      <w:color w:val="auto"/>
                      <w:sz w:val="21"/>
                      <w:szCs w:val="21"/>
                    </w:rPr>
                    <w:t>泄漏报警装置。</w:t>
                  </w:r>
                  <w:r>
                    <w:rPr>
                      <w:rFonts w:hint="eastAsia" w:ascii="Times New Roman" w:hAnsi="Times New Roman" w:cs="Times New Roman"/>
                      <w:color w:val="auto"/>
                      <w:sz w:val="21"/>
                      <w:szCs w:val="21"/>
                      <w:lang w:eastAsia="zh-CN"/>
                    </w:rPr>
                    <w:t>柴油</w:t>
                  </w:r>
                  <w:r>
                    <w:rPr>
                      <w:rFonts w:hint="default" w:ascii="Times New Roman" w:hAnsi="Times New Roman" w:cs="Times New Roman"/>
                      <w:color w:val="auto"/>
                      <w:sz w:val="21"/>
                      <w:szCs w:val="21"/>
                    </w:rPr>
                    <w:t>设置专门储罐，内设防腐蚀衬层，定期检查，发现跑冒滴漏及时处理。编制突发环境事件风险应急预案。</w:t>
                  </w:r>
                </w:p>
              </w:tc>
            </w:tr>
          </w:tbl>
          <w:p w14:paraId="4670AD52">
            <w:pPr>
              <w:adjustRightInd w:val="0"/>
              <w:snapToGrid w:val="0"/>
              <w:spacing w:line="480" w:lineRule="exact"/>
              <w:ind w:firstLine="482" w:firstLineChars="200"/>
              <w:rPr>
                <w:b/>
                <w:bCs w:val="0"/>
                <w:color w:val="auto"/>
                <w:kern w:val="0"/>
                <w:sz w:val="24"/>
              </w:rPr>
            </w:pPr>
            <w:r>
              <w:rPr>
                <w:rFonts w:hint="eastAsia"/>
                <w:b/>
                <w:bCs w:val="0"/>
                <w:color w:val="auto"/>
                <w:kern w:val="0"/>
                <w:sz w:val="24"/>
                <w:lang w:eastAsia="zh-CN"/>
              </w:rPr>
              <w:t>六</w:t>
            </w:r>
            <w:r>
              <w:rPr>
                <w:b/>
                <w:bCs w:val="0"/>
                <w:color w:val="auto"/>
                <w:kern w:val="0"/>
                <w:sz w:val="24"/>
              </w:rPr>
              <w:t>、环境管理与监控计划</w:t>
            </w:r>
          </w:p>
          <w:p w14:paraId="29D97252">
            <w:pPr>
              <w:adjustRightInd w:val="0"/>
              <w:snapToGrid w:val="0"/>
              <w:spacing w:line="480" w:lineRule="exact"/>
              <w:ind w:firstLine="480" w:firstLineChars="200"/>
              <w:rPr>
                <w:bCs/>
                <w:color w:val="auto"/>
                <w:sz w:val="24"/>
              </w:rPr>
            </w:pPr>
            <w:r>
              <w:rPr>
                <w:bCs/>
                <w:color w:val="auto"/>
                <w:sz w:val="24"/>
              </w:rPr>
              <w:t>（1）环境管理</w:t>
            </w:r>
          </w:p>
          <w:p w14:paraId="615DEA70">
            <w:pPr>
              <w:adjustRightInd w:val="0"/>
              <w:snapToGrid w:val="0"/>
              <w:spacing w:line="480" w:lineRule="exact"/>
              <w:ind w:firstLine="480" w:firstLineChars="200"/>
              <w:rPr>
                <w:bCs/>
                <w:color w:val="auto"/>
                <w:sz w:val="24"/>
              </w:rPr>
            </w:pPr>
            <w:r>
              <w:rPr>
                <w:bCs/>
                <w:color w:val="auto"/>
                <w:sz w:val="24"/>
              </w:rPr>
              <w:t>根据《中华人民共和国环境保护法》和中华人民共和国国务院令第253号《建设项目环境保护管理条例》，建设单位必须把环境保护工作纳入工作计划，建立环境保护责任制度，采取有效措施，防止环境破坏。</w:t>
            </w:r>
          </w:p>
          <w:p w14:paraId="0F1C6CB0">
            <w:pPr>
              <w:adjustRightInd w:val="0"/>
              <w:snapToGrid w:val="0"/>
              <w:spacing w:line="480" w:lineRule="exact"/>
              <w:ind w:firstLine="480" w:firstLineChars="200"/>
              <w:rPr>
                <w:bCs/>
                <w:color w:val="auto"/>
                <w:sz w:val="24"/>
              </w:rPr>
            </w:pPr>
            <w:r>
              <w:rPr>
                <w:bCs/>
                <w:color w:val="auto"/>
                <w:sz w:val="24"/>
              </w:rPr>
              <w:t>环境管理是以环境科学理论为基础，运用经济、法律、技术、行政、教育等手段对经济、社会发展过程中施加给环境的污染和破坏影响进行调节控制，实现经济、社会和环境效益的和谐统一。</w:t>
            </w:r>
          </w:p>
          <w:p w14:paraId="5E7A7389">
            <w:pPr>
              <w:adjustRightInd w:val="0"/>
              <w:snapToGrid w:val="0"/>
              <w:spacing w:line="480" w:lineRule="exact"/>
              <w:ind w:firstLine="480" w:firstLineChars="200"/>
              <w:rPr>
                <w:bCs/>
                <w:color w:val="auto"/>
                <w:sz w:val="24"/>
              </w:rPr>
            </w:pPr>
            <w:r>
              <w:rPr>
                <w:bCs/>
                <w:color w:val="auto"/>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28424335">
            <w:pPr>
              <w:adjustRightInd w:val="0"/>
              <w:snapToGrid w:val="0"/>
              <w:spacing w:line="480" w:lineRule="exact"/>
              <w:ind w:firstLine="480" w:firstLineChars="200"/>
              <w:rPr>
                <w:bCs/>
                <w:color w:val="auto"/>
                <w:sz w:val="24"/>
              </w:rPr>
            </w:pPr>
            <w:r>
              <w:rPr>
                <w:bCs/>
                <w:color w:val="auto"/>
                <w:sz w:val="24"/>
              </w:rPr>
              <w:t>1）环境管理基本任务</w:t>
            </w:r>
          </w:p>
          <w:p w14:paraId="2B54CDD7">
            <w:pPr>
              <w:adjustRightInd w:val="0"/>
              <w:snapToGrid w:val="0"/>
              <w:spacing w:line="480" w:lineRule="exact"/>
              <w:ind w:firstLine="480" w:firstLineChars="200"/>
              <w:rPr>
                <w:bCs/>
                <w:color w:val="auto"/>
                <w:sz w:val="24"/>
              </w:rPr>
            </w:pPr>
            <w:r>
              <w:rPr>
                <w:bCs/>
                <w:color w:val="auto"/>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62A06C69">
            <w:pPr>
              <w:adjustRightInd w:val="0"/>
              <w:snapToGrid w:val="0"/>
              <w:spacing w:line="480" w:lineRule="exact"/>
              <w:ind w:firstLine="480" w:firstLineChars="200"/>
              <w:rPr>
                <w:bCs/>
                <w:color w:val="auto"/>
                <w:sz w:val="24"/>
              </w:rPr>
            </w:pPr>
            <w:r>
              <w:rPr>
                <w:bCs/>
                <w:color w:val="auto"/>
                <w:sz w:val="24"/>
              </w:rPr>
              <w:t>2）环境管理机构设置</w:t>
            </w:r>
          </w:p>
          <w:p w14:paraId="107D2560">
            <w:pPr>
              <w:adjustRightInd w:val="0"/>
              <w:snapToGrid w:val="0"/>
              <w:spacing w:line="480" w:lineRule="exact"/>
              <w:ind w:firstLine="480" w:firstLineChars="200"/>
              <w:rPr>
                <w:bCs/>
                <w:color w:val="auto"/>
                <w:sz w:val="24"/>
              </w:rPr>
            </w:pPr>
            <w:r>
              <w:rPr>
                <w:bCs/>
                <w:color w:val="auto"/>
                <w:sz w:val="24"/>
              </w:rPr>
              <w:t>本项目环境管理纳入</w:t>
            </w:r>
            <w:r>
              <w:rPr>
                <w:rFonts w:hint="eastAsia"/>
                <w:bCs/>
                <w:color w:val="auto"/>
                <w:sz w:val="24"/>
              </w:rPr>
              <w:t>玛纳斯恒吉农林资源化利用科技有限公司</w:t>
            </w:r>
            <w:r>
              <w:rPr>
                <w:bCs/>
                <w:color w:val="auto"/>
                <w:sz w:val="24"/>
              </w:rPr>
              <w:t>环境管理计划，将本项目的环境管理与全公司环境管理统一，主要职责如下：</w:t>
            </w:r>
          </w:p>
          <w:p w14:paraId="76FE5D23">
            <w:pPr>
              <w:adjustRightInd w:val="0"/>
              <w:snapToGrid w:val="0"/>
              <w:spacing w:line="480" w:lineRule="exact"/>
              <w:ind w:firstLine="480" w:firstLineChars="200"/>
              <w:rPr>
                <w:bCs/>
                <w:color w:val="auto"/>
                <w:sz w:val="24"/>
              </w:rPr>
            </w:pPr>
            <w:r>
              <w:rPr>
                <w:bCs/>
                <w:color w:val="auto"/>
                <w:sz w:val="24"/>
              </w:rPr>
              <w:t>①建立健全环境保护工作规章制度，明确环保责任制及其奖惩办法；</w:t>
            </w:r>
          </w:p>
          <w:p w14:paraId="6F957FBB">
            <w:pPr>
              <w:adjustRightInd w:val="0"/>
              <w:snapToGrid w:val="0"/>
              <w:spacing w:line="480" w:lineRule="exact"/>
              <w:ind w:firstLine="480" w:firstLineChars="200"/>
              <w:rPr>
                <w:bCs/>
                <w:color w:val="auto"/>
                <w:sz w:val="24"/>
              </w:rPr>
            </w:pPr>
            <w:r>
              <w:rPr>
                <w:bCs/>
                <w:color w:val="auto"/>
                <w:sz w:val="24"/>
              </w:rPr>
              <w:t>②确定本项目的环境目标管理，对各岗位进行监督与考核；</w:t>
            </w:r>
          </w:p>
          <w:p w14:paraId="75665AC9">
            <w:pPr>
              <w:adjustRightInd w:val="0"/>
              <w:snapToGrid w:val="0"/>
              <w:spacing w:line="480" w:lineRule="exact"/>
              <w:ind w:firstLine="480" w:firstLineChars="200"/>
              <w:rPr>
                <w:bCs/>
                <w:color w:val="auto"/>
                <w:sz w:val="24"/>
              </w:rPr>
            </w:pPr>
            <w:r>
              <w:rPr>
                <w:bCs/>
                <w:color w:val="auto"/>
                <w:sz w:val="24"/>
              </w:rPr>
              <w:t>③建立环保档案，包括环评报告、环保工程验收报告</w:t>
            </w:r>
            <w:r>
              <w:rPr>
                <w:rFonts w:hint="eastAsia"/>
                <w:bCs/>
                <w:color w:val="auto"/>
                <w:sz w:val="24"/>
                <w:lang w:eastAsia="zh-CN"/>
              </w:rPr>
              <w:t>及</w:t>
            </w:r>
            <w:r>
              <w:rPr>
                <w:bCs/>
                <w:color w:val="auto"/>
                <w:sz w:val="24"/>
              </w:rPr>
              <w:t>其它环境统计资料；</w:t>
            </w:r>
          </w:p>
          <w:p w14:paraId="62F66B98">
            <w:pPr>
              <w:adjustRightInd w:val="0"/>
              <w:snapToGrid w:val="0"/>
              <w:spacing w:line="480" w:lineRule="exact"/>
              <w:ind w:firstLine="480" w:firstLineChars="200"/>
              <w:rPr>
                <w:bCs/>
                <w:color w:val="auto"/>
                <w:sz w:val="24"/>
              </w:rPr>
            </w:pPr>
            <w:r>
              <w:rPr>
                <w:bCs/>
                <w:color w:val="auto"/>
                <w:sz w:val="24"/>
              </w:rPr>
              <w:t>④收集与管理有关污染物排放标准、环保法规、环保技术资料；</w:t>
            </w:r>
          </w:p>
          <w:p w14:paraId="1D15BB1C">
            <w:pPr>
              <w:adjustRightInd w:val="0"/>
              <w:snapToGrid w:val="0"/>
              <w:spacing w:line="480" w:lineRule="exact"/>
              <w:ind w:firstLine="480" w:firstLineChars="200"/>
              <w:rPr>
                <w:bCs/>
                <w:color w:val="auto"/>
                <w:sz w:val="24"/>
              </w:rPr>
            </w:pPr>
            <w:r>
              <w:rPr>
                <w:bCs/>
                <w:color w:val="auto"/>
                <w:sz w:val="24"/>
              </w:rPr>
              <w:t>3）环境管理措施</w:t>
            </w:r>
          </w:p>
          <w:p w14:paraId="64E7C35B">
            <w:pPr>
              <w:adjustRightInd w:val="0"/>
              <w:snapToGrid w:val="0"/>
              <w:spacing w:line="480" w:lineRule="exact"/>
              <w:ind w:firstLine="480" w:firstLineChars="200"/>
              <w:rPr>
                <w:bCs/>
                <w:color w:val="auto"/>
                <w:sz w:val="24"/>
              </w:rPr>
            </w:pPr>
            <w:r>
              <w:rPr>
                <w:bCs/>
                <w:color w:val="auto"/>
                <w:sz w:val="24"/>
              </w:rPr>
              <w:t>为使环境管理工作科学化、规范化、合理化，确保各项环保措施落实到位，在管理方面采取以下措施：</w:t>
            </w:r>
          </w:p>
          <w:p w14:paraId="2E3BCDFE">
            <w:pPr>
              <w:adjustRightInd w:val="0"/>
              <w:snapToGrid w:val="0"/>
              <w:spacing w:line="480" w:lineRule="exact"/>
              <w:ind w:firstLine="480" w:firstLineChars="200"/>
              <w:rPr>
                <w:bCs/>
                <w:color w:val="auto"/>
                <w:sz w:val="24"/>
              </w:rPr>
            </w:pPr>
            <w:r>
              <w:rPr>
                <w:bCs/>
                <w:color w:val="auto"/>
                <w:sz w:val="24"/>
              </w:rPr>
              <w:t>①建立IS014000 环境管理体系，并建议同时进行QHSE（质量、健康、安全、环保）审核。</w:t>
            </w:r>
          </w:p>
          <w:p w14:paraId="4B7B8CD7">
            <w:pPr>
              <w:adjustRightInd w:val="0"/>
              <w:snapToGrid w:val="0"/>
              <w:spacing w:line="480" w:lineRule="exact"/>
              <w:ind w:firstLine="480" w:firstLineChars="200"/>
              <w:rPr>
                <w:bCs/>
                <w:color w:val="auto"/>
                <w:sz w:val="24"/>
              </w:rPr>
            </w:pPr>
            <w:r>
              <w:rPr>
                <w:bCs/>
                <w:color w:val="auto"/>
                <w:sz w:val="24"/>
              </w:rPr>
              <w:t>②强化对环保设施运行监督管理职能，建立完善的环保设施运行、维护、维修等技术档案，加强对环保设施操作人员技术培训，确保环保设施处于正常的运行情况，污染物排放连续达标。</w:t>
            </w:r>
          </w:p>
          <w:p w14:paraId="38048D99">
            <w:pPr>
              <w:adjustRightInd w:val="0"/>
              <w:snapToGrid w:val="0"/>
              <w:spacing w:line="480" w:lineRule="exact"/>
              <w:ind w:firstLine="480" w:firstLineChars="200"/>
              <w:rPr>
                <w:bCs/>
                <w:color w:val="auto"/>
                <w:sz w:val="24"/>
              </w:rPr>
            </w:pPr>
            <w:r>
              <w:rPr>
                <w:bCs/>
                <w:color w:val="auto"/>
                <w:sz w:val="24"/>
              </w:rPr>
              <w:t>③加强环境监测数据统计工作，建立完善的污染源及物料流失档案，对废水产生量、排放量等做好统计，保证全部进去污水处理站处置，做好每天巡检工作。</w:t>
            </w:r>
          </w:p>
          <w:p w14:paraId="2A1A46DC">
            <w:pPr>
              <w:adjustRightInd w:val="0"/>
              <w:snapToGrid w:val="0"/>
              <w:spacing w:line="480" w:lineRule="exact"/>
              <w:ind w:firstLine="480" w:firstLineChars="200"/>
              <w:rPr>
                <w:bCs/>
                <w:color w:val="auto"/>
                <w:sz w:val="24"/>
              </w:rPr>
            </w:pPr>
            <w:r>
              <w:rPr>
                <w:bCs/>
                <w:color w:val="auto"/>
                <w:sz w:val="24"/>
              </w:rPr>
              <w:t>④制订环境保护岗位目标责任制，将环境管理纳入生产管理体系，将环境评估与经济效益评估相结合，建立严格奖惩机制。</w:t>
            </w:r>
          </w:p>
          <w:p w14:paraId="7BF5067C">
            <w:pPr>
              <w:adjustRightInd w:val="0"/>
              <w:snapToGrid w:val="0"/>
              <w:spacing w:line="480" w:lineRule="exact"/>
              <w:ind w:firstLine="480" w:firstLineChars="200"/>
              <w:rPr>
                <w:bCs/>
                <w:color w:val="auto"/>
                <w:sz w:val="24"/>
              </w:rPr>
            </w:pPr>
            <w:r>
              <w:rPr>
                <w:bCs/>
                <w:color w:val="auto"/>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5921B03A">
            <w:pPr>
              <w:adjustRightInd w:val="0"/>
              <w:snapToGrid w:val="0"/>
              <w:spacing w:line="480" w:lineRule="exact"/>
              <w:ind w:firstLine="480" w:firstLineChars="200"/>
              <w:rPr>
                <w:bCs/>
                <w:color w:val="auto"/>
                <w:sz w:val="24"/>
              </w:rPr>
            </w:pPr>
            <w:r>
              <w:rPr>
                <w:bCs/>
                <w:color w:val="auto"/>
                <w:sz w:val="24"/>
              </w:rPr>
              <w:t>（2）企业环境信息公开</w:t>
            </w:r>
          </w:p>
          <w:p w14:paraId="1D1BF7CC">
            <w:pPr>
              <w:adjustRightInd w:val="0"/>
              <w:snapToGrid w:val="0"/>
              <w:spacing w:line="480" w:lineRule="exact"/>
              <w:ind w:firstLine="480" w:firstLineChars="200"/>
              <w:rPr>
                <w:bCs/>
                <w:color w:val="auto"/>
                <w:sz w:val="24"/>
              </w:rPr>
            </w:pPr>
            <w:r>
              <w:rPr>
                <w:bCs/>
                <w:color w:val="auto"/>
                <w:sz w:val="24"/>
              </w:rPr>
              <w:t>根据《企业事业单位环境信息公开办法》（环境保护部第31号）相关规定，企业事业单位应当建立健全本单位环境信息公开制度，制定机构负责本单位环境信息公开日常工作。根据企业特点，</w:t>
            </w:r>
            <w:r>
              <w:rPr>
                <w:rFonts w:hint="eastAsia"/>
                <w:bCs/>
                <w:color w:val="auto"/>
                <w:sz w:val="24"/>
                <w:lang w:eastAsia="zh-CN"/>
              </w:rPr>
              <w:t>在</w:t>
            </w:r>
            <w:r>
              <w:rPr>
                <w:bCs/>
                <w:color w:val="auto"/>
                <w:sz w:val="24"/>
              </w:rPr>
              <w:t>网站或本单位的资料索取点、信息公开栏、信息亭、电子屏幕或其他便于公众及时、准确获得信息的场所和方式公开下列信息：</w:t>
            </w:r>
          </w:p>
          <w:p w14:paraId="4F379D3C">
            <w:pPr>
              <w:adjustRightInd w:val="0"/>
              <w:snapToGrid w:val="0"/>
              <w:spacing w:line="480" w:lineRule="exact"/>
              <w:ind w:firstLine="480" w:firstLineChars="200"/>
              <w:rPr>
                <w:bCs/>
                <w:color w:val="auto"/>
                <w:sz w:val="24"/>
              </w:rPr>
            </w:pPr>
            <w:r>
              <w:rPr>
                <w:bCs/>
                <w:color w:val="auto"/>
                <w:sz w:val="24"/>
              </w:rPr>
              <w:t>①项目基础信息：包括单位名称、组织机构代码、法定代表人、生产地址、联系方式，以及生产经营和管理服务的主要内容、产品及规模。</w:t>
            </w:r>
          </w:p>
          <w:p w14:paraId="42004AF8">
            <w:pPr>
              <w:adjustRightInd w:val="0"/>
              <w:snapToGrid w:val="0"/>
              <w:spacing w:line="480" w:lineRule="exact"/>
              <w:ind w:firstLine="480" w:firstLineChars="200"/>
              <w:rPr>
                <w:bCs/>
                <w:color w:val="auto"/>
                <w:sz w:val="24"/>
              </w:rPr>
            </w:pPr>
            <w:r>
              <w:rPr>
                <w:bCs/>
                <w:color w:val="auto"/>
                <w:sz w:val="24"/>
              </w:rPr>
              <w:t>②排污信息：包括主要污染物及特征污染物的名称、排放方式、排放口数量和分布情况、排放浓度和总量、超标情况，及执行的污染物排放标准、核定的排放总量。</w:t>
            </w:r>
          </w:p>
          <w:p w14:paraId="3E54C66F">
            <w:pPr>
              <w:adjustRightInd w:val="0"/>
              <w:snapToGrid w:val="0"/>
              <w:spacing w:line="480" w:lineRule="exact"/>
              <w:ind w:firstLine="480" w:firstLineChars="200"/>
              <w:rPr>
                <w:bCs/>
                <w:color w:val="auto"/>
                <w:sz w:val="24"/>
              </w:rPr>
            </w:pPr>
            <w:r>
              <w:rPr>
                <w:bCs/>
                <w:color w:val="auto"/>
                <w:sz w:val="24"/>
              </w:rPr>
              <w:t>③防治污染设施的建设和运行情况。</w:t>
            </w:r>
          </w:p>
          <w:p w14:paraId="3ACEFAC2">
            <w:pPr>
              <w:adjustRightInd w:val="0"/>
              <w:snapToGrid w:val="0"/>
              <w:spacing w:line="480" w:lineRule="exact"/>
              <w:ind w:firstLine="480" w:firstLineChars="200"/>
              <w:rPr>
                <w:bCs/>
                <w:color w:val="auto"/>
                <w:sz w:val="24"/>
              </w:rPr>
            </w:pPr>
            <w:r>
              <w:rPr>
                <w:bCs/>
                <w:color w:val="auto"/>
                <w:sz w:val="24"/>
              </w:rPr>
              <w:t>④建设项目环境影响评价及其他环境保护行政许可情况。</w:t>
            </w:r>
          </w:p>
          <w:p w14:paraId="134B3EB5">
            <w:pPr>
              <w:adjustRightInd w:val="0"/>
              <w:snapToGrid w:val="0"/>
              <w:spacing w:line="480" w:lineRule="exact"/>
              <w:ind w:firstLine="480" w:firstLineChars="200"/>
              <w:rPr>
                <w:bCs/>
                <w:color w:val="auto"/>
                <w:sz w:val="24"/>
              </w:rPr>
            </w:pPr>
            <w:r>
              <w:rPr>
                <w:bCs/>
                <w:color w:val="auto"/>
                <w:sz w:val="24"/>
              </w:rPr>
              <w:t>⑤突发环境事件应急预案。</w:t>
            </w:r>
          </w:p>
          <w:p w14:paraId="7C68C653">
            <w:pPr>
              <w:adjustRightInd w:val="0"/>
              <w:snapToGrid w:val="0"/>
              <w:spacing w:line="480" w:lineRule="exact"/>
              <w:ind w:firstLine="480" w:firstLineChars="200"/>
              <w:rPr>
                <w:bCs/>
                <w:color w:val="auto"/>
                <w:sz w:val="24"/>
              </w:rPr>
            </w:pPr>
            <w:r>
              <w:rPr>
                <w:bCs/>
                <w:color w:val="auto"/>
                <w:sz w:val="24"/>
              </w:rPr>
              <w:t>⑥其他应当公开的环境信息。</w:t>
            </w:r>
          </w:p>
          <w:p w14:paraId="2A055952">
            <w:pPr>
              <w:adjustRightInd w:val="0"/>
              <w:snapToGrid w:val="0"/>
              <w:spacing w:line="480" w:lineRule="exact"/>
              <w:ind w:firstLine="480" w:firstLineChars="200"/>
              <w:rPr>
                <w:bCs/>
                <w:color w:val="auto"/>
                <w:sz w:val="24"/>
              </w:rPr>
            </w:pPr>
            <w:r>
              <w:rPr>
                <w:bCs/>
                <w:color w:val="auto"/>
                <w:sz w:val="24"/>
              </w:rPr>
              <w:t>如若公司的环境信息发生变更或有新生成时，应在环境信息生成或者变更之日起三十日内予以公开。环境保护主管部门应当宣传和引导公众监督企业事业单位环境信息公开工作。</w:t>
            </w:r>
          </w:p>
          <w:p w14:paraId="1DA77CBC">
            <w:pPr>
              <w:adjustRightInd w:val="0"/>
              <w:snapToGrid w:val="0"/>
              <w:spacing w:line="480" w:lineRule="exact"/>
              <w:ind w:firstLine="480" w:firstLineChars="200"/>
              <w:rPr>
                <w:bCs/>
                <w:color w:val="auto"/>
                <w:sz w:val="24"/>
              </w:rPr>
            </w:pPr>
            <w:r>
              <w:rPr>
                <w:bCs/>
                <w:color w:val="auto"/>
                <w:sz w:val="24"/>
              </w:rPr>
              <w:t>（3）环境监测计划</w:t>
            </w:r>
          </w:p>
          <w:p w14:paraId="5FD1C3DD">
            <w:pPr>
              <w:adjustRightInd w:val="0"/>
              <w:snapToGrid w:val="0"/>
              <w:spacing w:line="480" w:lineRule="exact"/>
              <w:ind w:firstLine="480" w:firstLineChars="200"/>
              <w:rPr>
                <w:rFonts w:hint="eastAsia"/>
                <w:bCs/>
                <w:color w:val="auto"/>
                <w:sz w:val="24"/>
                <w:lang w:val="en-US" w:eastAsia="zh-CN"/>
              </w:rPr>
            </w:pPr>
            <w:r>
              <w:rPr>
                <w:rFonts w:hint="eastAsia"/>
                <w:bCs/>
                <w:color w:val="auto"/>
                <w:sz w:val="24"/>
              </w:rPr>
              <w:t>环境监测是为了控制项目实施后的污染源及环境质量状况，防止污染事故发生，为环境管理提供依据。本次评价结合《排污许可证申请与核发技术规范 总则》（HJ942-2018）中相关内容结合项目实际制定以下监测计划，详见表</w:t>
            </w:r>
            <w:r>
              <w:rPr>
                <w:rFonts w:hint="eastAsia"/>
                <w:bCs/>
                <w:color w:val="auto"/>
                <w:sz w:val="24"/>
                <w:lang w:val="en-US" w:eastAsia="zh-CN"/>
              </w:rPr>
              <w:t>4-34。</w:t>
            </w:r>
          </w:p>
          <w:p w14:paraId="2FD86276">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s="宋体"/>
                <w:color w:val="auto"/>
                <w:sz w:val="21"/>
                <w:szCs w:val="21"/>
              </w:rPr>
            </w:pPr>
            <w:r>
              <w:rPr>
                <w:rFonts w:hint="eastAsia" w:eastAsia="黑体" w:cs="宋体"/>
                <w:color w:val="auto"/>
                <w:sz w:val="21"/>
                <w:szCs w:val="21"/>
              </w:rPr>
              <w:t>表</w:t>
            </w:r>
            <w:r>
              <w:rPr>
                <w:rFonts w:hint="eastAsia" w:eastAsia="黑体" w:cs="宋体"/>
                <w:color w:val="auto"/>
                <w:sz w:val="21"/>
                <w:szCs w:val="21"/>
                <w:lang w:val="en-US" w:eastAsia="zh-CN"/>
              </w:rPr>
              <w:t>4-34</w:t>
            </w:r>
            <w:r>
              <w:rPr>
                <w:rFonts w:hint="eastAsia" w:eastAsia="黑体" w:cs="宋体"/>
                <w:color w:val="auto"/>
                <w:sz w:val="21"/>
                <w:szCs w:val="21"/>
              </w:rPr>
              <w:t xml:space="preserve">                        </w:t>
            </w:r>
            <w:r>
              <w:rPr>
                <w:rFonts w:hint="eastAsia" w:eastAsia="黑体" w:cs="宋体"/>
                <w:color w:val="auto"/>
                <w:sz w:val="21"/>
                <w:szCs w:val="21"/>
                <w:lang w:val="en-US" w:eastAsia="zh-CN"/>
              </w:rPr>
              <w:t xml:space="preserve">  </w:t>
            </w:r>
            <w:r>
              <w:rPr>
                <w:rFonts w:hint="eastAsia" w:eastAsia="黑体" w:cs="宋体"/>
                <w:color w:val="auto"/>
                <w:sz w:val="21"/>
                <w:szCs w:val="21"/>
              </w:rPr>
              <w:t>监测计划</w:t>
            </w:r>
          </w:p>
          <w:tbl>
            <w:tblPr>
              <w:tblStyle w:val="22"/>
              <w:tblW w:w="831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2"/>
              <w:gridCol w:w="985"/>
              <w:gridCol w:w="1"/>
              <w:gridCol w:w="1259"/>
              <w:gridCol w:w="964"/>
              <w:gridCol w:w="1585"/>
              <w:gridCol w:w="1031"/>
              <w:gridCol w:w="2074"/>
              <w:gridCol w:w="1"/>
            </w:tblGrid>
            <w:tr w14:paraId="2A2981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9" w:hRule="atLeast"/>
                <w:jc w:val="center"/>
              </w:trPr>
              <w:tc>
                <w:tcPr>
                  <w:tcW w:w="1398" w:type="dxa"/>
                  <w:gridSpan w:val="3"/>
                  <w:vAlign w:val="center"/>
                </w:tcPr>
                <w:p w14:paraId="149DD0D0">
                  <w:pPr>
                    <w:pStyle w:val="58"/>
                    <w:keepNext w:val="0"/>
                    <w:keepLines w:val="0"/>
                    <w:suppressLineNumbers w:val="0"/>
                    <w:spacing w:before="0" w:beforeAutospacing="0" w:after="0" w:afterAutospacing="0"/>
                    <w:ind w:left="0" w:right="0"/>
                    <w:rPr>
                      <w:rFonts w:hint="default"/>
                      <w:color w:val="auto"/>
                    </w:rPr>
                  </w:pPr>
                  <w:r>
                    <w:rPr>
                      <w:rFonts w:hint="default"/>
                      <w:color w:val="auto"/>
                    </w:rPr>
                    <w:t>类别</w:t>
                  </w:r>
                </w:p>
              </w:tc>
              <w:tc>
                <w:tcPr>
                  <w:tcW w:w="1259" w:type="dxa"/>
                  <w:vAlign w:val="center"/>
                </w:tcPr>
                <w:p w14:paraId="66B36199">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排放口名称</w:t>
                  </w:r>
                </w:p>
              </w:tc>
              <w:tc>
                <w:tcPr>
                  <w:tcW w:w="964" w:type="dxa"/>
                  <w:vAlign w:val="center"/>
                </w:tcPr>
                <w:p w14:paraId="3F5AA660">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排放口类别</w:t>
                  </w:r>
                </w:p>
              </w:tc>
              <w:tc>
                <w:tcPr>
                  <w:tcW w:w="1585" w:type="dxa"/>
                  <w:vAlign w:val="center"/>
                </w:tcPr>
                <w:p w14:paraId="38170E45">
                  <w:pPr>
                    <w:pStyle w:val="58"/>
                    <w:keepNext w:val="0"/>
                    <w:keepLines w:val="0"/>
                    <w:suppressLineNumbers w:val="0"/>
                    <w:spacing w:before="0" w:beforeAutospacing="0" w:after="0" w:afterAutospacing="0"/>
                    <w:ind w:left="0" w:right="0"/>
                    <w:rPr>
                      <w:rFonts w:hint="default"/>
                      <w:color w:val="auto"/>
                    </w:rPr>
                  </w:pPr>
                  <w:r>
                    <w:rPr>
                      <w:rFonts w:hint="default"/>
                      <w:color w:val="auto"/>
                    </w:rPr>
                    <w:t>监测因子</w:t>
                  </w:r>
                </w:p>
              </w:tc>
              <w:tc>
                <w:tcPr>
                  <w:tcW w:w="1031" w:type="dxa"/>
                  <w:vAlign w:val="center"/>
                </w:tcPr>
                <w:p w14:paraId="6C9E36E0">
                  <w:pPr>
                    <w:pStyle w:val="58"/>
                    <w:keepNext w:val="0"/>
                    <w:keepLines w:val="0"/>
                    <w:suppressLineNumbers w:val="0"/>
                    <w:spacing w:before="0" w:beforeAutospacing="0" w:after="0" w:afterAutospacing="0"/>
                    <w:ind w:left="0" w:right="0"/>
                    <w:rPr>
                      <w:rFonts w:hint="default"/>
                      <w:color w:val="auto"/>
                    </w:rPr>
                  </w:pPr>
                  <w:r>
                    <w:rPr>
                      <w:rFonts w:hint="default"/>
                      <w:color w:val="auto"/>
                    </w:rPr>
                    <w:t>监测</w:t>
                  </w:r>
                </w:p>
                <w:p w14:paraId="2BC4E27F">
                  <w:pPr>
                    <w:pStyle w:val="58"/>
                    <w:keepNext w:val="0"/>
                    <w:keepLines w:val="0"/>
                    <w:suppressLineNumbers w:val="0"/>
                    <w:spacing w:before="0" w:beforeAutospacing="0" w:after="0" w:afterAutospacing="0"/>
                    <w:ind w:left="0" w:right="0"/>
                    <w:rPr>
                      <w:rFonts w:hint="default"/>
                      <w:color w:val="auto"/>
                    </w:rPr>
                  </w:pPr>
                  <w:r>
                    <w:rPr>
                      <w:rFonts w:hint="default"/>
                      <w:color w:val="auto"/>
                    </w:rPr>
                    <w:t>频率</w:t>
                  </w:r>
                </w:p>
              </w:tc>
              <w:tc>
                <w:tcPr>
                  <w:tcW w:w="2075" w:type="dxa"/>
                  <w:gridSpan w:val="2"/>
                  <w:vAlign w:val="center"/>
                </w:tcPr>
                <w:p w14:paraId="7ED71DA1">
                  <w:pPr>
                    <w:pStyle w:val="58"/>
                    <w:keepNext w:val="0"/>
                    <w:keepLines w:val="0"/>
                    <w:suppressLineNumbers w:val="0"/>
                    <w:spacing w:before="0" w:beforeAutospacing="0" w:after="0" w:afterAutospacing="0"/>
                    <w:ind w:left="0" w:right="0"/>
                    <w:rPr>
                      <w:rFonts w:hint="default"/>
                      <w:color w:val="auto"/>
                    </w:rPr>
                  </w:pPr>
                  <w:r>
                    <w:rPr>
                      <w:rFonts w:hint="default"/>
                      <w:color w:val="auto"/>
                    </w:rPr>
                    <w:t>控制指标</w:t>
                  </w:r>
                </w:p>
              </w:tc>
            </w:tr>
            <w:tr w14:paraId="42314D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555" w:hRule="atLeast"/>
                <w:jc w:val="center"/>
              </w:trPr>
              <w:tc>
                <w:tcPr>
                  <w:tcW w:w="412" w:type="dxa"/>
                  <w:vMerge w:val="restart"/>
                  <w:vAlign w:val="center"/>
                </w:tcPr>
                <w:p w14:paraId="017992BA">
                  <w:pPr>
                    <w:pStyle w:val="58"/>
                    <w:keepNext w:val="0"/>
                    <w:keepLines w:val="0"/>
                    <w:suppressLineNumbers w:val="0"/>
                    <w:spacing w:before="0" w:beforeAutospacing="0" w:after="0" w:afterAutospacing="0"/>
                    <w:ind w:left="0" w:right="0"/>
                    <w:rPr>
                      <w:rFonts w:hint="default"/>
                      <w:color w:val="auto"/>
                    </w:rPr>
                  </w:pPr>
                  <w:r>
                    <w:rPr>
                      <w:rFonts w:hint="eastAsia"/>
                      <w:color w:val="auto"/>
                    </w:rPr>
                    <w:t>污</w:t>
                  </w:r>
                  <w:r>
                    <w:rPr>
                      <w:rFonts w:hint="default"/>
                      <w:color w:val="auto"/>
                    </w:rPr>
                    <w:t>染源监测</w:t>
                  </w:r>
                </w:p>
              </w:tc>
              <w:tc>
                <w:tcPr>
                  <w:tcW w:w="985" w:type="dxa"/>
                  <w:vAlign w:val="center"/>
                </w:tcPr>
                <w:p w14:paraId="4D435727">
                  <w:pPr>
                    <w:pStyle w:val="58"/>
                    <w:keepNext w:val="0"/>
                    <w:keepLines w:val="0"/>
                    <w:suppressLineNumbers w:val="0"/>
                    <w:spacing w:before="0" w:beforeAutospacing="0" w:after="0" w:afterAutospacing="0"/>
                    <w:ind w:left="0" w:right="0"/>
                    <w:rPr>
                      <w:rFonts w:hint="default"/>
                      <w:color w:val="auto"/>
                    </w:rPr>
                  </w:pPr>
                  <w:r>
                    <w:rPr>
                      <w:rFonts w:hint="default"/>
                      <w:color w:val="auto"/>
                    </w:rPr>
                    <w:t>无组织排放废气</w:t>
                  </w:r>
                </w:p>
              </w:tc>
              <w:tc>
                <w:tcPr>
                  <w:tcW w:w="1260" w:type="dxa"/>
                  <w:gridSpan w:val="2"/>
                  <w:vAlign w:val="center"/>
                </w:tcPr>
                <w:p w14:paraId="371B6E02">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厂界</w:t>
                  </w:r>
                </w:p>
              </w:tc>
              <w:tc>
                <w:tcPr>
                  <w:tcW w:w="964" w:type="dxa"/>
                  <w:vAlign w:val="center"/>
                </w:tcPr>
                <w:p w14:paraId="49D03EDC">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w:t>
                  </w:r>
                </w:p>
              </w:tc>
              <w:tc>
                <w:tcPr>
                  <w:tcW w:w="1585" w:type="dxa"/>
                  <w:vAlign w:val="center"/>
                </w:tcPr>
                <w:p w14:paraId="722CD4F0">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颗粒物</w:t>
                  </w:r>
                </w:p>
              </w:tc>
              <w:tc>
                <w:tcPr>
                  <w:tcW w:w="1031" w:type="dxa"/>
                  <w:vAlign w:val="center"/>
                </w:tcPr>
                <w:p w14:paraId="4EDBE36A">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每半年</w:t>
                  </w:r>
                  <w:r>
                    <w:rPr>
                      <w:rFonts w:hint="eastAsia"/>
                      <w:color w:val="auto"/>
                      <w:lang w:val="en-US" w:eastAsia="zh-CN"/>
                    </w:rPr>
                    <w:t>一次</w:t>
                  </w:r>
                </w:p>
              </w:tc>
              <w:tc>
                <w:tcPr>
                  <w:tcW w:w="2074" w:type="dxa"/>
                  <w:vAlign w:val="center"/>
                </w:tcPr>
                <w:p w14:paraId="3B72CF62">
                  <w:pPr>
                    <w:pStyle w:val="58"/>
                    <w:keepNext w:val="0"/>
                    <w:keepLines w:val="0"/>
                    <w:suppressLineNumbers w:val="0"/>
                    <w:spacing w:before="0" w:beforeAutospacing="0" w:after="0" w:afterAutospacing="0"/>
                    <w:ind w:left="0" w:right="0"/>
                    <w:rPr>
                      <w:rFonts w:hint="default"/>
                      <w:color w:val="auto"/>
                    </w:rPr>
                  </w:pPr>
                  <w:r>
                    <w:rPr>
                      <w:rFonts w:hint="eastAsia"/>
                      <w:color w:val="auto"/>
                    </w:rPr>
                    <w:t>《大气污染物综合排放标准》（GB16297-1996）</w:t>
                  </w:r>
                </w:p>
              </w:tc>
            </w:tr>
            <w:tr w14:paraId="2322AA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242" w:hRule="atLeast"/>
                <w:jc w:val="center"/>
              </w:trPr>
              <w:tc>
                <w:tcPr>
                  <w:tcW w:w="412" w:type="dxa"/>
                  <w:vMerge w:val="continue"/>
                  <w:vAlign w:val="center"/>
                </w:tcPr>
                <w:p w14:paraId="5C364DD5">
                  <w:pPr>
                    <w:pStyle w:val="58"/>
                    <w:keepNext w:val="0"/>
                    <w:keepLines w:val="0"/>
                    <w:suppressLineNumbers w:val="0"/>
                    <w:spacing w:before="0" w:beforeAutospacing="0" w:after="0" w:afterAutospacing="0"/>
                    <w:ind w:left="0" w:right="0"/>
                    <w:rPr>
                      <w:rFonts w:hint="default"/>
                      <w:color w:val="auto"/>
                    </w:rPr>
                  </w:pPr>
                </w:p>
              </w:tc>
              <w:tc>
                <w:tcPr>
                  <w:tcW w:w="985" w:type="dxa"/>
                  <w:vMerge w:val="restart"/>
                  <w:vAlign w:val="center"/>
                </w:tcPr>
                <w:p w14:paraId="2F1425BD">
                  <w:pPr>
                    <w:pStyle w:val="58"/>
                    <w:keepNext w:val="0"/>
                    <w:keepLines w:val="0"/>
                    <w:suppressLineNumbers w:val="0"/>
                    <w:spacing w:before="0" w:beforeAutospacing="0" w:after="0" w:afterAutospacing="0"/>
                    <w:ind w:left="0" w:right="0"/>
                    <w:rPr>
                      <w:rFonts w:hint="default"/>
                      <w:color w:val="auto"/>
                    </w:rPr>
                  </w:pPr>
                  <w:r>
                    <w:rPr>
                      <w:rFonts w:hint="default"/>
                      <w:color w:val="auto"/>
                    </w:rPr>
                    <w:t>有组织排放废气</w:t>
                  </w:r>
                </w:p>
              </w:tc>
              <w:tc>
                <w:tcPr>
                  <w:tcW w:w="1260" w:type="dxa"/>
                  <w:gridSpan w:val="2"/>
                  <w:vAlign w:val="center"/>
                </w:tcPr>
                <w:p w14:paraId="521A396F">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val="en-US" w:eastAsia="zh-CN"/>
                    </w:rPr>
                    <w:t>1~4#炭化炉废气排放口DA001</w:t>
                  </w:r>
                </w:p>
              </w:tc>
              <w:tc>
                <w:tcPr>
                  <w:tcW w:w="964" w:type="dxa"/>
                  <w:vAlign w:val="center"/>
                </w:tcPr>
                <w:p w14:paraId="5FC2B54A">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重点排放口</w:t>
                  </w:r>
                </w:p>
              </w:tc>
              <w:tc>
                <w:tcPr>
                  <w:tcW w:w="1585" w:type="dxa"/>
                  <w:vAlign w:val="center"/>
                </w:tcPr>
                <w:p w14:paraId="6449DB9C">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SO</w:t>
                  </w:r>
                  <w:r>
                    <w:rPr>
                      <w:rFonts w:hint="eastAsia"/>
                      <w:color w:val="auto"/>
                      <w:vertAlign w:val="subscript"/>
                      <w:lang w:val="en-US" w:eastAsia="zh-CN"/>
                    </w:rPr>
                    <w:t>2</w:t>
                  </w:r>
                  <w:r>
                    <w:rPr>
                      <w:rFonts w:hint="default"/>
                      <w:color w:val="auto"/>
                    </w:rPr>
                    <w:t>、</w:t>
                  </w:r>
                  <w:r>
                    <w:rPr>
                      <w:rFonts w:hint="eastAsia"/>
                      <w:color w:val="auto"/>
                      <w:lang w:val="en-US" w:eastAsia="zh-CN"/>
                    </w:rPr>
                    <w:t>NO</w:t>
                  </w:r>
                  <w:r>
                    <w:rPr>
                      <w:rFonts w:hint="eastAsia"/>
                      <w:color w:val="auto"/>
                      <w:vertAlign w:val="subscript"/>
                      <w:lang w:val="en-US" w:eastAsia="zh-CN"/>
                    </w:rPr>
                    <w:t>X</w:t>
                  </w:r>
                  <w:r>
                    <w:rPr>
                      <w:rFonts w:hint="default"/>
                      <w:color w:val="auto"/>
                    </w:rPr>
                    <w:t>、</w:t>
                  </w:r>
                  <w:r>
                    <w:rPr>
                      <w:rFonts w:hint="eastAsia"/>
                      <w:color w:val="auto"/>
                      <w:lang w:eastAsia="zh-CN"/>
                    </w:rPr>
                    <w:t>颗粒物</w:t>
                  </w:r>
                </w:p>
              </w:tc>
              <w:tc>
                <w:tcPr>
                  <w:tcW w:w="1031" w:type="dxa"/>
                  <w:vAlign w:val="center"/>
                </w:tcPr>
                <w:p w14:paraId="7FF3099B">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连续在线监测</w:t>
                  </w:r>
                </w:p>
              </w:tc>
              <w:tc>
                <w:tcPr>
                  <w:tcW w:w="2074" w:type="dxa"/>
                  <w:vMerge w:val="restart"/>
                  <w:vAlign w:val="center"/>
                </w:tcPr>
                <w:p w14:paraId="5FFA0439">
                  <w:pPr>
                    <w:pStyle w:val="58"/>
                    <w:keepNext w:val="0"/>
                    <w:keepLines w:val="0"/>
                    <w:suppressLineNumbers w:val="0"/>
                    <w:spacing w:before="0" w:beforeAutospacing="0" w:after="0" w:afterAutospacing="0"/>
                    <w:ind w:left="0" w:right="0"/>
                    <w:rPr>
                      <w:rFonts w:hint="default"/>
                      <w:color w:val="auto"/>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r>
            <w:tr w14:paraId="07BEB7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555" w:hRule="atLeast"/>
                <w:jc w:val="center"/>
              </w:trPr>
              <w:tc>
                <w:tcPr>
                  <w:tcW w:w="412" w:type="dxa"/>
                  <w:vMerge w:val="continue"/>
                  <w:vAlign w:val="center"/>
                </w:tcPr>
                <w:p w14:paraId="7F1D6299">
                  <w:pPr>
                    <w:pStyle w:val="58"/>
                    <w:keepNext w:val="0"/>
                    <w:keepLines w:val="0"/>
                    <w:suppressLineNumbers w:val="0"/>
                    <w:spacing w:before="0" w:beforeAutospacing="0" w:after="0" w:afterAutospacing="0"/>
                    <w:ind w:left="0" w:right="0"/>
                    <w:rPr>
                      <w:rFonts w:hint="default"/>
                      <w:color w:val="auto"/>
                    </w:rPr>
                  </w:pPr>
                </w:p>
              </w:tc>
              <w:tc>
                <w:tcPr>
                  <w:tcW w:w="985" w:type="dxa"/>
                  <w:vMerge w:val="continue"/>
                  <w:vAlign w:val="center"/>
                </w:tcPr>
                <w:p w14:paraId="02D95B85">
                  <w:pPr>
                    <w:pStyle w:val="58"/>
                    <w:keepNext w:val="0"/>
                    <w:keepLines w:val="0"/>
                    <w:suppressLineNumbers w:val="0"/>
                    <w:spacing w:before="0" w:beforeAutospacing="0" w:after="0" w:afterAutospacing="0"/>
                    <w:ind w:left="0" w:right="0"/>
                    <w:rPr>
                      <w:rFonts w:hint="default"/>
                      <w:color w:val="auto"/>
                    </w:rPr>
                  </w:pPr>
                </w:p>
              </w:tc>
              <w:tc>
                <w:tcPr>
                  <w:tcW w:w="1260" w:type="dxa"/>
                  <w:gridSpan w:val="2"/>
                  <w:vAlign w:val="center"/>
                </w:tcPr>
                <w:p w14:paraId="73C2DB3B">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val="en-US" w:eastAsia="zh-CN"/>
                    </w:rPr>
                    <w:t>5~20#炭化炉废气排放口DA002</w:t>
                  </w:r>
                </w:p>
              </w:tc>
              <w:tc>
                <w:tcPr>
                  <w:tcW w:w="964" w:type="dxa"/>
                  <w:vAlign w:val="center"/>
                </w:tcPr>
                <w:p w14:paraId="296A7B38">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重点排放口</w:t>
                  </w:r>
                </w:p>
              </w:tc>
              <w:tc>
                <w:tcPr>
                  <w:tcW w:w="1585" w:type="dxa"/>
                  <w:vAlign w:val="center"/>
                </w:tcPr>
                <w:p w14:paraId="7C0B6477">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SO</w:t>
                  </w:r>
                  <w:r>
                    <w:rPr>
                      <w:rFonts w:hint="eastAsia"/>
                      <w:color w:val="auto"/>
                      <w:vertAlign w:val="subscript"/>
                      <w:lang w:val="en-US" w:eastAsia="zh-CN"/>
                    </w:rPr>
                    <w:t>2</w:t>
                  </w:r>
                  <w:r>
                    <w:rPr>
                      <w:rFonts w:hint="default"/>
                      <w:color w:val="auto"/>
                    </w:rPr>
                    <w:t>、</w:t>
                  </w:r>
                  <w:r>
                    <w:rPr>
                      <w:rFonts w:hint="eastAsia"/>
                      <w:color w:val="auto"/>
                      <w:lang w:val="en-US" w:eastAsia="zh-CN"/>
                    </w:rPr>
                    <w:t>NO</w:t>
                  </w:r>
                  <w:r>
                    <w:rPr>
                      <w:rFonts w:hint="eastAsia"/>
                      <w:color w:val="auto"/>
                      <w:vertAlign w:val="subscript"/>
                      <w:lang w:val="en-US" w:eastAsia="zh-CN"/>
                    </w:rPr>
                    <w:t>X</w:t>
                  </w:r>
                  <w:r>
                    <w:rPr>
                      <w:rFonts w:hint="default"/>
                      <w:color w:val="auto"/>
                    </w:rPr>
                    <w:t>、</w:t>
                  </w:r>
                  <w:r>
                    <w:rPr>
                      <w:rFonts w:hint="eastAsia"/>
                      <w:color w:val="auto"/>
                      <w:lang w:eastAsia="zh-CN"/>
                    </w:rPr>
                    <w:t>颗粒物</w:t>
                  </w:r>
                </w:p>
              </w:tc>
              <w:tc>
                <w:tcPr>
                  <w:tcW w:w="1031" w:type="dxa"/>
                  <w:vAlign w:val="center"/>
                </w:tcPr>
                <w:p w14:paraId="6F606A94">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连续在线监测</w:t>
                  </w:r>
                </w:p>
              </w:tc>
              <w:tc>
                <w:tcPr>
                  <w:tcW w:w="2074" w:type="dxa"/>
                  <w:vMerge w:val="continue"/>
                  <w:vAlign w:val="center"/>
                </w:tcPr>
                <w:p w14:paraId="229F182D">
                  <w:pPr>
                    <w:pStyle w:val="58"/>
                    <w:keepNext w:val="0"/>
                    <w:keepLines w:val="0"/>
                    <w:suppressLineNumbers w:val="0"/>
                    <w:spacing w:before="0" w:beforeAutospacing="0" w:after="0" w:afterAutospacing="0"/>
                    <w:ind w:left="0" w:right="0"/>
                    <w:rPr>
                      <w:rFonts w:hint="eastAsia"/>
                      <w:color w:val="auto"/>
                    </w:rPr>
                  </w:pPr>
                </w:p>
              </w:tc>
            </w:tr>
            <w:tr w14:paraId="0BD80A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555" w:hRule="atLeast"/>
                <w:jc w:val="center"/>
              </w:trPr>
              <w:tc>
                <w:tcPr>
                  <w:tcW w:w="412" w:type="dxa"/>
                  <w:vMerge w:val="continue"/>
                  <w:vAlign w:val="center"/>
                </w:tcPr>
                <w:p w14:paraId="1F8B80B9">
                  <w:pPr>
                    <w:pStyle w:val="58"/>
                    <w:keepNext w:val="0"/>
                    <w:keepLines w:val="0"/>
                    <w:suppressLineNumbers w:val="0"/>
                    <w:spacing w:before="0" w:beforeAutospacing="0" w:after="0" w:afterAutospacing="0"/>
                    <w:ind w:left="0" w:right="0"/>
                    <w:rPr>
                      <w:rFonts w:hint="default"/>
                      <w:color w:val="auto"/>
                    </w:rPr>
                  </w:pPr>
                </w:p>
              </w:tc>
              <w:tc>
                <w:tcPr>
                  <w:tcW w:w="985" w:type="dxa"/>
                  <w:vMerge w:val="continue"/>
                  <w:vAlign w:val="center"/>
                </w:tcPr>
                <w:p w14:paraId="022727D7">
                  <w:pPr>
                    <w:pStyle w:val="58"/>
                    <w:keepNext w:val="0"/>
                    <w:keepLines w:val="0"/>
                    <w:suppressLineNumbers w:val="0"/>
                    <w:spacing w:before="0" w:beforeAutospacing="0" w:after="0" w:afterAutospacing="0"/>
                    <w:ind w:left="0" w:right="0"/>
                    <w:rPr>
                      <w:rFonts w:hint="default"/>
                      <w:color w:val="auto"/>
                    </w:rPr>
                  </w:pPr>
                </w:p>
              </w:tc>
              <w:tc>
                <w:tcPr>
                  <w:tcW w:w="1260" w:type="dxa"/>
                  <w:gridSpan w:val="2"/>
                  <w:vAlign w:val="center"/>
                </w:tcPr>
                <w:p w14:paraId="2CE917BC">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eastAsia="zh-CN"/>
                    </w:rPr>
                    <w:t>机制炭车间</w:t>
                  </w:r>
                  <w:r>
                    <w:rPr>
                      <w:rFonts w:hint="eastAsia"/>
                      <w:color w:val="auto"/>
                      <w:lang w:val="en-US" w:eastAsia="zh-CN"/>
                    </w:rPr>
                    <w:t>废气排放口DA003</w:t>
                  </w:r>
                </w:p>
              </w:tc>
              <w:tc>
                <w:tcPr>
                  <w:tcW w:w="964" w:type="dxa"/>
                  <w:vAlign w:val="center"/>
                </w:tcPr>
                <w:p w14:paraId="1C6BDC36">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一般排放口</w:t>
                  </w:r>
                </w:p>
              </w:tc>
              <w:tc>
                <w:tcPr>
                  <w:tcW w:w="1585" w:type="dxa"/>
                  <w:vAlign w:val="center"/>
                </w:tcPr>
                <w:p w14:paraId="2E368B78">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颗粒物</w:t>
                  </w:r>
                </w:p>
              </w:tc>
              <w:tc>
                <w:tcPr>
                  <w:tcW w:w="1031" w:type="dxa"/>
                  <w:vAlign w:val="center"/>
                </w:tcPr>
                <w:p w14:paraId="55E74F24">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每半年一次</w:t>
                  </w:r>
                </w:p>
              </w:tc>
              <w:tc>
                <w:tcPr>
                  <w:tcW w:w="2074" w:type="dxa"/>
                  <w:vAlign w:val="center"/>
                </w:tcPr>
                <w:p w14:paraId="685D31DF">
                  <w:pPr>
                    <w:pStyle w:val="58"/>
                    <w:keepNext w:val="0"/>
                    <w:keepLines w:val="0"/>
                    <w:suppressLineNumbers w:val="0"/>
                    <w:spacing w:before="0" w:beforeAutospacing="0" w:after="0" w:afterAutospacing="0"/>
                    <w:ind w:left="0" w:right="0"/>
                    <w:rPr>
                      <w:rFonts w:hint="eastAsia"/>
                      <w:color w:val="auto"/>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14:paraId="262E11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600" w:hRule="atLeast"/>
                <w:jc w:val="center"/>
              </w:trPr>
              <w:tc>
                <w:tcPr>
                  <w:tcW w:w="412" w:type="dxa"/>
                  <w:vMerge w:val="continue"/>
                  <w:vAlign w:val="center"/>
                </w:tcPr>
                <w:p w14:paraId="6E1DE9BE">
                  <w:pPr>
                    <w:pStyle w:val="58"/>
                    <w:keepNext w:val="0"/>
                    <w:keepLines w:val="0"/>
                    <w:suppressLineNumbers w:val="0"/>
                    <w:spacing w:before="0" w:beforeAutospacing="0" w:after="0" w:afterAutospacing="0"/>
                    <w:ind w:left="0" w:right="0"/>
                    <w:rPr>
                      <w:rFonts w:hint="default"/>
                      <w:color w:val="auto"/>
                    </w:rPr>
                  </w:pPr>
                </w:p>
              </w:tc>
              <w:tc>
                <w:tcPr>
                  <w:tcW w:w="985" w:type="dxa"/>
                  <w:vAlign w:val="center"/>
                </w:tcPr>
                <w:p w14:paraId="4ECC0950">
                  <w:pPr>
                    <w:pStyle w:val="58"/>
                    <w:keepNext w:val="0"/>
                    <w:keepLines w:val="0"/>
                    <w:suppressLineNumbers w:val="0"/>
                    <w:spacing w:before="0" w:beforeAutospacing="0" w:after="0" w:afterAutospacing="0"/>
                    <w:ind w:left="0" w:right="0"/>
                    <w:rPr>
                      <w:rFonts w:hint="default"/>
                      <w:color w:val="auto"/>
                    </w:rPr>
                  </w:pPr>
                  <w:r>
                    <w:rPr>
                      <w:rFonts w:hint="default"/>
                      <w:color w:val="auto"/>
                    </w:rPr>
                    <w:t>废水</w:t>
                  </w:r>
                </w:p>
              </w:tc>
              <w:tc>
                <w:tcPr>
                  <w:tcW w:w="1260" w:type="dxa"/>
                  <w:gridSpan w:val="2"/>
                  <w:vAlign w:val="center"/>
                </w:tcPr>
                <w:p w14:paraId="06271745">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厂区废水总排放口</w:t>
                  </w:r>
                </w:p>
              </w:tc>
              <w:tc>
                <w:tcPr>
                  <w:tcW w:w="964" w:type="dxa"/>
                  <w:vAlign w:val="center"/>
                </w:tcPr>
                <w:p w14:paraId="2B1F6546">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一般排放口</w:t>
                  </w:r>
                </w:p>
              </w:tc>
              <w:tc>
                <w:tcPr>
                  <w:tcW w:w="1585" w:type="dxa"/>
                  <w:vAlign w:val="center"/>
                </w:tcPr>
                <w:p w14:paraId="096BE791">
                  <w:pPr>
                    <w:pStyle w:val="58"/>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pH、CODcr、</w:t>
                  </w:r>
                  <w:r>
                    <w:rPr>
                      <w:rFonts w:hint="eastAsia"/>
                      <w:color w:val="auto"/>
                      <w:lang w:val="en-US" w:eastAsia="zh-CN"/>
                    </w:rPr>
                    <w:t>SS</w:t>
                  </w:r>
                  <w:r>
                    <w:rPr>
                      <w:rFonts w:hint="default"/>
                      <w:color w:val="auto"/>
                    </w:rPr>
                    <w:t>、</w:t>
                  </w:r>
                  <w:r>
                    <w:rPr>
                      <w:rFonts w:hint="eastAsia"/>
                      <w:color w:val="auto"/>
                      <w:lang w:val="en-US" w:eastAsia="zh-CN"/>
                    </w:rPr>
                    <w:t>BOD</w:t>
                  </w:r>
                  <w:r>
                    <w:rPr>
                      <w:rFonts w:hint="eastAsia"/>
                      <w:color w:val="auto"/>
                      <w:vertAlign w:val="subscript"/>
                      <w:lang w:val="en-US" w:eastAsia="zh-CN"/>
                    </w:rPr>
                    <w:t>5</w:t>
                  </w:r>
                  <w:r>
                    <w:rPr>
                      <w:rFonts w:hint="eastAsia"/>
                      <w:color w:val="auto"/>
                      <w:lang w:eastAsia="zh-CN"/>
                    </w:rPr>
                    <w:t>、</w:t>
                  </w:r>
                  <w:r>
                    <w:rPr>
                      <w:rFonts w:hint="default"/>
                      <w:color w:val="auto"/>
                    </w:rPr>
                    <w:t>NH</w:t>
                  </w:r>
                  <w:r>
                    <w:rPr>
                      <w:rFonts w:hint="default"/>
                      <w:color w:val="auto"/>
                      <w:vertAlign w:val="subscript"/>
                    </w:rPr>
                    <w:t>3</w:t>
                  </w:r>
                  <w:r>
                    <w:rPr>
                      <w:rFonts w:hint="default"/>
                      <w:color w:val="auto"/>
                    </w:rPr>
                    <w:t>-N</w:t>
                  </w:r>
                </w:p>
              </w:tc>
              <w:tc>
                <w:tcPr>
                  <w:tcW w:w="1031" w:type="dxa"/>
                  <w:vAlign w:val="center"/>
                </w:tcPr>
                <w:p w14:paraId="1FDCF722">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每半年一次</w:t>
                  </w:r>
                </w:p>
              </w:tc>
              <w:tc>
                <w:tcPr>
                  <w:tcW w:w="2074" w:type="dxa"/>
                  <w:vAlign w:val="center"/>
                </w:tcPr>
                <w:p w14:paraId="2B9EF3BE">
                  <w:pPr>
                    <w:pStyle w:val="58"/>
                    <w:keepNext w:val="0"/>
                    <w:keepLines w:val="0"/>
                    <w:suppressLineNumbers w:val="0"/>
                    <w:spacing w:before="0" w:beforeAutospacing="0" w:after="0" w:afterAutospacing="0"/>
                    <w:ind w:left="0" w:right="0"/>
                    <w:rPr>
                      <w:rFonts w:hint="default"/>
                      <w:color w:val="auto"/>
                      <w:highlight w:val="yellow"/>
                    </w:rPr>
                  </w:pPr>
                  <w:r>
                    <w:rPr>
                      <w:rFonts w:hint="eastAsia"/>
                      <w:color w:val="auto"/>
                      <w:lang w:eastAsia="zh-CN"/>
                    </w:rPr>
                    <w:t>《污水综合排放标准》（GB8978-1996）表4中三级标准</w:t>
                  </w:r>
                </w:p>
              </w:tc>
            </w:tr>
            <w:tr w14:paraId="245A57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855" w:hRule="atLeast"/>
                <w:jc w:val="center"/>
              </w:trPr>
              <w:tc>
                <w:tcPr>
                  <w:tcW w:w="412" w:type="dxa"/>
                  <w:vMerge w:val="continue"/>
                  <w:vAlign w:val="center"/>
                </w:tcPr>
                <w:p w14:paraId="68F4F15B">
                  <w:pPr>
                    <w:pStyle w:val="58"/>
                    <w:keepNext w:val="0"/>
                    <w:keepLines w:val="0"/>
                    <w:suppressLineNumbers w:val="0"/>
                    <w:spacing w:before="0" w:beforeAutospacing="0" w:after="0" w:afterAutospacing="0"/>
                    <w:ind w:left="0" w:right="0"/>
                    <w:rPr>
                      <w:rFonts w:hint="default"/>
                      <w:color w:val="auto"/>
                    </w:rPr>
                  </w:pPr>
                </w:p>
              </w:tc>
              <w:tc>
                <w:tcPr>
                  <w:tcW w:w="985" w:type="dxa"/>
                  <w:vAlign w:val="center"/>
                </w:tcPr>
                <w:p w14:paraId="35044C0C">
                  <w:pPr>
                    <w:pStyle w:val="58"/>
                    <w:keepNext w:val="0"/>
                    <w:keepLines w:val="0"/>
                    <w:suppressLineNumbers w:val="0"/>
                    <w:spacing w:before="0" w:beforeAutospacing="0" w:after="0" w:afterAutospacing="0"/>
                    <w:ind w:left="0" w:right="0"/>
                    <w:rPr>
                      <w:rFonts w:hint="default"/>
                      <w:color w:val="auto"/>
                    </w:rPr>
                  </w:pPr>
                  <w:r>
                    <w:rPr>
                      <w:rFonts w:hint="default"/>
                      <w:color w:val="auto"/>
                    </w:rPr>
                    <w:t>噪声</w:t>
                  </w:r>
                </w:p>
              </w:tc>
              <w:tc>
                <w:tcPr>
                  <w:tcW w:w="1260" w:type="dxa"/>
                  <w:gridSpan w:val="2"/>
                  <w:vAlign w:val="center"/>
                </w:tcPr>
                <w:p w14:paraId="16E27374">
                  <w:pPr>
                    <w:pStyle w:val="58"/>
                    <w:keepNext w:val="0"/>
                    <w:keepLines w:val="0"/>
                    <w:suppressLineNumbers w:val="0"/>
                    <w:spacing w:before="0" w:beforeAutospacing="0" w:after="0" w:afterAutospacing="0"/>
                    <w:ind w:left="0" w:right="0"/>
                    <w:rPr>
                      <w:rFonts w:hint="default"/>
                      <w:color w:val="auto"/>
                    </w:rPr>
                  </w:pPr>
                  <w:r>
                    <w:rPr>
                      <w:rFonts w:hint="default"/>
                      <w:color w:val="auto"/>
                    </w:rPr>
                    <w:t>厂界噪声</w:t>
                  </w:r>
                </w:p>
              </w:tc>
              <w:tc>
                <w:tcPr>
                  <w:tcW w:w="964" w:type="dxa"/>
                  <w:vAlign w:val="center"/>
                </w:tcPr>
                <w:p w14:paraId="4BE13828">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w:t>
                  </w:r>
                </w:p>
              </w:tc>
              <w:tc>
                <w:tcPr>
                  <w:tcW w:w="1585" w:type="dxa"/>
                  <w:vAlign w:val="center"/>
                </w:tcPr>
                <w:p w14:paraId="7C8194A1">
                  <w:pPr>
                    <w:pStyle w:val="58"/>
                    <w:keepNext w:val="0"/>
                    <w:keepLines w:val="0"/>
                    <w:suppressLineNumbers w:val="0"/>
                    <w:spacing w:before="0" w:beforeAutospacing="0" w:after="0" w:afterAutospacing="0"/>
                    <w:ind w:left="0" w:right="0"/>
                    <w:rPr>
                      <w:rFonts w:hint="default"/>
                      <w:color w:val="auto"/>
                    </w:rPr>
                  </w:pPr>
                  <w:r>
                    <w:rPr>
                      <w:rFonts w:hint="default"/>
                      <w:color w:val="auto"/>
                    </w:rPr>
                    <w:t>Leq(A)</w:t>
                  </w:r>
                </w:p>
              </w:tc>
              <w:tc>
                <w:tcPr>
                  <w:tcW w:w="1031" w:type="dxa"/>
                  <w:vAlign w:val="center"/>
                </w:tcPr>
                <w:p w14:paraId="264FC361">
                  <w:pPr>
                    <w:pStyle w:val="58"/>
                    <w:keepNext w:val="0"/>
                    <w:keepLines w:val="0"/>
                    <w:suppressLineNumbers w:val="0"/>
                    <w:spacing w:before="0" w:beforeAutospacing="0" w:after="0" w:afterAutospacing="0"/>
                    <w:ind w:left="0" w:right="0"/>
                    <w:rPr>
                      <w:rFonts w:hint="default"/>
                      <w:color w:val="auto"/>
                    </w:rPr>
                  </w:pPr>
                  <w:r>
                    <w:rPr>
                      <w:rFonts w:hint="default"/>
                      <w:color w:val="auto"/>
                    </w:rPr>
                    <w:t>每季一次</w:t>
                  </w:r>
                </w:p>
              </w:tc>
              <w:tc>
                <w:tcPr>
                  <w:tcW w:w="2074" w:type="dxa"/>
                  <w:vAlign w:val="center"/>
                </w:tcPr>
                <w:p w14:paraId="6E5F45F3">
                  <w:pPr>
                    <w:pStyle w:val="58"/>
                    <w:keepNext w:val="0"/>
                    <w:keepLines w:val="0"/>
                    <w:suppressLineNumbers w:val="0"/>
                    <w:spacing w:before="0" w:beforeAutospacing="0" w:after="0" w:afterAutospacing="0"/>
                    <w:ind w:left="0" w:right="0"/>
                    <w:rPr>
                      <w:rFonts w:hint="default"/>
                      <w:color w:val="auto"/>
                    </w:rPr>
                  </w:pPr>
                  <w:r>
                    <w:rPr>
                      <w:rFonts w:hint="default"/>
                      <w:color w:val="auto"/>
                    </w:rPr>
                    <w:t>《工业企业厂界环境噪声排放标准》（GB12348—2008）中2类</w:t>
                  </w:r>
                  <w:r>
                    <w:rPr>
                      <w:rFonts w:hint="eastAsia"/>
                      <w:color w:val="auto"/>
                    </w:rPr>
                    <w:t>标准</w:t>
                  </w:r>
                </w:p>
              </w:tc>
            </w:tr>
          </w:tbl>
          <w:p w14:paraId="33A357CC">
            <w:pPr>
              <w:adjustRightInd w:val="0"/>
              <w:snapToGrid w:val="0"/>
              <w:spacing w:line="480" w:lineRule="exact"/>
              <w:ind w:firstLine="480" w:firstLineChars="200"/>
              <w:rPr>
                <w:bCs/>
                <w:color w:val="auto"/>
                <w:sz w:val="24"/>
              </w:rPr>
            </w:pPr>
            <w:r>
              <w:rPr>
                <w:rFonts w:hint="eastAsia"/>
                <w:bCs/>
                <w:color w:val="auto"/>
                <w:sz w:val="24"/>
              </w:rPr>
              <w:t>（</w:t>
            </w:r>
            <w:r>
              <w:rPr>
                <w:bCs/>
                <w:color w:val="auto"/>
                <w:sz w:val="24"/>
              </w:rPr>
              <w:t>4</w:t>
            </w:r>
            <w:r>
              <w:rPr>
                <w:rFonts w:hint="eastAsia"/>
                <w:bCs/>
                <w:color w:val="auto"/>
                <w:sz w:val="24"/>
              </w:rPr>
              <w:t>）排污口规范化管理</w:t>
            </w:r>
          </w:p>
          <w:p w14:paraId="1F9D9EBC">
            <w:pPr>
              <w:adjustRightInd w:val="0"/>
              <w:snapToGrid w:val="0"/>
              <w:spacing w:line="480" w:lineRule="exact"/>
              <w:ind w:firstLine="480" w:firstLineChars="200"/>
              <w:rPr>
                <w:bCs/>
                <w:color w:val="auto"/>
                <w:sz w:val="24"/>
              </w:rPr>
            </w:pPr>
            <w:r>
              <w:rPr>
                <w:rFonts w:hint="eastAsia"/>
                <w:bCs/>
                <w:color w:val="auto"/>
                <w:sz w:val="24"/>
              </w:rPr>
              <w:t>根据国家标准《环境保护图形标志</w:t>
            </w:r>
            <w:r>
              <w:rPr>
                <w:bCs/>
                <w:color w:val="auto"/>
                <w:sz w:val="24"/>
              </w:rPr>
              <w:t xml:space="preserve"> </w:t>
            </w:r>
            <w:r>
              <w:rPr>
                <w:rFonts w:hint="eastAsia"/>
                <w:bCs/>
                <w:color w:val="auto"/>
                <w:sz w:val="24"/>
              </w:rPr>
              <w:t>排放口（源）》和国家环境保护总局《污染物规范化治理要求（试行）》的文件要求，企业所有排放口（包括水、气、声、渣）必须按照</w:t>
            </w:r>
            <w:r>
              <w:rPr>
                <w:bCs/>
                <w:color w:val="auto"/>
                <w:sz w:val="24"/>
              </w:rPr>
              <w:t>“</w:t>
            </w:r>
            <w:r>
              <w:rPr>
                <w:rFonts w:hint="eastAsia"/>
                <w:bCs/>
                <w:color w:val="auto"/>
                <w:sz w:val="24"/>
              </w:rPr>
              <w:t>便于采样、便于计量检测、便于日常现场监督检查</w:t>
            </w:r>
            <w:r>
              <w:rPr>
                <w:bCs/>
                <w:color w:val="auto"/>
                <w:sz w:val="24"/>
              </w:rPr>
              <w:t>”</w:t>
            </w:r>
            <w:r>
              <w:rPr>
                <w:rFonts w:hint="eastAsia"/>
                <w:bCs/>
                <w:color w:val="auto"/>
                <w:sz w:val="24"/>
              </w:rPr>
              <w:t>的原则和规范，设置与之相适应的环境保护图形标志牌，绘制企业排放口分布图，同时对污水排放口安装流量计和工业废水处理装置在线监测系统。</w:t>
            </w:r>
          </w:p>
          <w:p w14:paraId="44C84797">
            <w:pPr>
              <w:adjustRightInd w:val="0"/>
              <w:snapToGrid w:val="0"/>
              <w:spacing w:line="480" w:lineRule="exact"/>
              <w:ind w:firstLine="480" w:firstLineChars="200"/>
              <w:rPr>
                <w:bCs/>
                <w:color w:val="auto"/>
                <w:sz w:val="24"/>
              </w:rPr>
            </w:pPr>
            <w:r>
              <w:rPr>
                <w:rFonts w:hint="eastAsia" w:ascii="宋体" w:hAnsi="宋体" w:cs="宋体"/>
                <w:bCs/>
                <w:color w:val="auto"/>
                <w:sz w:val="24"/>
              </w:rPr>
              <w:t>①</w:t>
            </w:r>
            <w:r>
              <w:rPr>
                <w:rFonts w:hint="eastAsia"/>
                <w:bCs/>
                <w:color w:val="auto"/>
                <w:sz w:val="24"/>
              </w:rPr>
              <w:t>废气烟囱（烟囱）规范化</w:t>
            </w:r>
          </w:p>
          <w:p w14:paraId="499B3EEA">
            <w:pPr>
              <w:adjustRightInd w:val="0"/>
              <w:snapToGrid w:val="0"/>
              <w:spacing w:line="480" w:lineRule="exact"/>
              <w:ind w:firstLine="480" w:firstLineChars="200"/>
              <w:rPr>
                <w:bCs/>
                <w:color w:val="auto"/>
                <w:sz w:val="24"/>
              </w:rPr>
            </w:pPr>
            <w:r>
              <w:rPr>
                <w:rFonts w:hint="eastAsia"/>
                <w:bCs/>
                <w:color w:val="auto"/>
                <w:sz w:val="24"/>
              </w:rPr>
              <w:t>烟囱的采样口的设置应符合《污染源监测技术规范》要求，有机废气排气筒及锅炉烟囱设置便于采样、监测的采样口和采样平台，附近设置环境保护标志。</w:t>
            </w:r>
          </w:p>
          <w:p w14:paraId="611F1BEA">
            <w:pPr>
              <w:adjustRightInd w:val="0"/>
              <w:snapToGrid w:val="0"/>
              <w:spacing w:line="480" w:lineRule="exact"/>
              <w:ind w:firstLine="480" w:firstLineChars="200"/>
              <w:rPr>
                <w:bCs/>
                <w:color w:val="auto"/>
                <w:sz w:val="24"/>
              </w:rPr>
            </w:pPr>
            <w:r>
              <w:rPr>
                <w:rFonts w:hint="eastAsia" w:ascii="宋体" w:hAnsi="宋体" w:cs="宋体"/>
                <w:bCs/>
                <w:color w:val="auto"/>
                <w:sz w:val="24"/>
              </w:rPr>
              <w:t>②</w:t>
            </w:r>
            <w:r>
              <w:rPr>
                <w:rFonts w:hint="eastAsia"/>
                <w:bCs/>
                <w:color w:val="auto"/>
                <w:sz w:val="24"/>
              </w:rPr>
              <w:t>固体废物贮存、堆放场规范化</w:t>
            </w:r>
          </w:p>
          <w:p w14:paraId="1412624C">
            <w:pPr>
              <w:adjustRightInd w:val="0"/>
              <w:snapToGrid w:val="0"/>
              <w:spacing w:line="480" w:lineRule="exact"/>
              <w:ind w:firstLine="480" w:firstLineChars="200"/>
              <w:rPr>
                <w:bCs/>
                <w:color w:val="auto"/>
                <w:sz w:val="24"/>
              </w:rPr>
            </w:pPr>
            <w:r>
              <w:rPr>
                <w:rFonts w:hint="eastAsia"/>
                <w:bCs/>
                <w:color w:val="auto"/>
                <w:sz w:val="24"/>
              </w:rPr>
              <w:t>罐区、生产车间、仓库均设置防雨、防渗设施，并采用水泥硬化。罐区和仓库应设置明显的警示标志。</w:t>
            </w:r>
          </w:p>
          <w:p w14:paraId="41816F4E">
            <w:pPr>
              <w:adjustRightInd w:val="0"/>
              <w:snapToGrid w:val="0"/>
              <w:spacing w:line="480" w:lineRule="exact"/>
              <w:ind w:firstLine="480" w:firstLineChars="200"/>
              <w:rPr>
                <w:bCs/>
                <w:color w:val="auto"/>
                <w:sz w:val="24"/>
              </w:rPr>
            </w:pPr>
            <w:r>
              <w:rPr>
                <w:rFonts w:hint="eastAsia" w:ascii="宋体" w:hAnsi="宋体" w:cs="宋体"/>
                <w:bCs/>
                <w:color w:val="auto"/>
                <w:sz w:val="24"/>
              </w:rPr>
              <w:t>③</w:t>
            </w:r>
            <w:r>
              <w:rPr>
                <w:rFonts w:hint="eastAsia"/>
                <w:bCs/>
                <w:color w:val="auto"/>
                <w:sz w:val="24"/>
              </w:rPr>
              <w:t>排污口设置标志牌要求</w:t>
            </w:r>
          </w:p>
          <w:p w14:paraId="6D6FCDB6">
            <w:pPr>
              <w:adjustRightInd w:val="0"/>
              <w:snapToGrid w:val="0"/>
              <w:spacing w:line="480" w:lineRule="exact"/>
              <w:ind w:firstLine="480" w:firstLineChars="200"/>
              <w:rPr>
                <w:bCs/>
                <w:color w:val="auto"/>
                <w:sz w:val="24"/>
              </w:rPr>
            </w:pPr>
            <w:r>
              <w:rPr>
                <w:rFonts w:hint="eastAsia"/>
                <w:bCs/>
                <w:color w:val="auto"/>
                <w:sz w:val="24"/>
              </w:rPr>
              <w:t>环境保护图形标志牌设置位置应距离污染物排放口及固体废物处置场或采样点较近且醒目处，设置高度一般为标志牌上缘距离地面约</w:t>
            </w:r>
            <w:r>
              <w:rPr>
                <w:bCs/>
                <w:color w:val="auto"/>
                <w:sz w:val="24"/>
              </w:rPr>
              <w:t>2m</w:t>
            </w:r>
            <w:r>
              <w:rPr>
                <w:rFonts w:hint="eastAsia"/>
                <w:bCs/>
                <w:color w:val="auto"/>
                <w:sz w:val="24"/>
              </w:rPr>
              <w:t>。</w:t>
            </w:r>
          </w:p>
          <w:p w14:paraId="6FADB143">
            <w:pPr>
              <w:adjustRightInd w:val="0"/>
              <w:snapToGrid w:val="0"/>
              <w:spacing w:line="480" w:lineRule="exact"/>
              <w:ind w:firstLine="480" w:firstLineChars="200"/>
              <w:rPr>
                <w:bCs/>
                <w:color w:val="auto"/>
                <w:sz w:val="24"/>
              </w:rPr>
            </w:pPr>
            <w:r>
              <w:rPr>
                <w:rFonts w:hint="eastAsia"/>
                <w:bCs/>
                <w:color w:val="auto"/>
                <w:sz w:val="24"/>
              </w:rPr>
              <w:t>规范化排污口的有关设置（如图形标志牌、计量装置、监控装置等）属环保设施，排污单位必须负责日常的维护保养，任何单位和个人不得擅自拆除，如需要变更的需报环境管理部门同意并办理变更手续。具体设计图形见图</w:t>
            </w:r>
            <w:r>
              <w:rPr>
                <w:rFonts w:hint="eastAsia"/>
                <w:bCs/>
                <w:color w:val="auto"/>
                <w:sz w:val="24"/>
                <w:lang w:val="en-US" w:eastAsia="zh-CN"/>
              </w:rPr>
              <w:t>11</w:t>
            </w:r>
            <w:r>
              <w:rPr>
                <w:rFonts w:hint="eastAsia"/>
                <w:bCs/>
                <w:color w:val="auto"/>
                <w:sz w:val="24"/>
              </w:rPr>
              <w:t>。</w:t>
            </w:r>
          </w:p>
          <w:p w14:paraId="5A6C60F2">
            <w:pPr>
              <w:pStyle w:val="96"/>
              <w:spacing w:line="240" w:lineRule="auto"/>
              <w:ind w:firstLine="420"/>
              <w:jc w:val="both"/>
              <w:rPr>
                <w:rFonts w:eastAsia="黑体"/>
                <w:b w:val="0"/>
                <w:color w:val="auto"/>
                <w:sz w:val="21"/>
              </w:rPr>
            </w:pPr>
            <w:r>
              <w:rPr>
                <w:rFonts w:hint="eastAsia" w:eastAsia="黑体"/>
                <w:b w:val="0"/>
                <w:color w:val="auto"/>
                <w:sz w:val="21"/>
              </w:rPr>
              <w:t>表4-</w:t>
            </w:r>
            <w:r>
              <w:rPr>
                <w:rFonts w:hint="eastAsia" w:eastAsia="黑体"/>
                <w:b w:val="0"/>
                <w:color w:val="auto"/>
                <w:sz w:val="21"/>
                <w:lang w:val="en-US" w:eastAsia="zh-CN"/>
              </w:rPr>
              <w:t>35</w:t>
            </w:r>
            <w:r>
              <w:rPr>
                <w:rFonts w:eastAsia="黑体"/>
                <w:b w:val="0"/>
                <w:color w:val="auto"/>
                <w:sz w:val="21"/>
              </w:rPr>
              <w:t xml:space="preserve">                </w:t>
            </w:r>
            <w:r>
              <w:rPr>
                <w:rFonts w:hint="eastAsia" w:eastAsia="黑体"/>
                <w:b w:val="0"/>
                <w:color w:val="auto"/>
                <w:sz w:val="21"/>
              </w:rPr>
              <w:t>环境保护图形标志的形状及颜色</w:t>
            </w:r>
          </w:p>
          <w:tbl>
            <w:tblPr>
              <w:tblStyle w:val="22"/>
              <w:tblW w:w="788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1"/>
              <w:gridCol w:w="2195"/>
              <w:gridCol w:w="2308"/>
              <w:gridCol w:w="1822"/>
            </w:tblGrid>
            <w:tr w14:paraId="2EED60B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561" w:type="dxa"/>
                  <w:tcBorders>
                    <w:top w:val="single" w:color="auto" w:sz="12" w:space="0"/>
                    <w:left w:val="nil"/>
                    <w:bottom w:val="single" w:color="auto" w:sz="2" w:space="0"/>
                    <w:right w:val="single" w:color="auto" w:sz="2" w:space="0"/>
                  </w:tcBorders>
                  <w:vAlign w:val="center"/>
                </w:tcPr>
                <w:p w14:paraId="69F4EB53">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标志名称</w:t>
                  </w:r>
                </w:p>
              </w:tc>
              <w:tc>
                <w:tcPr>
                  <w:tcW w:w="2195" w:type="dxa"/>
                  <w:tcBorders>
                    <w:top w:val="single" w:color="auto" w:sz="12" w:space="0"/>
                    <w:left w:val="single" w:color="auto" w:sz="2" w:space="0"/>
                    <w:bottom w:val="single" w:color="auto" w:sz="2" w:space="0"/>
                    <w:right w:val="single" w:color="auto" w:sz="2" w:space="0"/>
                  </w:tcBorders>
                  <w:vAlign w:val="center"/>
                </w:tcPr>
                <w:p w14:paraId="5103386B">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形状</w:t>
                  </w:r>
                </w:p>
              </w:tc>
              <w:tc>
                <w:tcPr>
                  <w:tcW w:w="2308" w:type="dxa"/>
                  <w:tcBorders>
                    <w:top w:val="single" w:color="auto" w:sz="12" w:space="0"/>
                    <w:left w:val="single" w:color="auto" w:sz="2" w:space="0"/>
                    <w:bottom w:val="single" w:color="auto" w:sz="2" w:space="0"/>
                    <w:right w:val="single" w:color="auto" w:sz="2" w:space="0"/>
                  </w:tcBorders>
                  <w:vAlign w:val="center"/>
                </w:tcPr>
                <w:p w14:paraId="3CA8B2D6">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背景颜色</w:t>
                  </w:r>
                </w:p>
              </w:tc>
              <w:tc>
                <w:tcPr>
                  <w:tcW w:w="1822" w:type="dxa"/>
                  <w:tcBorders>
                    <w:top w:val="single" w:color="auto" w:sz="12" w:space="0"/>
                    <w:left w:val="single" w:color="auto" w:sz="2" w:space="0"/>
                    <w:bottom w:val="single" w:color="auto" w:sz="2" w:space="0"/>
                    <w:right w:val="nil"/>
                  </w:tcBorders>
                  <w:vAlign w:val="center"/>
                </w:tcPr>
                <w:p w14:paraId="2EBF6BE4">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图形颜色</w:t>
                  </w:r>
                </w:p>
              </w:tc>
            </w:tr>
            <w:tr w14:paraId="0DA1970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561" w:type="dxa"/>
                  <w:tcBorders>
                    <w:top w:val="single" w:color="auto" w:sz="2" w:space="0"/>
                    <w:left w:val="nil"/>
                    <w:bottom w:val="single" w:color="auto" w:sz="2" w:space="0"/>
                    <w:right w:val="single" w:color="auto" w:sz="2" w:space="0"/>
                  </w:tcBorders>
                  <w:vAlign w:val="center"/>
                </w:tcPr>
                <w:p w14:paraId="583FD4E5">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警告标志</w:t>
                  </w:r>
                </w:p>
              </w:tc>
              <w:tc>
                <w:tcPr>
                  <w:tcW w:w="2195" w:type="dxa"/>
                  <w:tcBorders>
                    <w:top w:val="single" w:color="auto" w:sz="2" w:space="0"/>
                    <w:left w:val="single" w:color="auto" w:sz="2" w:space="0"/>
                    <w:bottom w:val="single" w:color="auto" w:sz="2" w:space="0"/>
                    <w:right w:val="single" w:color="auto" w:sz="2" w:space="0"/>
                  </w:tcBorders>
                  <w:vAlign w:val="center"/>
                </w:tcPr>
                <w:p w14:paraId="63A78991">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三角形边框</w:t>
                  </w:r>
                </w:p>
              </w:tc>
              <w:tc>
                <w:tcPr>
                  <w:tcW w:w="2308" w:type="dxa"/>
                  <w:tcBorders>
                    <w:top w:val="single" w:color="auto" w:sz="2" w:space="0"/>
                    <w:left w:val="single" w:color="auto" w:sz="2" w:space="0"/>
                    <w:bottom w:val="single" w:color="auto" w:sz="2" w:space="0"/>
                    <w:right w:val="single" w:color="auto" w:sz="2" w:space="0"/>
                  </w:tcBorders>
                  <w:vAlign w:val="center"/>
                </w:tcPr>
                <w:p w14:paraId="74C54E7C">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黄色</w:t>
                  </w:r>
                </w:p>
              </w:tc>
              <w:tc>
                <w:tcPr>
                  <w:tcW w:w="1822" w:type="dxa"/>
                  <w:tcBorders>
                    <w:top w:val="single" w:color="auto" w:sz="2" w:space="0"/>
                    <w:left w:val="single" w:color="auto" w:sz="2" w:space="0"/>
                    <w:bottom w:val="single" w:color="auto" w:sz="2" w:space="0"/>
                    <w:right w:val="nil"/>
                  </w:tcBorders>
                  <w:vAlign w:val="center"/>
                </w:tcPr>
                <w:p w14:paraId="28247122">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黑色</w:t>
                  </w:r>
                </w:p>
              </w:tc>
            </w:tr>
            <w:tr w14:paraId="53FA7A0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561" w:type="dxa"/>
                  <w:tcBorders>
                    <w:top w:val="single" w:color="auto" w:sz="2" w:space="0"/>
                    <w:left w:val="nil"/>
                    <w:bottom w:val="single" w:color="auto" w:sz="12" w:space="0"/>
                    <w:right w:val="single" w:color="auto" w:sz="2" w:space="0"/>
                  </w:tcBorders>
                  <w:vAlign w:val="center"/>
                </w:tcPr>
                <w:p w14:paraId="6C13D19F">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提示标志</w:t>
                  </w:r>
                </w:p>
              </w:tc>
              <w:tc>
                <w:tcPr>
                  <w:tcW w:w="2195" w:type="dxa"/>
                  <w:tcBorders>
                    <w:top w:val="single" w:color="auto" w:sz="2" w:space="0"/>
                    <w:left w:val="single" w:color="auto" w:sz="2" w:space="0"/>
                    <w:bottom w:val="single" w:color="auto" w:sz="12" w:space="0"/>
                    <w:right w:val="single" w:color="auto" w:sz="2" w:space="0"/>
                  </w:tcBorders>
                  <w:vAlign w:val="center"/>
                </w:tcPr>
                <w:p w14:paraId="6AB10DE5">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正方形边框</w:t>
                  </w:r>
                </w:p>
              </w:tc>
              <w:tc>
                <w:tcPr>
                  <w:tcW w:w="2308" w:type="dxa"/>
                  <w:tcBorders>
                    <w:top w:val="single" w:color="auto" w:sz="2" w:space="0"/>
                    <w:left w:val="single" w:color="auto" w:sz="2" w:space="0"/>
                    <w:bottom w:val="single" w:color="auto" w:sz="12" w:space="0"/>
                    <w:right w:val="single" w:color="auto" w:sz="2" w:space="0"/>
                  </w:tcBorders>
                  <w:vAlign w:val="center"/>
                </w:tcPr>
                <w:p w14:paraId="0EA02F6C">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绿色</w:t>
                  </w:r>
                </w:p>
              </w:tc>
              <w:tc>
                <w:tcPr>
                  <w:tcW w:w="1822" w:type="dxa"/>
                  <w:tcBorders>
                    <w:top w:val="single" w:color="auto" w:sz="2" w:space="0"/>
                    <w:left w:val="single" w:color="auto" w:sz="2" w:space="0"/>
                    <w:bottom w:val="single" w:color="auto" w:sz="12" w:space="0"/>
                    <w:right w:val="nil"/>
                  </w:tcBorders>
                  <w:vAlign w:val="center"/>
                </w:tcPr>
                <w:p w14:paraId="653B2648">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白色</w:t>
                  </w:r>
                </w:p>
              </w:tc>
            </w:tr>
          </w:tbl>
          <w:p w14:paraId="77F854FB">
            <w:pPr>
              <w:adjustRightInd w:val="0"/>
              <w:snapToGrid w:val="0"/>
              <w:jc w:val="center"/>
              <w:rPr>
                <w:bCs/>
                <w:color w:val="auto"/>
                <w:sz w:val="24"/>
              </w:rPr>
            </w:pPr>
            <w:r>
              <w:rPr>
                <w:color w:val="auto"/>
                <w:sz w:val="24"/>
              </w:rPr>
              <w:drawing>
                <wp:inline distT="0" distB="0" distL="0" distR="0">
                  <wp:extent cx="5028565" cy="2924175"/>
                  <wp:effectExtent l="19050" t="0" r="364"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45" cstate="print"/>
                          <a:srcRect/>
                          <a:stretch>
                            <a:fillRect/>
                          </a:stretch>
                        </pic:blipFill>
                        <pic:spPr>
                          <a:xfrm>
                            <a:off x="0" y="0"/>
                            <a:ext cx="5028836" cy="2924175"/>
                          </a:xfrm>
                          <a:prstGeom prst="rect">
                            <a:avLst/>
                          </a:prstGeom>
                          <a:noFill/>
                          <a:ln w="9525">
                            <a:noFill/>
                            <a:miter lim="800000"/>
                            <a:headEnd/>
                            <a:tailEnd/>
                          </a:ln>
                        </pic:spPr>
                      </pic:pic>
                    </a:graphicData>
                  </a:graphic>
                </wp:inline>
              </w:drawing>
            </w:r>
          </w:p>
          <w:p w14:paraId="5AE96026">
            <w:pPr>
              <w:tabs>
                <w:tab w:val="center" w:pos="4736"/>
              </w:tabs>
              <w:spacing w:line="480" w:lineRule="exact"/>
              <w:ind w:firstLine="420" w:firstLineChars="200"/>
              <w:jc w:val="center"/>
              <w:rPr>
                <w:bCs/>
                <w:color w:val="auto"/>
                <w:sz w:val="24"/>
              </w:rPr>
            </w:pPr>
            <w:r>
              <w:rPr>
                <w:rFonts w:hint="eastAsia" w:eastAsia="黑体"/>
                <w:color w:val="auto"/>
                <w:kern w:val="0"/>
              </w:rPr>
              <w:t>图</w:t>
            </w:r>
            <w:r>
              <w:rPr>
                <w:rFonts w:hint="eastAsia" w:eastAsia="黑体"/>
                <w:color w:val="auto"/>
                <w:kern w:val="0"/>
                <w:lang w:val="en-US" w:eastAsia="zh-CN"/>
              </w:rPr>
              <w:t>11</w:t>
            </w:r>
            <w:r>
              <w:rPr>
                <w:rFonts w:eastAsia="黑体"/>
                <w:color w:val="auto"/>
                <w:kern w:val="0"/>
              </w:rPr>
              <w:t xml:space="preserve">  </w:t>
            </w:r>
            <w:r>
              <w:rPr>
                <w:rFonts w:hint="eastAsia" w:eastAsia="黑体"/>
                <w:color w:val="auto"/>
                <w:kern w:val="0"/>
              </w:rPr>
              <w:t>排放口图形标志</w:t>
            </w:r>
          </w:p>
          <w:p w14:paraId="3EFEEBAA">
            <w:pPr>
              <w:adjustRightInd w:val="0"/>
              <w:snapToGrid w:val="0"/>
              <w:spacing w:line="480" w:lineRule="exact"/>
              <w:ind w:firstLine="482" w:firstLineChars="200"/>
              <w:rPr>
                <w:rFonts w:hint="eastAsia"/>
                <w:b/>
                <w:bCs w:val="0"/>
                <w:color w:val="auto"/>
                <w:sz w:val="24"/>
                <w:lang w:eastAsia="zh-CN"/>
              </w:rPr>
            </w:pPr>
          </w:p>
          <w:p w14:paraId="3DBC7B77">
            <w:pPr>
              <w:adjustRightInd w:val="0"/>
              <w:snapToGrid w:val="0"/>
              <w:spacing w:line="480" w:lineRule="exact"/>
              <w:ind w:firstLine="482" w:firstLineChars="200"/>
              <w:rPr>
                <w:b/>
                <w:bCs w:val="0"/>
                <w:color w:val="auto"/>
                <w:sz w:val="24"/>
              </w:rPr>
            </w:pPr>
            <w:r>
              <w:rPr>
                <w:rFonts w:hint="eastAsia"/>
                <w:b/>
                <w:bCs w:val="0"/>
                <w:color w:val="auto"/>
                <w:sz w:val="24"/>
                <w:lang w:eastAsia="zh-CN"/>
              </w:rPr>
              <w:t>七</w:t>
            </w:r>
            <w:r>
              <w:rPr>
                <w:rFonts w:hint="eastAsia"/>
                <w:b/>
                <w:bCs w:val="0"/>
                <w:color w:val="auto"/>
                <w:sz w:val="24"/>
              </w:rPr>
              <w:t>、环保投资</w:t>
            </w:r>
          </w:p>
          <w:p w14:paraId="2B34136A">
            <w:pPr>
              <w:adjustRightInd w:val="0"/>
              <w:snapToGrid w:val="0"/>
              <w:spacing w:line="480" w:lineRule="exact"/>
              <w:ind w:firstLine="480" w:firstLineChars="200"/>
              <w:rPr>
                <w:bCs/>
                <w:color w:val="auto"/>
                <w:sz w:val="24"/>
              </w:rPr>
            </w:pPr>
            <w:r>
              <w:rPr>
                <w:rFonts w:hint="eastAsia"/>
                <w:bCs/>
                <w:color w:val="auto"/>
                <w:sz w:val="24"/>
              </w:rPr>
              <w:t>本项目总投资为</w:t>
            </w:r>
            <w:r>
              <w:rPr>
                <w:rFonts w:hint="eastAsia"/>
                <w:bCs/>
                <w:color w:val="auto"/>
                <w:sz w:val="24"/>
                <w:lang w:val="en-US" w:eastAsia="zh-CN"/>
              </w:rPr>
              <w:t>21800</w:t>
            </w:r>
            <w:r>
              <w:rPr>
                <w:rFonts w:hint="eastAsia"/>
                <w:bCs/>
                <w:color w:val="auto"/>
                <w:sz w:val="24"/>
              </w:rPr>
              <w:t>万元，环保投资</w:t>
            </w:r>
            <w:r>
              <w:rPr>
                <w:rFonts w:hint="eastAsia"/>
                <w:bCs/>
                <w:color w:val="auto"/>
                <w:sz w:val="24"/>
                <w:lang w:val="en-US" w:eastAsia="zh-CN"/>
              </w:rPr>
              <w:t>132.5</w:t>
            </w:r>
            <w:r>
              <w:rPr>
                <w:rFonts w:hint="eastAsia"/>
                <w:bCs/>
                <w:color w:val="auto"/>
                <w:sz w:val="24"/>
              </w:rPr>
              <w:t>万元，占总投资</w:t>
            </w:r>
            <w:r>
              <w:rPr>
                <w:rFonts w:hint="eastAsia"/>
                <w:bCs/>
                <w:color w:val="auto"/>
                <w:sz w:val="24"/>
                <w:lang w:val="en-US" w:eastAsia="zh-CN"/>
              </w:rPr>
              <w:t>0.61</w:t>
            </w:r>
            <w:r>
              <w:rPr>
                <w:bCs/>
                <w:color w:val="auto"/>
                <w:sz w:val="24"/>
              </w:rPr>
              <w:t>%</w:t>
            </w:r>
            <w:r>
              <w:rPr>
                <w:rFonts w:hint="eastAsia"/>
                <w:bCs/>
                <w:color w:val="auto"/>
                <w:sz w:val="24"/>
              </w:rPr>
              <w:t>。项目环保投资详情见4-3</w:t>
            </w:r>
            <w:r>
              <w:rPr>
                <w:rFonts w:hint="eastAsia"/>
                <w:bCs/>
                <w:color w:val="auto"/>
                <w:sz w:val="24"/>
                <w:lang w:val="en-US" w:eastAsia="zh-CN"/>
              </w:rPr>
              <w:t>6</w:t>
            </w:r>
            <w:r>
              <w:rPr>
                <w:rFonts w:hint="eastAsia"/>
                <w:bCs/>
                <w:color w:val="auto"/>
                <w:sz w:val="24"/>
              </w:rPr>
              <w:t>。</w:t>
            </w:r>
          </w:p>
          <w:p w14:paraId="05598D36">
            <w:pPr>
              <w:pStyle w:val="79"/>
              <w:keepNext w:val="0"/>
              <w:keepLines w:val="0"/>
              <w:suppressLineNumbers w:val="0"/>
              <w:spacing w:beforeAutospacing="0" w:after="0" w:afterAutospacing="0" w:line="240" w:lineRule="auto"/>
              <w:ind w:left="0" w:right="0" w:firstLine="420"/>
              <w:jc w:val="both"/>
              <w:rPr>
                <w:rFonts w:hint="default"/>
                <w:color w:val="auto"/>
              </w:rPr>
            </w:pPr>
            <w:r>
              <w:rPr>
                <w:rFonts w:hint="eastAsia"/>
                <w:color w:val="auto"/>
              </w:rPr>
              <w:t>表</w:t>
            </w:r>
            <w:r>
              <w:rPr>
                <w:rFonts w:hint="eastAsia"/>
                <w:color w:val="auto"/>
                <w:lang w:val="en-US" w:eastAsia="zh-CN"/>
              </w:rPr>
              <w:t>4-36</w:t>
            </w:r>
            <w:r>
              <w:rPr>
                <w:rFonts w:hint="default"/>
                <w:color w:val="auto"/>
              </w:rPr>
              <w:t xml:space="preserve">                  </w:t>
            </w:r>
            <w:r>
              <w:rPr>
                <w:rFonts w:hint="eastAsia"/>
                <w:color w:val="auto"/>
                <w:lang w:val="en-US" w:eastAsia="zh-CN"/>
              </w:rPr>
              <w:t xml:space="preserve">    </w:t>
            </w:r>
            <w:r>
              <w:rPr>
                <w:rFonts w:hint="default"/>
                <w:color w:val="auto"/>
              </w:rPr>
              <w:t>环保措施投资估算一览表</w:t>
            </w:r>
          </w:p>
          <w:tbl>
            <w:tblPr>
              <w:tblStyle w:val="22"/>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9"/>
              <w:gridCol w:w="1522"/>
              <w:gridCol w:w="4754"/>
              <w:gridCol w:w="823"/>
            </w:tblGrid>
            <w:tr w14:paraId="3B8E2C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Align w:val="center"/>
                </w:tcPr>
                <w:p w14:paraId="21F4A7A4">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工期</w:t>
                  </w:r>
                </w:p>
              </w:tc>
              <w:tc>
                <w:tcPr>
                  <w:tcW w:w="709" w:type="dxa"/>
                  <w:vAlign w:val="center"/>
                </w:tcPr>
                <w:p w14:paraId="1847372B">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类别</w:t>
                  </w:r>
                </w:p>
              </w:tc>
              <w:tc>
                <w:tcPr>
                  <w:tcW w:w="1522" w:type="dxa"/>
                  <w:vAlign w:val="center"/>
                </w:tcPr>
                <w:p w14:paraId="7B30CAEB">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污染源</w:t>
                  </w:r>
                </w:p>
              </w:tc>
              <w:tc>
                <w:tcPr>
                  <w:tcW w:w="4754" w:type="dxa"/>
                  <w:vAlign w:val="center"/>
                </w:tcPr>
                <w:p w14:paraId="681EF1B1">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环保工程</w:t>
                  </w:r>
                </w:p>
              </w:tc>
              <w:tc>
                <w:tcPr>
                  <w:tcW w:w="823" w:type="dxa"/>
                  <w:vAlign w:val="center"/>
                </w:tcPr>
                <w:p w14:paraId="5B5A6379">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投资</w:t>
                  </w:r>
                </w:p>
                <w:p w14:paraId="3EFF7D04">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万元</w:t>
                  </w:r>
                </w:p>
              </w:tc>
            </w:tr>
            <w:tr w14:paraId="11A2E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restart"/>
                  <w:vAlign w:val="center"/>
                </w:tcPr>
                <w:p w14:paraId="39278AA8">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施工期</w:t>
                  </w:r>
                </w:p>
              </w:tc>
              <w:tc>
                <w:tcPr>
                  <w:tcW w:w="709" w:type="dxa"/>
                  <w:vAlign w:val="center"/>
                </w:tcPr>
                <w:p w14:paraId="2792AA97">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废气</w:t>
                  </w:r>
                </w:p>
              </w:tc>
              <w:tc>
                <w:tcPr>
                  <w:tcW w:w="1522" w:type="dxa"/>
                  <w:vAlign w:val="center"/>
                </w:tcPr>
                <w:p w14:paraId="2881EB5D">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施工扬尘</w:t>
                  </w:r>
                </w:p>
              </w:tc>
              <w:tc>
                <w:tcPr>
                  <w:tcW w:w="4754" w:type="dxa"/>
                  <w:vAlign w:val="center"/>
                </w:tcPr>
                <w:p w14:paraId="6E7A04AC">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施工场地围挡、料场遮盖洒水设施</w:t>
                  </w:r>
                </w:p>
              </w:tc>
              <w:tc>
                <w:tcPr>
                  <w:tcW w:w="823" w:type="dxa"/>
                  <w:vAlign w:val="center"/>
                </w:tcPr>
                <w:p w14:paraId="633CE932">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10</w:t>
                  </w:r>
                </w:p>
              </w:tc>
            </w:tr>
            <w:tr w14:paraId="2B663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3E356C20">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14:paraId="72E6A3D5">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废水</w:t>
                  </w:r>
                </w:p>
              </w:tc>
              <w:tc>
                <w:tcPr>
                  <w:tcW w:w="1522" w:type="dxa"/>
                  <w:vAlign w:val="center"/>
                </w:tcPr>
                <w:p w14:paraId="16B57F99">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废水</w:t>
                  </w:r>
                </w:p>
              </w:tc>
              <w:tc>
                <w:tcPr>
                  <w:tcW w:w="4754" w:type="dxa"/>
                  <w:vAlign w:val="center"/>
                </w:tcPr>
                <w:p w14:paraId="4C49BFC0">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生活</w:t>
                  </w:r>
                  <w:r>
                    <w:rPr>
                      <w:rFonts w:hint="default"/>
                      <w:color w:val="auto"/>
                    </w:rPr>
                    <w:t>污水清运</w:t>
                  </w:r>
                  <w:r>
                    <w:rPr>
                      <w:rFonts w:hint="eastAsia"/>
                      <w:color w:val="auto"/>
                    </w:rPr>
                    <w:t>、</w:t>
                  </w:r>
                  <w:r>
                    <w:rPr>
                      <w:rFonts w:hint="eastAsia"/>
                      <w:color w:val="auto"/>
                      <w:lang w:eastAsia="zh-CN"/>
                    </w:rPr>
                    <w:t>施工废水防渗循环池</w:t>
                  </w:r>
                </w:p>
              </w:tc>
              <w:tc>
                <w:tcPr>
                  <w:tcW w:w="823" w:type="dxa"/>
                  <w:vAlign w:val="center"/>
                </w:tcPr>
                <w:p w14:paraId="205E8790">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5</w:t>
                  </w:r>
                </w:p>
              </w:tc>
            </w:tr>
            <w:tr w14:paraId="6EA7B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0E38D5CD">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14:paraId="393AA7F6">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固废</w:t>
                  </w:r>
                </w:p>
              </w:tc>
              <w:tc>
                <w:tcPr>
                  <w:tcW w:w="1522" w:type="dxa"/>
                  <w:vAlign w:val="center"/>
                </w:tcPr>
                <w:p w14:paraId="24381A09">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废渣处置</w:t>
                  </w:r>
                </w:p>
              </w:tc>
              <w:tc>
                <w:tcPr>
                  <w:tcW w:w="4754" w:type="dxa"/>
                  <w:vAlign w:val="center"/>
                </w:tcPr>
                <w:p w14:paraId="64E22646">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生活</w:t>
                  </w:r>
                  <w:r>
                    <w:rPr>
                      <w:rFonts w:hint="default"/>
                      <w:color w:val="auto"/>
                    </w:rPr>
                    <w:t>垃圾</w:t>
                  </w:r>
                  <w:r>
                    <w:rPr>
                      <w:rFonts w:hint="eastAsia"/>
                      <w:color w:val="auto"/>
                    </w:rPr>
                    <w:t>、建筑垃圾清运</w:t>
                  </w:r>
                  <w:r>
                    <w:rPr>
                      <w:rFonts w:hint="eastAsia"/>
                      <w:color w:val="auto"/>
                      <w:lang w:eastAsia="zh-CN"/>
                    </w:rPr>
                    <w:t>处置</w:t>
                  </w:r>
                </w:p>
              </w:tc>
              <w:tc>
                <w:tcPr>
                  <w:tcW w:w="823" w:type="dxa"/>
                  <w:vAlign w:val="center"/>
                </w:tcPr>
                <w:p w14:paraId="4E6CB863">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2</w:t>
                  </w:r>
                </w:p>
              </w:tc>
            </w:tr>
            <w:tr w14:paraId="62847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restart"/>
                  <w:vAlign w:val="center"/>
                </w:tcPr>
                <w:p w14:paraId="3033DDA5">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运营期</w:t>
                  </w:r>
                </w:p>
              </w:tc>
              <w:tc>
                <w:tcPr>
                  <w:tcW w:w="709" w:type="dxa"/>
                  <w:vMerge w:val="restart"/>
                  <w:vAlign w:val="center"/>
                </w:tcPr>
                <w:p w14:paraId="6162ADFB">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废气</w:t>
                  </w:r>
                </w:p>
              </w:tc>
              <w:tc>
                <w:tcPr>
                  <w:tcW w:w="1522" w:type="dxa"/>
                  <w:vAlign w:val="center"/>
                </w:tcPr>
                <w:p w14:paraId="105EF7BC">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1~4#炭化炉</w:t>
                  </w:r>
                </w:p>
              </w:tc>
              <w:tc>
                <w:tcPr>
                  <w:tcW w:w="4754" w:type="dxa"/>
                  <w:vAlign w:val="center"/>
                </w:tcPr>
                <w:p w14:paraId="08286845">
                  <w:pPr>
                    <w:pStyle w:val="58"/>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823" w:type="dxa"/>
                  <w:vAlign w:val="center"/>
                </w:tcPr>
                <w:p w14:paraId="4E9ECADB">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190</w:t>
                  </w:r>
                </w:p>
              </w:tc>
            </w:tr>
            <w:tr w14:paraId="74567E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3923546B">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21D1E2FE">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0E68159B">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5~12#炭化炉</w:t>
                  </w:r>
                </w:p>
              </w:tc>
              <w:tc>
                <w:tcPr>
                  <w:tcW w:w="4754" w:type="dxa"/>
                  <w:vMerge w:val="restart"/>
                  <w:vAlign w:val="center"/>
                </w:tcPr>
                <w:p w14:paraId="6C81A30F">
                  <w:pPr>
                    <w:pStyle w:val="58"/>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823" w:type="dxa"/>
                  <w:vMerge w:val="restart"/>
                  <w:vAlign w:val="center"/>
                </w:tcPr>
                <w:p w14:paraId="3C9A995A">
                  <w:pPr>
                    <w:pStyle w:val="58"/>
                    <w:keepNext w:val="0"/>
                    <w:keepLines w:val="0"/>
                    <w:suppressLineNumbers w:val="0"/>
                    <w:spacing w:before="0" w:beforeAutospacing="0" w:after="0" w:afterAutospacing="0"/>
                    <w:ind w:left="0" w:right="0"/>
                    <w:jc w:val="center"/>
                    <w:rPr>
                      <w:rFonts w:hint="eastAsia"/>
                      <w:color w:val="auto"/>
                      <w:lang w:val="en-US" w:eastAsia="zh-CN"/>
                    </w:rPr>
                  </w:pPr>
                  <w:r>
                    <w:rPr>
                      <w:rFonts w:hint="eastAsia"/>
                      <w:color w:val="auto"/>
                      <w:lang w:val="en-US" w:eastAsia="zh-CN"/>
                    </w:rPr>
                    <w:t>450</w:t>
                  </w:r>
                </w:p>
              </w:tc>
            </w:tr>
            <w:tr w14:paraId="35B0F3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43594D70">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22B4E02E">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1F14B306">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13~20#炭化炉</w:t>
                  </w:r>
                </w:p>
              </w:tc>
              <w:tc>
                <w:tcPr>
                  <w:tcW w:w="4754" w:type="dxa"/>
                  <w:vMerge w:val="continue"/>
                  <w:vAlign w:val="center"/>
                </w:tcPr>
                <w:p w14:paraId="316AC253">
                  <w:pPr>
                    <w:pStyle w:val="58"/>
                    <w:keepNext w:val="0"/>
                    <w:keepLines w:val="0"/>
                    <w:suppressLineNumbers w:val="0"/>
                    <w:spacing w:before="0" w:beforeAutospacing="0" w:after="0" w:afterAutospacing="0"/>
                    <w:ind w:left="0" w:right="0"/>
                    <w:jc w:val="center"/>
                    <w:rPr>
                      <w:rFonts w:hint="eastAsia"/>
                      <w:color w:val="auto"/>
                    </w:rPr>
                  </w:pPr>
                </w:p>
              </w:tc>
              <w:tc>
                <w:tcPr>
                  <w:tcW w:w="823" w:type="dxa"/>
                  <w:vMerge w:val="continue"/>
                  <w:vAlign w:val="center"/>
                </w:tcPr>
                <w:p w14:paraId="4048A00C">
                  <w:pPr>
                    <w:pStyle w:val="58"/>
                    <w:keepNext w:val="0"/>
                    <w:keepLines w:val="0"/>
                    <w:suppressLineNumbers w:val="0"/>
                    <w:spacing w:before="0" w:beforeAutospacing="0" w:after="0" w:afterAutospacing="0"/>
                    <w:ind w:left="0" w:right="0"/>
                    <w:jc w:val="center"/>
                    <w:rPr>
                      <w:rFonts w:hint="eastAsia"/>
                      <w:color w:val="auto"/>
                      <w:lang w:val="en-US" w:eastAsia="zh-CN"/>
                    </w:rPr>
                  </w:pPr>
                </w:p>
              </w:tc>
            </w:tr>
            <w:tr w14:paraId="1ECD8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158D8090">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3FE7AEE7">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30BA4065">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机制炭车间</w:t>
                  </w:r>
                </w:p>
              </w:tc>
              <w:tc>
                <w:tcPr>
                  <w:tcW w:w="4754" w:type="dxa"/>
                  <w:vAlign w:val="center"/>
                </w:tcPr>
                <w:p w14:paraId="7B8823B0">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一套袋式除尘器</w:t>
                  </w:r>
                  <w:r>
                    <w:rPr>
                      <w:rFonts w:hint="eastAsia"/>
                      <w:color w:val="auto"/>
                      <w:lang w:val="en-US" w:eastAsia="zh-CN"/>
                    </w:rPr>
                    <w:t>+15m高排气筒DA003</w:t>
                  </w:r>
                </w:p>
              </w:tc>
              <w:tc>
                <w:tcPr>
                  <w:tcW w:w="823" w:type="dxa"/>
                  <w:vAlign w:val="center"/>
                </w:tcPr>
                <w:p w14:paraId="63CBE054">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14:paraId="7B90A3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31CF3D25">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7777CF1E">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745E7E16">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上料车间</w:t>
                  </w:r>
                </w:p>
              </w:tc>
              <w:tc>
                <w:tcPr>
                  <w:tcW w:w="4754" w:type="dxa"/>
                  <w:vAlign w:val="center"/>
                </w:tcPr>
                <w:p w14:paraId="7579E800">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每套上料设备均需装有自带滤筒式除尘器</w:t>
                  </w:r>
                </w:p>
              </w:tc>
              <w:tc>
                <w:tcPr>
                  <w:tcW w:w="823" w:type="dxa"/>
                  <w:vAlign w:val="center"/>
                </w:tcPr>
                <w:p w14:paraId="29AC6084">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14:paraId="35EC1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013B69A7">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0276E428">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79E9E7F5">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食堂</w:t>
                  </w:r>
                  <w:r>
                    <w:rPr>
                      <w:rFonts w:hint="default"/>
                      <w:color w:val="auto"/>
                    </w:rPr>
                    <w:t>油烟</w:t>
                  </w:r>
                </w:p>
              </w:tc>
              <w:tc>
                <w:tcPr>
                  <w:tcW w:w="4754" w:type="dxa"/>
                  <w:vAlign w:val="center"/>
                </w:tcPr>
                <w:p w14:paraId="4B2087A7">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一套油烟净化装置</w:t>
                  </w:r>
                </w:p>
              </w:tc>
              <w:tc>
                <w:tcPr>
                  <w:tcW w:w="823" w:type="dxa"/>
                  <w:vAlign w:val="center"/>
                </w:tcPr>
                <w:p w14:paraId="64798A15">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1</w:t>
                  </w:r>
                </w:p>
              </w:tc>
            </w:tr>
            <w:tr w14:paraId="26B32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107453C3">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14:paraId="1376B388">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废水</w:t>
                  </w:r>
                </w:p>
              </w:tc>
              <w:tc>
                <w:tcPr>
                  <w:tcW w:w="1522" w:type="dxa"/>
                  <w:vAlign w:val="center"/>
                </w:tcPr>
                <w:p w14:paraId="7BC51374">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lang w:eastAsia="zh-CN"/>
                    </w:rPr>
                    <w:t>废</w:t>
                  </w:r>
                  <w:r>
                    <w:rPr>
                      <w:rFonts w:hint="eastAsia"/>
                      <w:color w:val="auto"/>
                    </w:rPr>
                    <w:t>水</w:t>
                  </w:r>
                </w:p>
              </w:tc>
              <w:tc>
                <w:tcPr>
                  <w:tcW w:w="4754" w:type="dxa"/>
                  <w:vAlign w:val="center"/>
                </w:tcPr>
                <w:p w14:paraId="2006C7E3">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厂区内废水收集管路</w:t>
                  </w:r>
                </w:p>
              </w:tc>
              <w:tc>
                <w:tcPr>
                  <w:tcW w:w="823" w:type="dxa"/>
                  <w:vAlign w:val="center"/>
                </w:tcPr>
                <w:p w14:paraId="635FEF77">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5</w:t>
                  </w:r>
                </w:p>
              </w:tc>
            </w:tr>
            <w:tr w14:paraId="38C73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3095DF8D">
                  <w:pPr>
                    <w:pStyle w:val="58"/>
                    <w:keepNext w:val="0"/>
                    <w:keepLines w:val="0"/>
                    <w:suppressLineNumbers w:val="0"/>
                    <w:spacing w:before="0" w:beforeAutospacing="0" w:after="0" w:afterAutospacing="0"/>
                    <w:ind w:left="0" w:right="0"/>
                    <w:jc w:val="center"/>
                    <w:rPr>
                      <w:rFonts w:hint="default"/>
                      <w:color w:val="auto"/>
                    </w:rPr>
                  </w:pPr>
                </w:p>
              </w:tc>
              <w:tc>
                <w:tcPr>
                  <w:tcW w:w="709" w:type="dxa"/>
                  <w:vAlign w:val="center"/>
                </w:tcPr>
                <w:p w14:paraId="00BF61D8">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噪声</w:t>
                  </w:r>
                </w:p>
              </w:tc>
              <w:tc>
                <w:tcPr>
                  <w:tcW w:w="1522" w:type="dxa"/>
                  <w:vAlign w:val="center"/>
                </w:tcPr>
                <w:p w14:paraId="354B45B0">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设备运行噪声</w:t>
                  </w:r>
                </w:p>
              </w:tc>
              <w:tc>
                <w:tcPr>
                  <w:tcW w:w="4754" w:type="dxa"/>
                  <w:vAlign w:val="center"/>
                </w:tcPr>
                <w:p w14:paraId="71652FF9">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采用低噪声设备、</w:t>
                  </w:r>
                  <w:r>
                    <w:rPr>
                      <w:rFonts w:hint="eastAsia"/>
                      <w:color w:val="auto"/>
                      <w:lang w:eastAsia="zh-CN"/>
                    </w:rPr>
                    <w:t>安装</w:t>
                  </w:r>
                  <w:r>
                    <w:rPr>
                      <w:rFonts w:hint="default"/>
                      <w:color w:val="auto"/>
                    </w:rPr>
                    <w:t>减振和隔声等措施。</w:t>
                  </w:r>
                </w:p>
              </w:tc>
              <w:tc>
                <w:tcPr>
                  <w:tcW w:w="823" w:type="dxa"/>
                  <w:vAlign w:val="center"/>
                </w:tcPr>
                <w:p w14:paraId="21263090">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2</w:t>
                  </w:r>
                </w:p>
              </w:tc>
            </w:tr>
            <w:tr w14:paraId="6B909D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94" w:type="dxa"/>
                  <w:vMerge w:val="continue"/>
                  <w:vAlign w:val="center"/>
                </w:tcPr>
                <w:p w14:paraId="4E92F644">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restart"/>
                  <w:vAlign w:val="center"/>
                </w:tcPr>
                <w:p w14:paraId="472BF423">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固体废物</w:t>
                  </w:r>
                </w:p>
              </w:tc>
              <w:tc>
                <w:tcPr>
                  <w:tcW w:w="1522" w:type="dxa"/>
                  <w:vAlign w:val="center"/>
                </w:tcPr>
                <w:p w14:paraId="44DA45A1">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生活垃圾</w:t>
                  </w:r>
                </w:p>
              </w:tc>
              <w:tc>
                <w:tcPr>
                  <w:tcW w:w="4754" w:type="dxa"/>
                  <w:vAlign w:val="center"/>
                </w:tcPr>
                <w:p w14:paraId="48A0CA54">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垃圾收集设施</w:t>
                  </w:r>
                </w:p>
              </w:tc>
              <w:tc>
                <w:tcPr>
                  <w:tcW w:w="823" w:type="dxa"/>
                  <w:vAlign w:val="center"/>
                </w:tcPr>
                <w:p w14:paraId="2AE60088">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0.5</w:t>
                  </w:r>
                </w:p>
              </w:tc>
            </w:tr>
            <w:tr w14:paraId="137C7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94" w:type="dxa"/>
                  <w:vMerge w:val="continue"/>
                  <w:vAlign w:val="center"/>
                </w:tcPr>
                <w:p w14:paraId="4F08C707">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0A0A8FD4">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5B9419F6">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一般固体废物</w:t>
                  </w:r>
                </w:p>
              </w:tc>
              <w:tc>
                <w:tcPr>
                  <w:tcW w:w="4754" w:type="dxa"/>
                  <w:vAlign w:val="center"/>
                </w:tcPr>
                <w:p w14:paraId="75473D43">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除尘灰回用于机制成型工段，废树脂由供应厂家回收、脱硫石膏作为建筑材料外售</w:t>
                  </w:r>
                </w:p>
              </w:tc>
              <w:tc>
                <w:tcPr>
                  <w:tcW w:w="823" w:type="dxa"/>
                  <w:vAlign w:val="center"/>
                </w:tcPr>
                <w:p w14:paraId="667AA466">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2</w:t>
                  </w:r>
                </w:p>
              </w:tc>
            </w:tr>
            <w:tr w14:paraId="78F8E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94" w:type="dxa"/>
                  <w:vMerge w:val="continue"/>
                  <w:vAlign w:val="center"/>
                </w:tcPr>
                <w:p w14:paraId="672A3A82">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14:paraId="23DE3B0E">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14:paraId="114FA63D">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危险废物</w:t>
                  </w:r>
                </w:p>
              </w:tc>
              <w:tc>
                <w:tcPr>
                  <w:tcW w:w="4754" w:type="dxa"/>
                  <w:vAlign w:val="center"/>
                </w:tcPr>
                <w:p w14:paraId="49593B56">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一座危险废物暂存间，并委托有资质单位处置</w:t>
                  </w:r>
                </w:p>
              </w:tc>
              <w:tc>
                <w:tcPr>
                  <w:tcW w:w="823" w:type="dxa"/>
                  <w:vAlign w:val="center"/>
                </w:tcPr>
                <w:p w14:paraId="138EEB7C">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14:paraId="13A7BD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2C807940">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14:paraId="01E31BC3">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绿化</w:t>
                  </w:r>
                </w:p>
              </w:tc>
              <w:tc>
                <w:tcPr>
                  <w:tcW w:w="1522" w:type="dxa"/>
                  <w:vAlign w:val="center"/>
                </w:tcPr>
                <w:p w14:paraId="585CCE70">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厂区</w:t>
                  </w:r>
                </w:p>
              </w:tc>
              <w:tc>
                <w:tcPr>
                  <w:tcW w:w="4754" w:type="dxa"/>
                  <w:vAlign w:val="center"/>
                </w:tcPr>
                <w:p w14:paraId="505BC514">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植树、种草等、绿化林带</w:t>
                  </w:r>
                </w:p>
              </w:tc>
              <w:tc>
                <w:tcPr>
                  <w:tcW w:w="823" w:type="dxa"/>
                  <w:vAlign w:val="center"/>
                </w:tcPr>
                <w:p w14:paraId="575A7CF3">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10</w:t>
                  </w:r>
                </w:p>
              </w:tc>
            </w:tr>
            <w:tr w14:paraId="23951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Merge w:val="continue"/>
                  <w:vAlign w:val="center"/>
                </w:tcPr>
                <w:p w14:paraId="1EA15DF2">
                  <w:pPr>
                    <w:pStyle w:val="58"/>
                    <w:keepNext w:val="0"/>
                    <w:keepLines w:val="0"/>
                    <w:suppressLineNumbers w:val="0"/>
                    <w:spacing w:before="0" w:beforeAutospacing="0" w:after="0" w:afterAutospacing="0"/>
                    <w:ind w:left="0" w:right="0"/>
                    <w:jc w:val="center"/>
                    <w:rPr>
                      <w:rFonts w:hint="default"/>
                      <w:color w:val="auto"/>
                    </w:rPr>
                  </w:pPr>
                </w:p>
              </w:tc>
              <w:tc>
                <w:tcPr>
                  <w:tcW w:w="709" w:type="dxa"/>
                  <w:vAlign w:val="center"/>
                </w:tcPr>
                <w:p w14:paraId="160BF95D">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在线监测</w:t>
                  </w:r>
                </w:p>
              </w:tc>
              <w:tc>
                <w:tcPr>
                  <w:tcW w:w="1522" w:type="dxa"/>
                  <w:vAlign w:val="center"/>
                </w:tcPr>
                <w:p w14:paraId="2F5FF67A">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炭化烟气排放口</w:t>
                  </w:r>
                </w:p>
              </w:tc>
              <w:tc>
                <w:tcPr>
                  <w:tcW w:w="4754" w:type="dxa"/>
                  <w:vAlign w:val="center"/>
                </w:tcPr>
                <w:p w14:paraId="6D35AA9D">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炭化炉烟气重点排放口</w:t>
                  </w:r>
                  <w:r>
                    <w:rPr>
                      <w:rFonts w:hint="eastAsia"/>
                      <w:color w:val="auto"/>
                      <w:lang w:val="en-US" w:eastAsia="zh-CN"/>
                    </w:rPr>
                    <w:t>DA001和DA002分别加装一套烟气在线监测系统</w:t>
                  </w:r>
                </w:p>
              </w:tc>
              <w:tc>
                <w:tcPr>
                  <w:tcW w:w="823" w:type="dxa"/>
                  <w:vAlign w:val="center"/>
                </w:tcPr>
                <w:p w14:paraId="5DCD574D">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lang w:val="en-US" w:eastAsia="zh-CN"/>
                    </w:rPr>
                    <w:t>100</w:t>
                  </w:r>
                </w:p>
              </w:tc>
            </w:tr>
            <w:tr w14:paraId="1FD52D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4" w:type="dxa"/>
                  <w:vAlign w:val="center"/>
                </w:tcPr>
                <w:p w14:paraId="4977FB1B">
                  <w:pPr>
                    <w:pStyle w:val="58"/>
                    <w:keepNext w:val="0"/>
                    <w:keepLines w:val="0"/>
                    <w:suppressLineNumbers w:val="0"/>
                    <w:spacing w:before="0" w:beforeAutospacing="0" w:after="0" w:afterAutospacing="0"/>
                    <w:ind w:left="0" w:right="0"/>
                    <w:jc w:val="center"/>
                    <w:rPr>
                      <w:rFonts w:hint="default"/>
                      <w:color w:val="auto"/>
                    </w:rPr>
                  </w:pPr>
                </w:p>
              </w:tc>
              <w:tc>
                <w:tcPr>
                  <w:tcW w:w="6985" w:type="dxa"/>
                  <w:gridSpan w:val="3"/>
                  <w:vAlign w:val="center"/>
                </w:tcPr>
                <w:p w14:paraId="7AE69873">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合计</w:t>
                  </w:r>
                </w:p>
              </w:tc>
              <w:tc>
                <w:tcPr>
                  <w:tcW w:w="823" w:type="dxa"/>
                  <w:vAlign w:val="center"/>
                </w:tcPr>
                <w:p w14:paraId="56422CC7">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787.5</w:t>
                  </w:r>
                </w:p>
              </w:tc>
            </w:tr>
          </w:tbl>
          <w:p w14:paraId="2572A87A">
            <w:pPr>
              <w:adjustRightInd w:val="0"/>
              <w:snapToGrid w:val="0"/>
              <w:spacing w:line="480" w:lineRule="exact"/>
              <w:ind w:firstLine="480" w:firstLineChars="200"/>
              <w:rPr>
                <w:bCs/>
                <w:color w:val="auto"/>
                <w:sz w:val="24"/>
              </w:rPr>
            </w:pPr>
            <w:r>
              <w:rPr>
                <w:rFonts w:hint="eastAsia"/>
                <w:bCs/>
                <w:color w:val="auto"/>
                <w:sz w:val="24"/>
                <w:lang w:eastAsia="zh-CN"/>
              </w:rPr>
              <w:t>八</w:t>
            </w:r>
            <w:r>
              <w:rPr>
                <w:rFonts w:hint="eastAsia"/>
                <w:bCs/>
                <w:color w:val="auto"/>
                <w:sz w:val="24"/>
              </w:rPr>
              <w:t>、项目</w:t>
            </w:r>
            <w:r>
              <w:rPr>
                <w:bCs/>
                <w:color w:val="auto"/>
                <w:kern w:val="0"/>
                <w:sz w:val="24"/>
              </w:rPr>
              <w:t>“</w:t>
            </w:r>
            <w:r>
              <w:rPr>
                <w:rFonts w:hint="eastAsia"/>
                <w:bCs/>
                <w:color w:val="auto"/>
                <w:kern w:val="0"/>
                <w:sz w:val="24"/>
              </w:rPr>
              <w:t>三同时</w:t>
            </w:r>
            <w:r>
              <w:rPr>
                <w:bCs/>
                <w:color w:val="auto"/>
                <w:kern w:val="0"/>
                <w:sz w:val="24"/>
              </w:rPr>
              <w:t>”</w:t>
            </w:r>
            <w:r>
              <w:rPr>
                <w:rFonts w:hint="eastAsia"/>
                <w:bCs/>
                <w:color w:val="auto"/>
                <w:sz w:val="24"/>
              </w:rPr>
              <w:t>验收</w:t>
            </w:r>
          </w:p>
          <w:p w14:paraId="747CD847">
            <w:pPr>
              <w:adjustRightInd w:val="0"/>
              <w:snapToGrid w:val="0"/>
              <w:spacing w:line="480" w:lineRule="exact"/>
              <w:ind w:firstLine="480" w:firstLineChars="200"/>
              <w:rPr>
                <w:bCs/>
                <w:color w:val="auto"/>
                <w:sz w:val="24"/>
              </w:rPr>
            </w:pPr>
            <w:r>
              <w:rPr>
                <w:rFonts w:hint="eastAsia"/>
                <w:bCs/>
                <w:color w:val="auto"/>
                <w:sz w:val="24"/>
              </w:rPr>
              <w:t>项目建设期间，建设单位必须遵守环境保护设施必须与主体工程同时设计、同时施工、同时投产使用的“三同时”制度，在项目竣工后，须严格按照国家的有关规定，及时完成环保竣工验收，具体内容详见表4-</w:t>
            </w:r>
            <w:r>
              <w:rPr>
                <w:rFonts w:hint="eastAsia"/>
                <w:bCs/>
                <w:color w:val="auto"/>
                <w:sz w:val="24"/>
                <w:lang w:val="en-US" w:eastAsia="zh-CN"/>
              </w:rPr>
              <w:t>37</w:t>
            </w:r>
            <w:r>
              <w:rPr>
                <w:rFonts w:hint="eastAsia"/>
                <w:bCs/>
                <w:color w:val="auto"/>
                <w:sz w:val="24"/>
              </w:rPr>
              <w:t>。</w:t>
            </w:r>
          </w:p>
          <w:p w14:paraId="2677AF29">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14:paraId="4ABACB40">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14:paraId="2ACD5790">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14:paraId="172201E3">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14:paraId="2D9E7D4E">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14:paraId="3BDA7B37">
            <w:pPr>
              <w:keepNext w:val="0"/>
              <w:keepLines w:val="0"/>
              <w:suppressLineNumbers w:val="0"/>
              <w:autoSpaceDE w:val="0"/>
              <w:autoSpaceDN w:val="0"/>
              <w:spacing w:before="0" w:beforeAutospacing="0" w:after="0" w:afterAutospacing="0" w:line="312" w:lineRule="auto"/>
              <w:ind w:left="0" w:right="0" w:firstLine="420"/>
              <w:jc w:val="left"/>
              <w:rPr>
                <w:rFonts w:hint="default" w:eastAsia="黑体" w:cs="宋体"/>
                <w:color w:val="auto"/>
                <w:sz w:val="21"/>
                <w:szCs w:val="21"/>
              </w:rPr>
            </w:pPr>
            <w:r>
              <w:rPr>
                <w:rFonts w:hint="eastAsia" w:eastAsia="黑体"/>
                <w:color w:val="auto"/>
              </w:rPr>
              <w:t>表4-</w:t>
            </w:r>
            <w:r>
              <w:rPr>
                <w:rFonts w:hint="eastAsia" w:eastAsia="黑体"/>
                <w:color w:val="auto"/>
                <w:lang w:val="en-US" w:eastAsia="zh-CN"/>
              </w:rPr>
              <w:t>37</w:t>
            </w:r>
            <w:r>
              <w:rPr>
                <w:rFonts w:eastAsia="黑体"/>
                <w:color w:val="auto"/>
              </w:rPr>
              <w:t xml:space="preserve">                 </w:t>
            </w:r>
            <w:r>
              <w:rPr>
                <w:rFonts w:hint="eastAsia" w:eastAsia="黑体"/>
                <w:color w:val="auto"/>
              </w:rPr>
              <w:t>项目</w:t>
            </w:r>
            <w:r>
              <w:rPr>
                <w:rFonts w:eastAsia="黑体"/>
                <w:color w:val="auto"/>
              </w:rPr>
              <w:t>“</w:t>
            </w:r>
            <w:r>
              <w:rPr>
                <w:rFonts w:hint="eastAsia" w:eastAsia="黑体"/>
                <w:color w:val="auto"/>
              </w:rPr>
              <w:t>三同时</w:t>
            </w:r>
            <w:r>
              <w:rPr>
                <w:rFonts w:eastAsia="黑体"/>
                <w:color w:val="auto"/>
              </w:rPr>
              <w:t>”</w:t>
            </w:r>
            <w:r>
              <w:rPr>
                <w:rFonts w:hint="eastAsia" w:eastAsia="黑体"/>
                <w:color w:val="auto"/>
              </w:rPr>
              <w:t>验收一览表</w:t>
            </w:r>
          </w:p>
          <w:tbl>
            <w:tblPr>
              <w:tblStyle w:val="22"/>
              <w:tblW w:w="8306" w:type="dxa"/>
              <w:tblInd w:w="6"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48"/>
              <w:gridCol w:w="1166"/>
              <w:gridCol w:w="1806"/>
              <w:gridCol w:w="1534"/>
              <w:gridCol w:w="139"/>
              <w:gridCol w:w="3013"/>
            </w:tblGrid>
            <w:tr w14:paraId="5C405A6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bottom w:val="single" w:color="auto" w:sz="2" w:space="0"/>
                    <w:right w:val="single" w:color="auto" w:sz="2" w:space="0"/>
                  </w:tcBorders>
                  <w:vAlign w:val="center"/>
                </w:tcPr>
                <w:p w14:paraId="53A47B98">
                  <w:pPr>
                    <w:pStyle w:val="58"/>
                    <w:keepNext w:val="0"/>
                    <w:keepLines w:val="0"/>
                    <w:suppressLineNumbers w:val="0"/>
                    <w:spacing w:before="0" w:beforeAutospacing="0" w:after="0" w:afterAutospacing="0"/>
                    <w:ind w:left="0" w:right="0"/>
                    <w:rPr>
                      <w:rFonts w:hint="default"/>
                      <w:color w:val="auto"/>
                    </w:rPr>
                  </w:pPr>
                  <w:r>
                    <w:rPr>
                      <w:rFonts w:hint="eastAsia"/>
                      <w:color w:val="auto"/>
                    </w:rPr>
                    <w:t>序号</w:t>
                  </w:r>
                </w:p>
              </w:tc>
              <w:tc>
                <w:tcPr>
                  <w:tcW w:w="1166" w:type="dxa"/>
                  <w:tcBorders>
                    <w:left w:val="single" w:color="auto" w:sz="2" w:space="0"/>
                    <w:bottom w:val="single" w:color="auto" w:sz="2" w:space="0"/>
                    <w:right w:val="single" w:color="auto" w:sz="2" w:space="0"/>
                  </w:tcBorders>
                  <w:vAlign w:val="center"/>
                </w:tcPr>
                <w:p w14:paraId="265F00EB">
                  <w:pPr>
                    <w:pStyle w:val="58"/>
                    <w:keepNext w:val="0"/>
                    <w:keepLines w:val="0"/>
                    <w:suppressLineNumbers w:val="0"/>
                    <w:spacing w:before="0" w:beforeAutospacing="0" w:after="0" w:afterAutospacing="0"/>
                    <w:ind w:left="0" w:right="0"/>
                    <w:rPr>
                      <w:rFonts w:hint="default"/>
                      <w:color w:val="auto"/>
                    </w:rPr>
                  </w:pPr>
                  <w:r>
                    <w:rPr>
                      <w:rFonts w:hint="eastAsia"/>
                      <w:color w:val="auto"/>
                    </w:rPr>
                    <w:t>污染源</w:t>
                  </w:r>
                </w:p>
              </w:tc>
              <w:tc>
                <w:tcPr>
                  <w:tcW w:w="1806" w:type="dxa"/>
                  <w:tcBorders>
                    <w:left w:val="single" w:color="auto" w:sz="2" w:space="0"/>
                    <w:bottom w:val="single" w:color="auto" w:sz="2" w:space="0"/>
                    <w:right w:val="single" w:color="auto" w:sz="2" w:space="0"/>
                  </w:tcBorders>
                  <w:vAlign w:val="center"/>
                </w:tcPr>
                <w:p w14:paraId="4CC8C7C4">
                  <w:pPr>
                    <w:pStyle w:val="58"/>
                    <w:keepNext w:val="0"/>
                    <w:keepLines w:val="0"/>
                    <w:suppressLineNumbers w:val="0"/>
                    <w:spacing w:before="0" w:beforeAutospacing="0" w:after="0" w:afterAutospacing="0"/>
                    <w:ind w:left="0" w:right="0"/>
                    <w:rPr>
                      <w:rFonts w:hint="default"/>
                      <w:color w:val="auto"/>
                    </w:rPr>
                  </w:pPr>
                  <w:r>
                    <w:rPr>
                      <w:rFonts w:hint="eastAsia"/>
                      <w:color w:val="auto"/>
                    </w:rPr>
                    <w:t>环保措施</w:t>
                  </w:r>
                </w:p>
              </w:tc>
              <w:tc>
                <w:tcPr>
                  <w:tcW w:w="1673" w:type="dxa"/>
                  <w:gridSpan w:val="2"/>
                  <w:tcBorders>
                    <w:left w:val="single" w:color="auto" w:sz="2" w:space="0"/>
                    <w:bottom w:val="single" w:color="auto" w:sz="2" w:space="0"/>
                    <w:right w:val="single" w:color="auto" w:sz="2" w:space="0"/>
                  </w:tcBorders>
                  <w:vAlign w:val="center"/>
                </w:tcPr>
                <w:p w14:paraId="4E7E49CD">
                  <w:pPr>
                    <w:pStyle w:val="58"/>
                    <w:keepNext w:val="0"/>
                    <w:keepLines w:val="0"/>
                    <w:suppressLineNumbers w:val="0"/>
                    <w:spacing w:before="0" w:beforeAutospacing="0" w:after="0" w:afterAutospacing="0"/>
                    <w:ind w:left="0" w:right="0"/>
                    <w:rPr>
                      <w:rFonts w:hint="default"/>
                      <w:color w:val="auto"/>
                    </w:rPr>
                  </w:pPr>
                  <w:r>
                    <w:rPr>
                      <w:rFonts w:hint="eastAsia"/>
                      <w:color w:val="auto"/>
                    </w:rPr>
                    <w:t>要求</w:t>
                  </w:r>
                </w:p>
              </w:tc>
              <w:tc>
                <w:tcPr>
                  <w:tcW w:w="3013" w:type="dxa"/>
                  <w:tcBorders>
                    <w:left w:val="single" w:color="auto" w:sz="2" w:space="0"/>
                    <w:bottom w:val="single" w:color="auto" w:sz="2" w:space="0"/>
                  </w:tcBorders>
                  <w:vAlign w:val="center"/>
                </w:tcPr>
                <w:p w14:paraId="77E8196F">
                  <w:pPr>
                    <w:pStyle w:val="58"/>
                    <w:keepNext w:val="0"/>
                    <w:keepLines w:val="0"/>
                    <w:suppressLineNumbers w:val="0"/>
                    <w:spacing w:before="0" w:beforeAutospacing="0" w:after="0" w:afterAutospacing="0"/>
                    <w:ind w:left="0" w:right="0"/>
                    <w:rPr>
                      <w:rFonts w:hint="default"/>
                      <w:color w:val="auto"/>
                    </w:rPr>
                  </w:pPr>
                  <w:r>
                    <w:rPr>
                      <w:rFonts w:hint="eastAsia"/>
                      <w:color w:val="auto"/>
                    </w:rPr>
                    <w:t>验收项目</w:t>
                  </w:r>
                  <w:r>
                    <w:rPr>
                      <w:rFonts w:hint="default"/>
                      <w:color w:val="auto"/>
                    </w:rPr>
                    <w:t>/</w:t>
                  </w:r>
                  <w:r>
                    <w:rPr>
                      <w:rFonts w:hint="eastAsia"/>
                      <w:color w:val="auto"/>
                    </w:rPr>
                    <w:t>标准</w:t>
                  </w:r>
                </w:p>
              </w:tc>
            </w:tr>
            <w:tr w14:paraId="572120B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60E0EA5B">
                  <w:pPr>
                    <w:pStyle w:val="58"/>
                    <w:keepNext w:val="0"/>
                    <w:keepLines w:val="0"/>
                    <w:suppressLineNumbers w:val="0"/>
                    <w:spacing w:before="0" w:beforeAutospacing="0" w:after="0" w:afterAutospacing="0"/>
                    <w:ind w:left="0" w:right="0"/>
                    <w:rPr>
                      <w:rFonts w:hint="default"/>
                      <w:b/>
                      <w:color w:val="auto"/>
                    </w:rPr>
                  </w:pPr>
                  <w:r>
                    <w:rPr>
                      <w:rFonts w:hint="eastAsia"/>
                      <w:b/>
                      <w:color w:val="auto"/>
                    </w:rPr>
                    <w:t>一</w:t>
                  </w:r>
                </w:p>
              </w:tc>
              <w:tc>
                <w:tcPr>
                  <w:tcW w:w="7658" w:type="dxa"/>
                  <w:gridSpan w:val="5"/>
                  <w:tcBorders>
                    <w:top w:val="single" w:color="auto" w:sz="2" w:space="0"/>
                    <w:left w:val="single" w:color="auto" w:sz="2" w:space="0"/>
                    <w:bottom w:val="single" w:color="auto" w:sz="2" w:space="0"/>
                  </w:tcBorders>
                  <w:vAlign w:val="center"/>
                </w:tcPr>
                <w:p w14:paraId="748CC6D6">
                  <w:pPr>
                    <w:pStyle w:val="58"/>
                    <w:keepNext w:val="0"/>
                    <w:keepLines w:val="0"/>
                    <w:suppressLineNumbers w:val="0"/>
                    <w:spacing w:before="0" w:beforeAutospacing="0" w:after="0" w:afterAutospacing="0"/>
                    <w:ind w:left="0" w:right="0"/>
                    <w:rPr>
                      <w:rFonts w:hint="default"/>
                      <w:b/>
                      <w:color w:val="auto"/>
                    </w:rPr>
                  </w:pPr>
                  <w:r>
                    <w:rPr>
                      <w:rFonts w:hint="eastAsia"/>
                      <w:b/>
                      <w:color w:val="auto"/>
                    </w:rPr>
                    <w:t>废气</w:t>
                  </w:r>
                </w:p>
              </w:tc>
            </w:tr>
            <w:tr w14:paraId="44A528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648" w:type="dxa"/>
                  <w:tcBorders>
                    <w:top w:val="single" w:color="auto" w:sz="2" w:space="0"/>
                    <w:right w:val="single" w:color="auto" w:sz="2" w:space="0"/>
                  </w:tcBorders>
                  <w:vAlign w:val="center"/>
                </w:tcPr>
                <w:p w14:paraId="1FA704E7">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right w:val="single" w:color="auto" w:sz="2" w:space="0"/>
                  </w:tcBorders>
                  <w:vAlign w:val="center"/>
                </w:tcPr>
                <w:p w14:paraId="305220C4">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1~4#炭化炉</w:t>
                  </w:r>
                </w:p>
              </w:tc>
              <w:tc>
                <w:tcPr>
                  <w:tcW w:w="3340" w:type="dxa"/>
                  <w:gridSpan w:val="2"/>
                  <w:tcBorders>
                    <w:top w:val="single" w:color="auto" w:sz="2" w:space="0"/>
                    <w:left w:val="single" w:color="auto" w:sz="2" w:space="0"/>
                    <w:bottom w:val="single" w:color="auto" w:sz="2" w:space="0"/>
                    <w:right w:val="single" w:color="auto" w:sz="2" w:space="0"/>
                  </w:tcBorders>
                  <w:vAlign w:val="center"/>
                </w:tcPr>
                <w:p w14:paraId="0574BB68">
                  <w:pPr>
                    <w:pStyle w:val="58"/>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3152" w:type="dxa"/>
                  <w:gridSpan w:val="2"/>
                  <w:vMerge w:val="restart"/>
                  <w:tcBorders>
                    <w:top w:val="single" w:color="auto" w:sz="2" w:space="0"/>
                    <w:left w:val="single" w:color="auto" w:sz="2" w:space="0"/>
                  </w:tcBorders>
                  <w:vAlign w:val="center"/>
                </w:tcPr>
                <w:p w14:paraId="3E8DF106">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r>
            <w:tr w14:paraId="3647B49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14:paraId="0FB72400">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2</w:t>
                  </w:r>
                </w:p>
              </w:tc>
              <w:tc>
                <w:tcPr>
                  <w:tcW w:w="1166" w:type="dxa"/>
                  <w:tcBorders>
                    <w:left w:val="single" w:color="auto" w:sz="2" w:space="0"/>
                    <w:bottom w:val="single" w:color="auto" w:sz="2" w:space="0"/>
                    <w:right w:val="single" w:color="auto" w:sz="2" w:space="0"/>
                  </w:tcBorders>
                  <w:vAlign w:val="center"/>
                </w:tcPr>
                <w:p w14:paraId="52ACC265">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5~20#炭化炉</w:t>
                  </w:r>
                </w:p>
              </w:tc>
              <w:tc>
                <w:tcPr>
                  <w:tcW w:w="3340" w:type="dxa"/>
                  <w:gridSpan w:val="2"/>
                  <w:tcBorders>
                    <w:top w:val="single" w:color="auto" w:sz="2" w:space="0"/>
                    <w:left w:val="single" w:color="auto" w:sz="2" w:space="0"/>
                    <w:bottom w:val="single" w:color="auto" w:sz="2" w:space="0"/>
                    <w:right w:val="single" w:color="auto" w:sz="2" w:space="0"/>
                  </w:tcBorders>
                  <w:vAlign w:val="center"/>
                </w:tcPr>
                <w:p w14:paraId="4AEC235E">
                  <w:pPr>
                    <w:pStyle w:val="58"/>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3152" w:type="dxa"/>
                  <w:gridSpan w:val="2"/>
                  <w:vMerge w:val="continue"/>
                  <w:tcBorders>
                    <w:left w:val="single" w:color="auto" w:sz="2" w:space="0"/>
                    <w:bottom w:val="single" w:color="auto" w:sz="2" w:space="0"/>
                  </w:tcBorders>
                  <w:vAlign w:val="center"/>
                </w:tcPr>
                <w:p w14:paraId="0DCF58CF">
                  <w:pPr>
                    <w:pStyle w:val="58"/>
                    <w:keepNext w:val="0"/>
                    <w:keepLines w:val="0"/>
                    <w:suppressLineNumbers w:val="0"/>
                    <w:spacing w:before="0" w:beforeAutospacing="0" w:after="0" w:afterAutospacing="0"/>
                    <w:ind w:left="0" w:right="0"/>
                    <w:rPr>
                      <w:rFonts w:hint="eastAsia"/>
                      <w:color w:val="auto"/>
                    </w:rPr>
                  </w:pPr>
                </w:p>
              </w:tc>
            </w:tr>
            <w:tr w14:paraId="7E5EB36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14:paraId="311F22D8">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3</w:t>
                  </w:r>
                </w:p>
              </w:tc>
              <w:tc>
                <w:tcPr>
                  <w:tcW w:w="1166" w:type="dxa"/>
                  <w:tcBorders>
                    <w:left w:val="single" w:color="auto" w:sz="2" w:space="0"/>
                    <w:bottom w:val="single" w:color="auto" w:sz="2" w:space="0"/>
                    <w:right w:val="single" w:color="auto" w:sz="2" w:space="0"/>
                  </w:tcBorders>
                  <w:vAlign w:val="center"/>
                </w:tcPr>
                <w:p w14:paraId="0EEF411F">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机制炭车间</w:t>
                  </w:r>
                </w:p>
              </w:tc>
              <w:tc>
                <w:tcPr>
                  <w:tcW w:w="3340" w:type="dxa"/>
                  <w:gridSpan w:val="2"/>
                  <w:tcBorders>
                    <w:top w:val="single" w:color="auto" w:sz="2" w:space="0"/>
                    <w:left w:val="single" w:color="auto" w:sz="2" w:space="0"/>
                    <w:bottom w:val="single" w:color="auto" w:sz="2" w:space="0"/>
                    <w:right w:val="single" w:color="auto" w:sz="2" w:space="0"/>
                  </w:tcBorders>
                  <w:vAlign w:val="center"/>
                </w:tcPr>
                <w:p w14:paraId="0A8213DA">
                  <w:pPr>
                    <w:pStyle w:val="58"/>
                    <w:keepNext w:val="0"/>
                    <w:keepLines w:val="0"/>
                    <w:suppressLineNumbers w:val="0"/>
                    <w:spacing w:before="0" w:beforeAutospacing="0" w:after="0" w:afterAutospacing="0"/>
                    <w:ind w:left="0" w:leftChars="0" w:right="0" w:rightChars="0" w:firstLine="0" w:firstLineChars="0"/>
                    <w:jc w:val="center"/>
                    <w:rPr>
                      <w:rFonts w:hint="eastAsia"/>
                      <w:color w:val="auto"/>
                      <w:lang w:eastAsia="zh-CN"/>
                    </w:rPr>
                  </w:pPr>
                  <w:r>
                    <w:rPr>
                      <w:rFonts w:hint="eastAsia"/>
                      <w:color w:val="auto"/>
                      <w:lang w:eastAsia="zh-CN"/>
                    </w:rPr>
                    <w:t>一套袋式除尘器</w:t>
                  </w:r>
                  <w:r>
                    <w:rPr>
                      <w:rFonts w:hint="eastAsia"/>
                      <w:color w:val="auto"/>
                      <w:lang w:val="en-US" w:eastAsia="zh-CN"/>
                    </w:rPr>
                    <w:t>+15m高排气筒DA003</w:t>
                  </w:r>
                </w:p>
              </w:tc>
              <w:tc>
                <w:tcPr>
                  <w:tcW w:w="3152" w:type="dxa"/>
                  <w:gridSpan w:val="2"/>
                  <w:tcBorders>
                    <w:left w:val="single" w:color="auto" w:sz="2" w:space="0"/>
                    <w:bottom w:val="single" w:color="auto" w:sz="2" w:space="0"/>
                  </w:tcBorders>
                  <w:vAlign w:val="center"/>
                </w:tcPr>
                <w:p w14:paraId="49B7DF9F">
                  <w:pPr>
                    <w:pStyle w:val="58"/>
                    <w:keepNext w:val="0"/>
                    <w:keepLines w:val="0"/>
                    <w:suppressLineNumbers w:val="0"/>
                    <w:spacing w:before="0" w:beforeAutospacing="0" w:after="0" w:afterAutospacing="0"/>
                    <w:ind w:left="0" w:right="0"/>
                    <w:rPr>
                      <w:rFonts w:hint="eastAsia"/>
                      <w:color w:val="auto"/>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14:paraId="110A83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14:paraId="5AFF28D5">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4</w:t>
                  </w:r>
                </w:p>
              </w:tc>
              <w:tc>
                <w:tcPr>
                  <w:tcW w:w="1166" w:type="dxa"/>
                  <w:tcBorders>
                    <w:left w:val="single" w:color="auto" w:sz="2" w:space="0"/>
                    <w:bottom w:val="single" w:color="auto" w:sz="2" w:space="0"/>
                    <w:right w:val="single" w:color="auto" w:sz="2" w:space="0"/>
                  </w:tcBorders>
                  <w:vAlign w:val="center"/>
                </w:tcPr>
                <w:p w14:paraId="1E10A825">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rPr>
                    <w:t>油烟</w:t>
                  </w:r>
                </w:p>
              </w:tc>
              <w:tc>
                <w:tcPr>
                  <w:tcW w:w="3340" w:type="dxa"/>
                  <w:gridSpan w:val="2"/>
                  <w:tcBorders>
                    <w:top w:val="single" w:color="auto" w:sz="2" w:space="0"/>
                    <w:left w:val="single" w:color="auto" w:sz="2" w:space="0"/>
                    <w:bottom w:val="single" w:color="auto" w:sz="2" w:space="0"/>
                    <w:right w:val="single" w:color="auto" w:sz="2" w:space="0"/>
                  </w:tcBorders>
                  <w:vAlign w:val="center"/>
                </w:tcPr>
                <w:p w14:paraId="1AA3EAA2">
                  <w:pPr>
                    <w:pStyle w:val="58"/>
                    <w:keepNext w:val="0"/>
                    <w:keepLines w:val="0"/>
                    <w:suppressLineNumbers w:val="0"/>
                    <w:spacing w:before="0" w:beforeAutospacing="0" w:after="0" w:afterAutospacing="0"/>
                    <w:ind w:left="0" w:leftChars="0" w:right="0" w:rightChars="0" w:firstLine="0" w:firstLineChars="0"/>
                    <w:rPr>
                      <w:rFonts w:hint="eastAsia"/>
                      <w:color w:val="auto"/>
                      <w:lang w:eastAsia="zh-CN"/>
                    </w:rPr>
                  </w:pPr>
                  <w:r>
                    <w:rPr>
                      <w:rFonts w:hint="eastAsia"/>
                      <w:color w:val="auto"/>
                    </w:rPr>
                    <w:t>1套</w:t>
                  </w:r>
                  <w:r>
                    <w:rPr>
                      <w:rFonts w:hint="default"/>
                      <w:color w:val="auto"/>
                    </w:rPr>
                    <w:t>油烟净化器</w:t>
                  </w:r>
                </w:p>
              </w:tc>
              <w:tc>
                <w:tcPr>
                  <w:tcW w:w="3152" w:type="dxa"/>
                  <w:gridSpan w:val="2"/>
                  <w:tcBorders>
                    <w:left w:val="single" w:color="auto" w:sz="2" w:space="0"/>
                    <w:bottom w:val="single" w:color="auto" w:sz="2" w:space="0"/>
                  </w:tcBorders>
                  <w:vAlign w:val="center"/>
                </w:tcPr>
                <w:p w14:paraId="0048E144">
                  <w:pPr>
                    <w:pStyle w:val="58"/>
                    <w:keepNext w:val="0"/>
                    <w:keepLines w:val="0"/>
                    <w:suppressLineNumbers w:val="0"/>
                    <w:spacing w:before="0" w:beforeAutospacing="0" w:after="0" w:afterAutospacing="0"/>
                    <w:ind w:left="0" w:leftChars="0" w:right="0" w:rightChars="0" w:firstLine="0" w:firstLineChars="0"/>
                    <w:rPr>
                      <w:rFonts w:hint="eastAsia"/>
                      <w:color w:val="auto"/>
                    </w:rPr>
                  </w:pPr>
                  <w:r>
                    <w:rPr>
                      <w:rFonts w:hint="eastAsia"/>
                      <w:color w:val="auto"/>
                    </w:rPr>
                    <w:t>执行</w:t>
                  </w:r>
                  <w:r>
                    <w:rPr>
                      <w:rFonts w:hint="default"/>
                      <w:color w:val="auto"/>
                    </w:rPr>
                    <w:t>《</w:t>
                  </w:r>
                  <w:r>
                    <w:rPr>
                      <w:rFonts w:hint="eastAsia"/>
                      <w:color w:val="auto"/>
                    </w:rPr>
                    <w:t>饮食业</w:t>
                  </w:r>
                  <w:r>
                    <w:rPr>
                      <w:rFonts w:hint="default"/>
                      <w:color w:val="auto"/>
                    </w:rPr>
                    <w:t>油烟排放标准》</w:t>
                  </w:r>
                  <w:r>
                    <w:rPr>
                      <w:rFonts w:hint="eastAsia"/>
                      <w:color w:val="auto"/>
                    </w:rPr>
                    <w:t>（GB18483-2001）中最高</w:t>
                  </w:r>
                  <w:r>
                    <w:rPr>
                      <w:rFonts w:hint="default"/>
                      <w:color w:val="auto"/>
                    </w:rPr>
                    <w:t>允许排放浓度</w:t>
                  </w:r>
                  <w:r>
                    <w:rPr>
                      <w:rFonts w:hint="eastAsia"/>
                      <w:color w:val="auto"/>
                    </w:rPr>
                    <w:t>限值2.0</w:t>
                  </w:r>
                  <w:r>
                    <w:rPr>
                      <w:rFonts w:hint="default"/>
                      <w:color w:val="auto"/>
                    </w:rPr>
                    <w:t xml:space="preserve"> mg/m</w:t>
                  </w:r>
                  <w:r>
                    <w:rPr>
                      <w:rFonts w:hint="default"/>
                      <w:color w:val="auto"/>
                      <w:vertAlign w:val="superscript"/>
                    </w:rPr>
                    <w:t>3</w:t>
                  </w:r>
                  <w:r>
                    <w:rPr>
                      <w:rFonts w:hint="eastAsia"/>
                      <w:color w:val="auto"/>
                    </w:rPr>
                    <w:t>的</w:t>
                  </w:r>
                  <w:r>
                    <w:rPr>
                      <w:rFonts w:hint="default"/>
                      <w:color w:val="auto"/>
                    </w:rPr>
                    <w:t>要求</w:t>
                  </w:r>
                </w:p>
              </w:tc>
            </w:tr>
            <w:tr w14:paraId="0B84C5F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648" w:type="dxa"/>
                  <w:tcBorders>
                    <w:top w:val="single" w:color="auto" w:sz="2" w:space="0"/>
                    <w:bottom w:val="single" w:color="auto" w:sz="2" w:space="0"/>
                    <w:right w:val="single" w:color="auto" w:sz="2" w:space="0"/>
                  </w:tcBorders>
                  <w:vAlign w:val="center"/>
                </w:tcPr>
                <w:p w14:paraId="2BA079E0">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5</w:t>
                  </w:r>
                </w:p>
              </w:tc>
              <w:tc>
                <w:tcPr>
                  <w:tcW w:w="1166" w:type="dxa"/>
                  <w:tcBorders>
                    <w:top w:val="single" w:color="auto" w:sz="2" w:space="0"/>
                    <w:left w:val="single" w:color="auto" w:sz="2" w:space="0"/>
                    <w:bottom w:val="single" w:color="auto" w:sz="2" w:space="0"/>
                    <w:right w:val="single" w:color="auto" w:sz="2" w:space="0"/>
                  </w:tcBorders>
                  <w:vAlign w:val="center"/>
                </w:tcPr>
                <w:p w14:paraId="6A49848D">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无组织废气</w:t>
                  </w:r>
                </w:p>
              </w:tc>
              <w:tc>
                <w:tcPr>
                  <w:tcW w:w="3340" w:type="dxa"/>
                  <w:gridSpan w:val="2"/>
                  <w:tcBorders>
                    <w:top w:val="single" w:color="auto" w:sz="2" w:space="0"/>
                    <w:left w:val="single" w:color="auto" w:sz="2" w:space="0"/>
                    <w:bottom w:val="single" w:color="auto" w:sz="2" w:space="0"/>
                    <w:right w:val="single" w:color="auto" w:sz="2" w:space="0"/>
                  </w:tcBorders>
                  <w:vAlign w:val="center"/>
                </w:tcPr>
                <w:p w14:paraId="5FD42895">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上料车间内上料设备必须加装自带除尘器，车间加强通风</w:t>
                  </w:r>
                </w:p>
              </w:tc>
              <w:tc>
                <w:tcPr>
                  <w:tcW w:w="3152" w:type="dxa"/>
                  <w:gridSpan w:val="2"/>
                  <w:tcBorders>
                    <w:top w:val="single" w:color="auto" w:sz="2" w:space="0"/>
                    <w:left w:val="single" w:color="auto" w:sz="2" w:space="0"/>
                    <w:bottom w:val="single" w:color="auto" w:sz="2" w:space="0"/>
                  </w:tcBorders>
                  <w:vAlign w:val="center"/>
                </w:tcPr>
                <w:p w14:paraId="7D47B67C">
                  <w:pPr>
                    <w:pStyle w:val="58"/>
                    <w:keepNext w:val="0"/>
                    <w:keepLines w:val="0"/>
                    <w:suppressLineNumbers w:val="0"/>
                    <w:spacing w:before="0" w:beforeAutospacing="0" w:after="0" w:afterAutospacing="0"/>
                    <w:ind w:left="0" w:right="0"/>
                    <w:rPr>
                      <w:rFonts w:hint="eastAsia"/>
                      <w:color w:val="auto"/>
                    </w:rPr>
                  </w:pPr>
                  <w:r>
                    <w:rPr>
                      <w:rFonts w:hint="eastAsia"/>
                      <w:color w:val="auto"/>
                      <w:lang w:eastAsia="zh-CN"/>
                    </w:rPr>
                    <w:t>厂界</w:t>
                  </w:r>
                  <w:r>
                    <w:rPr>
                      <w:rFonts w:hint="eastAsia"/>
                      <w:color w:val="auto"/>
                    </w:rPr>
                    <w:t>颗粒物执行《大气污染物综合排放标准》（GB16297-1996）</w:t>
                  </w:r>
                  <w:r>
                    <w:rPr>
                      <w:rFonts w:hint="eastAsia"/>
                      <w:color w:val="auto"/>
                      <w:lang w:eastAsia="zh-CN"/>
                    </w:rPr>
                    <w:t>中</w:t>
                  </w:r>
                  <w:r>
                    <w:rPr>
                      <w:rFonts w:hint="eastAsia"/>
                      <w:color w:val="auto"/>
                      <w:lang w:val="en-US" w:eastAsia="zh-CN"/>
                    </w:rPr>
                    <w:t>1.0</w:t>
                  </w:r>
                  <w:r>
                    <w:rPr>
                      <w:rFonts w:hint="default"/>
                      <w:color w:val="auto"/>
                    </w:rPr>
                    <w:t>mg/m</w:t>
                  </w:r>
                  <w:r>
                    <w:rPr>
                      <w:rFonts w:hint="default"/>
                      <w:color w:val="auto"/>
                      <w:vertAlign w:val="superscript"/>
                    </w:rPr>
                    <w:t>3</w:t>
                  </w:r>
                  <w:r>
                    <w:rPr>
                      <w:rFonts w:hint="eastAsia"/>
                      <w:color w:val="auto"/>
                      <w:vertAlign w:val="baseline"/>
                      <w:lang w:eastAsia="zh-CN"/>
                    </w:rPr>
                    <w:t>限值</w:t>
                  </w:r>
                </w:p>
              </w:tc>
            </w:tr>
            <w:tr w14:paraId="414E5A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763F735F">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6</w:t>
                  </w:r>
                </w:p>
              </w:tc>
              <w:tc>
                <w:tcPr>
                  <w:tcW w:w="4506" w:type="dxa"/>
                  <w:gridSpan w:val="3"/>
                  <w:tcBorders>
                    <w:top w:val="single" w:color="auto" w:sz="2" w:space="0"/>
                    <w:left w:val="single" w:color="auto" w:sz="2" w:space="0"/>
                    <w:bottom w:val="single" w:color="auto" w:sz="2" w:space="0"/>
                    <w:right w:val="single" w:color="auto" w:sz="2" w:space="0"/>
                  </w:tcBorders>
                  <w:vAlign w:val="center"/>
                </w:tcPr>
                <w:p w14:paraId="724AB3AB">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DA001和DA002排放口分别安装一套烟气在线监测设施</w:t>
                  </w:r>
                </w:p>
              </w:tc>
              <w:tc>
                <w:tcPr>
                  <w:tcW w:w="3152" w:type="dxa"/>
                  <w:gridSpan w:val="2"/>
                  <w:tcBorders>
                    <w:top w:val="single" w:color="auto" w:sz="2" w:space="0"/>
                    <w:left w:val="single" w:color="auto" w:sz="2" w:space="0"/>
                    <w:bottom w:val="single" w:color="auto" w:sz="2" w:space="0"/>
                  </w:tcBorders>
                  <w:vAlign w:val="center"/>
                </w:tcPr>
                <w:p w14:paraId="1AD4A9E9">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是否落实</w:t>
                  </w:r>
                </w:p>
              </w:tc>
            </w:tr>
            <w:tr w14:paraId="063F239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743393D8">
                  <w:pPr>
                    <w:pStyle w:val="58"/>
                    <w:keepNext w:val="0"/>
                    <w:keepLines w:val="0"/>
                    <w:suppressLineNumbers w:val="0"/>
                    <w:spacing w:before="0" w:beforeAutospacing="0" w:after="0" w:afterAutospacing="0"/>
                    <w:ind w:left="0" w:right="0"/>
                    <w:rPr>
                      <w:rFonts w:hint="default"/>
                      <w:b/>
                      <w:color w:val="auto"/>
                    </w:rPr>
                  </w:pPr>
                  <w:r>
                    <w:rPr>
                      <w:rFonts w:hint="eastAsia"/>
                      <w:b/>
                      <w:color w:val="auto"/>
                    </w:rPr>
                    <w:t>二</w:t>
                  </w:r>
                </w:p>
              </w:tc>
              <w:tc>
                <w:tcPr>
                  <w:tcW w:w="7658" w:type="dxa"/>
                  <w:gridSpan w:val="5"/>
                  <w:tcBorders>
                    <w:top w:val="single" w:color="auto" w:sz="2" w:space="0"/>
                    <w:left w:val="single" w:color="auto" w:sz="2" w:space="0"/>
                    <w:bottom w:val="single" w:color="auto" w:sz="2" w:space="0"/>
                  </w:tcBorders>
                  <w:vAlign w:val="center"/>
                </w:tcPr>
                <w:p w14:paraId="380A3C7E">
                  <w:pPr>
                    <w:pStyle w:val="58"/>
                    <w:keepNext w:val="0"/>
                    <w:keepLines w:val="0"/>
                    <w:suppressLineNumbers w:val="0"/>
                    <w:spacing w:before="0" w:beforeAutospacing="0" w:after="0" w:afterAutospacing="0"/>
                    <w:ind w:left="0" w:right="0"/>
                    <w:rPr>
                      <w:rFonts w:hint="default"/>
                      <w:b/>
                      <w:color w:val="auto"/>
                    </w:rPr>
                  </w:pPr>
                  <w:r>
                    <w:rPr>
                      <w:rFonts w:hint="eastAsia"/>
                      <w:b/>
                      <w:color w:val="auto"/>
                    </w:rPr>
                    <w:t>废水</w:t>
                  </w:r>
                </w:p>
              </w:tc>
            </w:tr>
            <w:tr w14:paraId="44ACD5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648" w:type="dxa"/>
                  <w:tcBorders>
                    <w:top w:val="single" w:color="auto" w:sz="2" w:space="0"/>
                    <w:right w:val="single" w:color="auto" w:sz="2" w:space="0"/>
                  </w:tcBorders>
                  <w:vAlign w:val="center"/>
                </w:tcPr>
                <w:p w14:paraId="72092E8A">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right w:val="single" w:color="auto" w:sz="2" w:space="0"/>
                  </w:tcBorders>
                  <w:vAlign w:val="center"/>
                </w:tcPr>
                <w:p w14:paraId="4CD36B0C">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废</w:t>
                  </w:r>
                  <w:r>
                    <w:rPr>
                      <w:rFonts w:hint="eastAsia"/>
                      <w:color w:val="auto"/>
                    </w:rPr>
                    <w:t>水</w:t>
                  </w:r>
                </w:p>
              </w:tc>
              <w:tc>
                <w:tcPr>
                  <w:tcW w:w="3479" w:type="dxa"/>
                  <w:gridSpan w:val="3"/>
                  <w:vMerge w:val="restart"/>
                  <w:tcBorders>
                    <w:top w:val="single" w:color="auto" w:sz="2" w:space="0"/>
                    <w:left w:val="single" w:color="auto" w:sz="2" w:space="0"/>
                    <w:right w:val="single" w:color="auto" w:sz="2" w:space="0"/>
                  </w:tcBorders>
                  <w:vAlign w:val="center"/>
                </w:tcPr>
                <w:p w14:paraId="4E26ACCA">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收集后直接排入园区下水管网，进入园区污水处理厂处置</w:t>
                  </w:r>
                </w:p>
              </w:tc>
              <w:tc>
                <w:tcPr>
                  <w:tcW w:w="3013" w:type="dxa"/>
                  <w:vMerge w:val="restart"/>
                  <w:tcBorders>
                    <w:top w:val="single" w:color="auto" w:sz="2" w:space="0"/>
                    <w:left w:val="single" w:color="auto" w:sz="2" w:space="0"/>
                  </w:tcBorders>
                  <w:vAlign w:val="center"/>
                </w:tcPr>
                <w:p w14:paraId="300372B9">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满足《污水综合排放标准》（GB8978-1996）表4中三级标准</w:t>
                  </w:r>
                </w:p>
              </w:tc>
            </w:tr>
            <w:tr w14:paraId="7320426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bottom w:val="single" w:color="auto" w:sz="2" w:space="0"/>
                    <w:right w:val="single" w:color="auto" w:sz="2" w:space="0"/>
                  </w:tcBorders>
                  <w:vAlign w:val="center"/>
                </w:tcPr>
                <w:p w14:paraId="621B26C4">
                  <w:pPr>
                    <w:pStyle w:val="58"/>
                    <w:keepNext w:val="0"/>
                    <w:keepLines w:val="0"/>
                    <w:suppressLineNumbers w:val="0"/>
                    <w:spacing w:before="0" w:beforeAutospacing="0" w:after="0" w:afterAutospacing="0"/>
                    <w:ind w:left="0" w:right="0"/>
                    <w:rPr>
                      <w:rFonts w:hint="default"/>
                      <w:color w:val="auto"/>
                    </w:rPr>
                  </w:pPr>
                  <w:r>
                    <w:rPr>
                      <w:rFonts w:hint="eastAsia"/>
                      <w:color w:val="auto"/>
                    </w:rPr>
                    <w:t>2</w:t>
                  </w:r>
                </w:p>
              </w:tc>
              <w:tc>
                <w:tcPr>
                  <w:tcW w:w="1166" w:type="dxa"/>
                  <w:tcBorders>
                    <w:left w:val="single" w:color="auto" w:sz="2" w:space="0"/>
                    <w:bottom w:val="single" w:color="auto" w:sz="2" w:space="0"/>
                    <w:right w:val="single" w:color="auto" w:sz="2" w:space="0"/>
                  </w:tcBorders>
                  <w:vAlign w:val="center"/>
                </w:tcPr>
                <w:p w14:paraId="078F46AB">
                  <w:pPr>
                    <w:pStyle w:val="58"/>
                    <w:keepNext w:val="0"/>
                    <w:keepLines w:val="0"/>
                    <w:suppressLineNumbers w:val="0"/>
                    <w:spacing w:before="0" w:beforeAutospacing="0" w:after="0" w:afterAutospacing="0"/>
                    <w:ind w:left="0" w:right="0"/>
                    <w:rPr>
                      <w:rFonts w:hint="eastAsia"/>
                      <w:color w:val="auto"/>
                    </w:rPr>
                  </w:pPr>
                  <w:r>
                    <w:rPr>
                      <w:rFonts w:hint="eastAsia"/>
                      <w:color w:val="auto"/>
                    </w:rPr>
                    <w:t>生活</w:t>
                  </w:r>
                  <w:r>
                    <w:rPr>
                      <w:rFonts w:hint="default"/>
                      <w:color w:val="auto"/>
                    </w:rPr>
                    <w:t>污水</w:t>
                  </w:r>
                </w:p>
              </w:tc>
              <w:tc>
                <w:tcPr>
                  <w:tcW w:w="3479" w:type="dxa"/>
                  <w:gridSpan w:val="3"/>
                  <w:vMerge w:val="continue"/>
                  <w:tcBorders>
                    <w:left w:val="single" w:color="auto" w:sz="2" w:space="0"/>
                    <w:bottom w:val="single" w:color="auto" w:sz="2" w:space="0"/>
                    <w:right w:val="single" w:color="auto" w:sz="2" w:space="0"/>
                  </w:tcBorders>
                  <w:vAlign w:val="center"/>
                </w:tcPr>
                <w:p w14:paraId="301B32AA">
                  <w:pPr>
                    <w:pStyle w:val="58"/>
                    <w:keepNext w:val="0"/>
                    <w:keepLines w:val="0"/>
                    <w:suppressLineNumbers w:val="0"/>
                    <w:spacing w:before="0" w:beforeAutospacing="0" w:after="0" w:afterAutospacing="0"/>
                    <w:ind w:left="0" w:right="0"/>
                    <w:rPr>
                      <w:rFonts w:hint="eastAsia"/>
                      <w:color w:val="auto"/>
                    </w:rPr>
                  </w:pPr>
                </w:p>
              </w:tc>
              <w:tc>
                <w:tcPr>
                  <w:tcW w:w="3013" w:type="dxa"/>
                  <w:vMerge w:val="continue"/>
                  <w:tcBorders>
                    <w:left w:val="single" w:color="auto" w:sz="2" w:space="0"/>
                    <w:bottom w:val="single" w:color="auto" w:sz="2" w:space="0"/>
                  </w:tcBorders>
                  <w:vAlign w:val="center"/>
                </w:tcPr>
                <w:p w14:paraId="35F79D02">
                  <w:pPr>
                    <w:pStyle w:val="58"/>
                    <w:keepNext w:val="0"/>
                    <w:keepLines w:val="0"/>
                    <w:suppressLineNumbers w:val="0"/>
                    <w:spacing w:before="0" w:beforeAutospacing="0" w:after="0" w:afterAutospacing="0"/>
                    <w:ind w:left="0" w:right="0"/>
                    <w:rPr>
                      <w:rFonts w:hint="eastAsia"/>
                      <w:color w:val="auto"/>
                    </w:rPr>
                  </w:pPr>
                </w:p>
              </w:tc>
            </w:tr>
            <w:tr w14:paraId="51C7167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153B32FC">
                  <w:pPr>
                    <w:pStyle w:val="58"/>
                    <w:keepNext w:val="0"/>
                    <w:keepLines w:val="0"/>
                    <w:suppressLineNumbers w:val="0"/>
                    <w:spacing w:before="0" w:beforeAutospacing="0" w:after="0" w:afterAutospacing="0"/>
                    <w:ind w:left="0" w:right="0"/>
                    <w:rPr>
                      <w:rFonts w:hint="default"/>
                      <w:b/>
                      <w:color w:val="auto"/>
                    </w:rPr>
                  </w:pPr>
                  <w:r>
                    <w:rPr>
                      <w:rFonts w:hint="eastAsia"/>
                      <w:b/>
                      <w:color w:val="auto"/>
                    </w:rPr>
                    <w:t>三</w:t>
                  </w:r>
                </w:p>
              </w:tc>
              <w:tc>
                <w:tcPr>
                  <w:tcW w:w="7658" w:type="dxa"/>
                  <w:gridSpan w:val="5"/>
                  <w:tcBorders>
                    <w:top w:val="single" w:color="auto" w:sz="2" w:space="0"/>
                    <w:left w:val="single" w:color="auto" w:sz="2" w:space="0"/>
                    <w:bottom w:val="single" w:color="auto" w:sz="2" w:space="0"/>
                  </w:tcBorders>
                  <w:vAlign w:val="center"/>
                </w:tcPr>
                <w:p w14:paraId="782B33C0">
                  <w:pPr>
                    <w:pStyle w:val="58"/>
                    <w:keepNext w:val="0"/>
                    <w:keepLines w:val="0"/>
                    <w:suppressLineNumbers w:val="0"/>
                    <w:spacing w:before="0" w:beforeAutospacing="0" w:after="0" w:afterAutospacing="0"/>
                    <w:ind w:left="0" w:right="0"/>
                    <w:rPr>
                      <w:rFonts w:hint="default"/>
                      <w:b/>
                      <w:color w:val="auto"/>
                    </w:rPr>
                  </w:pPr>
                  <w:r>
                    <w:rPr>
                      <w:rFonts w:hint="eastAsia"/>
                      <w:b/>
                      <w:color w:val="auto"/>
                    </w:rPr>
                    <w:t>噪声</w:t>
                  </w:r>
                </w:p>
              </w:tc>
            </w:tr>
            <w:tr w14:paraId="70ADCD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0B691031">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bottom w:val="single" w:color="auto" w:sz="2" w:space="0"/>
                    <w:right w:val="single" w:color="auto" w:sz="4" w:space="0"/>
                  </w:tcBorders>
                  <w:vAlign w:val="center"/>
                </w:tcPr>
                <w:p w14:paraId="59D2CBBE">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设备运行噪声</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2CE0DA0E">
                  <w:pPr>
                    <w:pStyle w:val="58"/>
                    <w:keepNext w:val="0"/>
                    <w:keepLines w:val="0"/>
                    <w:suppressLineNumbers w:val="0"/>
                    <w:spacing w:before="0" w:beforeAutospacing="0" w:after="0" w:afterAutospacing="0"/>
                    <w:ind w:left="0" w:right="0"/>
                    <w:rPr>
                      <w:rFonts w:hint="default"/>
                      <w:color w:val="auto"/>
                    </w:rPr>
                  </w:pPr>
                  <w:r>
                    <w:rPr>
                      <w:rFonts w:hint="eastAsia"/>
                      <w:color w:val="auto"/>
                    </w:rPr>
                    <w:t>低噪声设备、基础减振、厂房隔音等措施</w:t>
                  </w:r>
                </w:p>
              </w:tc>
              <w:tc>
                <w:tcPr>
                  <w:tcW w:w="3013" w:type="dxa"/>
                  <w:tcBorders>
                    <w:top w:val="single" w:color="auto" w:sz="2" w:space="0"/>
                    <w:left w:val="single" w:color="auto" w:sz="4" w:space="0"/>
                    <w:bottom w:val="single" w:color="auto" w:sz="2" w:space="0"/>
                  </w:tcBorders>
                  <w:vAlign w:val="center"/>
                </w:tcPr>
                <w:p w14:paraId="06E18A47">
                  <w:pPr>
                    <w:pStyle w:val="58"/>
                    <w:keepNext w:val="0"/>
                    <w:keepLines w:val="0"/>
                    <w:suppressLineNumbers w:val="0"/>
                    <w:spacing w:before="0" w:beforeAutospacing="0" w:after="0" w:afterAutospacing="0"/>
                    <w:ind w:left="0" w:right="0"/>
                    <w:rPr>
                      <w:rFonts w:hint="default"/>
                      <w:color w:val="auto"/>
                    </w:rPr>
                  </w:pPr>
                  <w:r>
                    <w:rPr>
                      <w:rFonts w:hint="eastAsia"/>
                      <w:color w:val="auto"/>
                    </w:rPr>
                    <w:t>厂界噪声执行《工业企业厂界环境噪声排放标准》（</w:t>
                  </w:r>
                  <w:r>
                    <w:rPr>
                      <w:rFonts w:hint="default"/>
                      <w:color w:val="auto"/>
                    </w:rPr>
                    <w:t>GB12348-2008</w:t>
                  </w:r>
                  <w:r>
                    <w:rPr>
                      <w:rFonts w:hint="eastAsia"/>
                      <w:color w:val="auto"/>
                    </w:rPr>
                    <w:t>）</w:t>
                  </w:r>
                  <w:r>
                    <w:rPr>
                      <w:rFonts w:hint="eastAsia"/>
                      <w:color w:val="auto"/>
                      <w:lang w:val="en-US" w:eastAsia="zh-CN"/>
                    </w:rPr>
                    <w:t>3</w:t>
                  </w:r>
                  <w:r>
                    <w:rPr>
                      <w:rFonts w:hint="eastAsia"/>
                      <w:color w:val="auto"/>
                    </w:rPr>
                    <w:t>类标准</w:t>
                  </w:r>
                </w:p>
              </w:tc>
            </w:tr>
            <w:tr w14:paraId="0B05B6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7113CDC9">
                  <w:pPr>
                    <w:pStyle w:val="58"/>
                    <w:keepNext w:val="0"/>
                    <w:keepLines w:val="0"/>
                    <w:suppressLineNumbers w:val="0"/>
                    <w:spacing w:before="0" w:beforeAutospacing="0" w:after="0" w:afterAutospacing="0"/>
                    <w:ind w:left="0" w:right="0"/>
                    <w:rPr>
                      <w:rFonts w:hint="default"/>
                      <w:b/>
                      <w:color w:val="auto"/>
                    </w:rPr>
                  </w:pPr>
                  <w:r>
                    <w:rPr>
                      <w:rFonts w:hint="eastAsia"/>
                      <w:b/>
                      <w:color w:val="auto"/>
                    </w:rPr>
                    <w:t>四</w:t>
                  </w:r>
                </w:p>
              </w:tc>
              <w:tc>
                <w:tcPr>
                  <w:tcW w:w="7658" w:type="dxa"/>
                  <w:gridSpan w:val="5"/>
                  <w:tcBorders>
                    <w:top w:val="single" w:color="auto" w:sz="2" w:space="0"/>
                    <w:left w:val="single" w:color="auto" w:sz="2" w:space="0"/>
                    <w:bottom w:val="single" w:color="auto" w:sz="2" w:space="0"/>
                  </w:tcBorders>
                  <w:vAlign w:val="center"/>
                </w:tcPr>
                <w:p w14:paraId="192A1954">
                  <w:pPr>
                    <w:pStyle w:val="58"/>
                    <w:keepNext w:val="0"/>
                    <w:keepLines w:val="0"/>
                    <w:suppressLineNumbers w:val="0"/>
                    <w:spacing w:before="0" w:beforeAutospacing="0" w:after="0" w:afterAutospacing="0"/>
                    <w:ind w:left="0" w:right="0"/>
                    <w:rPr>
                      <w:rFonts w:hint="default"/>
                      <w:b/>
                      <w:color w:val="auto"/>
                    </w:rPr>
                  </w:pPr>
                  <w:r>
                    <w:rPr>
                      <w:rFonts w:hint="eastAsia"/>
                      <w:b/>
                      <w:color w:val="auto"/>
                    </w:rPr>
                    <w:t>固体废物</w:t>
                  </w:r>
                </w:p>
              </w:tc>
            </w:tr>
            <w:tr w14:paraId="4FEE19B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60488B15">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bottom w:val="single" w:color="auto" w:sz="2" w:space="0"/>
                    <w:right w:val="single" w:color="auto" w:sz="4" w:space="0"/>
                  </w:tcBorders>
                  <w:vAlign w:val="center"/>
                </w:tcPr>
                <w:p w14:paraId="40C8A30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上料除尘灰</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498D3413">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color w:val="auto"/>
                    </w:rPr>
                  </w:pPr>
                  <w:r>
                    <w:rPr>
                      <w:rFonts w:hint="eastAsia" w:ascii="Times New Roman" w:hAnsi="Times New Roman" w:eastAsia="宋体" w:cs="Times New Roman"/>
                      <w:color w:val="auto"/>
                      <w:sz w:val="21"/>
                      <w:szCs w:val="21"/>
                      <w:lang w:val="en-US" w:eastAsia="zh-CN" w:bidi="en-US"/>
                    </w:rPr>
                    <w:t>收集后还用于周边农田</w:t>
                  </w:r>
                </w:p>
              </w:tc>
              <w:tc>
                <w:tcPr>
                  <w:tcW w:w="3013" w:type="dxa"/>
                  <w:vMerge w:val="restart"/>
                  <w:tcBorders>
                    <w:top w:val="single" w:color="auto" w:sz="2" w:space="0"/>
                    <w:left w:val="single" w:color="auto" w:sz="4" w:space="0"/>
                  </w:tcBorders>
                  <w:vAlign w:val="center"/>
                </w:tcPr>
                <w:p w14:paraId="479E4720">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处置率</w:t>
                  </w:r>
                  <w:r>
                    <w:rPr>
                      <w:rFonts w:hint="eastAsia"/>
                      <w:color w:val="auto"/>
                      <w:lang w:val="en-US" w:eastAsia="zh-CN"/>
                    </w:rPr>
                    <w:t>100%</w:t>
                  </w:r>
                </w:p>
              </w:tc>
            </w:tr>
            <w:tr w14:paraId="6B3ACE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244E50AD">
                  <w:pPr>
                    <w:pStyle w:val="58"/>
                    <w:keepNext w:val="0"/>
                    <w:keepLines w:val="0"/>
                    <w:suppressLineNumbers w:val="0"/>
                    <w:spacing w:before="0" w:beforeAutospacing="0" w:after="0" w:afterAutospacing="0"/>
                    <w:ind w:left="0" w:right="0"/>
                    <w:rPr>
                      <w:rFonts w:hint="default"/>
                      <w:color w:val="auto"/>
                    </w:rPr>
                  </w:pPr>
                  <w:r>
                    <w:rPr>
                      <w:rFonts w:hint="default"/>
                      <w:color w:val="auto"/>
                    </w:rPr>
                    <w:t>2</w:t>
                  </w:r>
                </w:p>
              </w:tc>
              <w:tc>
                <w:tcPr>
                  <w:tcW w:w="1166" w:type="dxa"/>
                  <w:tcBorders>
                    <w:top w:val="single" w:color="auto" w:sz="2" w:space="0"/>
                    <w:left w:val="single" w:color="auto" w:sz="2" w:space="0"/>
                    <w:bottom w:val="single" w:color="auto" w:sz="2" w:space="0"/>
                    <w:right w:val="single" w:color="auto" w:sz="4" w:space="0"/>
                  </w:tcBorders>
                  <w:vAlign w:val="center"/>
                </w:tcPr>
                <w:p w14:paraId="26F759A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炭化和机制炭除尘灰</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633140E6">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color w:val="auto"/>
                    </w:rPr>
                  </w:pPr>
                  <w:r>
                    <w:rPr>
                      <w:rFonts w:hint="eastAsia" w:ascii="Times New Roman" w:hAnsi="Times New Roman" w:eastAsia="宋体" w:cs="Times New Roman"/>
                      <w:color w:val="auto"/>
                      <w:sz w:val="21"/>
                      <w:szCs w:val="21"/>
                      <w:lang w:val="en-US" w:eastAsia="zh-CN" w:bidi="en-US"/>
                    </w:rPr>
                    <w:t>收集后洒入棉杆基炭中回用于机制和成型工段</w:t>
                  </w:r>
                </w:p>
              </w:tc>
              <w:tc>
                <w:tcPr>
                  <w:tcW w:w="3013" w:type="dxa"/>
                  <w:vMerge w:val="continue"/>
                  <w:tcBorders>
                    <w:left w:val="single" w:color="auto" w:sz="4" w:space="0"/>
                  </w:tcBorders>
                  <w:vAlign w:val="center"/>
                </w:tcPr>
                <w:p w14:paraId="08203C0A">
                  <w:pPr>
                    <w:pStyle w:val="58"/>
                    <w:keepNext w:val="0"/>
                    <w:keepLines w:val="0"/>
                    <w:suppressLineNumbers w:val="0"/>
                    <w:spacing w:before="0" w:beforeAutospacing="0" w:after="0" w:afterAutospacing="0"/>
                    <w:ind w:left="0" w:right="0"/>
                    <w:rPr>
                      <w:rFonts w:hint="default"/>
                      <w:color w:val="auto"/>
                    </w:rPr>
                  </w:pPr>
                </w:p>
              </w:tc>
            </w:tr>
            <w:tr w14:paraId="5ED791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7B82E465">
                  <w:pPr>
                    <w:pStyle w:val="58"/>
                    <w:keepNext w:val="0"/>
                    <w:keepLines w:val="0"/>
                    <w:suppressLineNumbers w:val="0"/>
                    <w:spacing w:before="0" w:beforeAutospacing="0" w:after="0" w:afterAutospacing="0"/>
                    <w:ind w:left="0" w:right="0"/>
                    <w:rPr>
                      <w:rFonts w:hint="default"/>
                      <w:color w:val="auto"/>
                    </w:rPr>
                  </w:pPr>
                  <w:r>
                    <w:rPr>
                      <w:rFonts w:hint="eastAsia"/>
                      <w:color w:val="auto"/>
                    </w:rPr>
                    <w:t>3</w:t>
                  </w:r>
                </w:p>
              </w:tc>
              <w:tc>
                <w:tcPr>
                  <w:tcW w:w="1166" w:type="dxa"/>
                  <w:tcBorders>
                    <w:top w:val="single" w:color="auto" w:sz="2" w:space="0"/>
                    <w:left w:val="single" w:color="auto" w:sz="2" w:space="0"/>
                    <w:bottom w:val="single" w:color="auto" w:sz="2" w:space="0"/>
                    <w:right w:val="single" w:color="auto" w:sz="4" w:space="0"/>
                  </w:tcBorders>
                  <w:vAlign w:val="center"/>
                </w:tcPr>
                <w:p w14:paraId="3468858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废离子交换树脂</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55240E4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由设备维护厂家回收</w:t>
                  </w:r>
                </w:p>
              </w:tc>
              <w:tc>
                <w:tcPr>
                  <w:tcW w:w="3013" w:type="dxa"/>
                  <w:vMerge w:val="continue"/>
                  <w:tcBorders>
                    <w:left w:val="single" w:color="auto" w:sz="4" w:space="0"/>
                  </w:tcBorders>
                  <w:vAlign w:val="center"/>
                </w:tcPr>
                <w:p w14:paraId="5848B125">
                  <w:pPr>
                    <w:pStyle w:val="58"/>
                    <w:keepNext w:val="0"/>
                    <w:keepLines w:val="0"/>
                    <w:suppressLineNumbers w:val="0"/>
                    <w:spacing w:before="0" w:beforeAutospacing="0" w:after="0" w:afterAutospacing="0"/>
                    <w:ind w:left="0" w:right="0"/>
                    <w:rPr>
                      <w:rFonts w:hint="default"/>
                      <w:color w:val="auto"/>
                    </w:rPr>
                  </w:pPr>
                </w:p>
              </w:tc>
            </w:tr>
            <w:tr w14:paraId="029FA5D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4AA25EA4">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4</w:t>
                  </w:r>
                </w:p>
              </w:tc>
              <w:tc>
                <w:tcPr>
                  <w:tcW w:w="1166" w:type="dxa"/>
                  <w:tcBorders>
                    <w:top w:val="single" w:color="auto" w:sz="2" w:space="0"/>
                    <w:left w:val="single" w:color="auto" w:sz="2" w:space="0"/>
                    <w:bottom w:val="single" w:color="auto" w:sz="2" w:space="0"/>
                    <w:right w:val="single" w:color="auto" w:sz="4" w:space="0"/>
                  </w:tcBorders>
                  <w:vAlign w:val="center"/>
                </w:tcPr>
                <w:p w14:paraId="3F9A53F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脱硫石膏</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2F2102C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收集后作为建筑材料外售</w:t>
                  </w:r>
                </w:p>
              </w:tc>
              <w:tc>
                <w:tcPr>
                  <w:tcW w:w="3013" w:type="dxa"/>
                  <w:vMerge w:val="continue"/>
                  <w:tcBorders>
                    <w:left w:val="single" w:color="auto" w:sz="4" w:space="0"/>
                  </w:tcBorders>
                  <w:vAlign w:val="center"/>
                </w:tcPr>
                <w:p w14:paraId="46F6BE0D">
                  <w:pPr>
                    <w:pStyle w:val="58"/>
                    <w:keepNext w:val="0"/>
                    <w:keepLines w:val="0"/>
                    <w:suppressLineNumbers w:val="0"/>
                    <w:spacing w:before="0" w:beforeAutospacing="0" w:after="0" w:afterAutospacing="0"/>
                    <w:ind w:left="0" w:right="0"/>
                    <w:rPr>
                      <w:rFonts w:hint="default"/>
                      <w:color w:val="auto"/>
                    </w:rPr>
                  </w:pPr>
                </w:p>
              </w:tc>
            </w:tr>
            <w:tr w14:paraId="470CDA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14:paraId="2EC3420F">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5</w:t>
                  </w:r>
                </w:p>
              </w:tc>
              <w:tc>
                <w:tcPr>
                  <w:tcW w:w="1166" w:type="dxa"/>
                  <w:tcBorders>
                    <w:top w:val="single" w:color="auto" w:sz="2" w:space="0"/>
                    <w:left w:val="single" w:color="auto" w:sz="2" w:space="0"/>
                    <w:bottom w:val="single" w:color="auto" w:sz="2" w:space="0"/>
                    <w:right w:val="single" w:color="auto" w:sz="4" w:space="0"/>
                  </w:tcBorders>
                  <w:vAlign w:val="center"/>
                </w:tcPr>
                <w:p w14:paraId="76CFB5B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废机油</w:t>
                  </w:r>
                </w:p>
                <w:p w14:paraId="12470C0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val="en-US" w:eastAsia="zh-CN"/>
                    </w:rPr>
                    <w:t>HW08 900-249-08</w:t>
                  </w:r>
                </w:p>
              </w:tc>
              <w:tc>
                <w:tcPr>
                  <w:tcW w:w="3479" w:type="dxa"/>
                  <w:gridSpan w:val="3"/>
                  <w:tcBorders>
                    <w:top w:val="single" w:color="auto" w:sz="2" w:space="0"/>
                    <w:left w:val="single" w:color="auto" w:sz="4" w:space="0"/>
                    <w:bottom w:val="single" w:color="auto" w:sz="2" w:space="0"/>
                    <w:right w:val="single" w:color="auto" w:sz="4" w:space="0"/>
                  </w:tcBorders>
                  <w:vAlign w:val="center"/>
                </w:tcPr>
                <w:p w14:paraId="2F9F33A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宋体"/>
                      <w:color w:val="auto"/>
                      <w:lang w:bidi="ar"/>
                    </w:rPr>
                  </w:pPr>
                  <w:r>
                    <w:rPr>
                      <w:rFonts w:hint="eastAsia" w:cs="Times New Roman"/>
                      <w:color w:val="auto"/>
                      <w:spacing w:val="-6"/>
                      <w:sz w:val="21"/>
                      <w:szCs w:val="21"/>
                      <w:highlight w:val="none"/>
                      <w:lang w:eastAsia="zh-CN"/>
                    </w:rPr>
                    <w:t>危险废物暂存间收集后由有资质的单位清运处置</w:t>
                  </w:r>
                </w:p>
              </w:tc>
              <w:tc>
                <w:tcPr>
                  <w:tcW w:w="3013" w:type="dxa"/>
                  <w:vMerge w:val="continue"/>
                  <w:tcBorders>
                    <w:left w:val="single" w:color="auto" w:sz="4" w:space="0"/>
                  </w:tcBorders>
                  <w:vAlign w:val="center"/>
                </w:tcPr>
                <w:p w14:paraId="51AB8E7D">
                  <w:pPr>
                    <w:pStyle w:val="58"/>
                    <w:keepNext w:val="0"/>
                    <w:keepLines w:val="0"/>
                    <w:suppressLineNumbers w:val="0"/>
                    <w:spacing w:before="0" w:beforeAutospacing="0" w:after="0" w:afterAutospacing="0"/>
                    <w:ind w:left="0" w:right="0"/>
                    <w:rPr>
                      <w:rFonts w:hint="default"/>
                      <w:color w:val="auto"/>
                    </w:rPr>
                  </w:pPr>
                </w:p>
              </w:tc>
            </w:tr>
            <w:tr w14:paraId="388624C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48" w:type="dxa"/>
                  <w:tcBorders>
                    <w:top w:val="single" w:color="auto" w:sz="2" w:space="0"/>
                    <w:right w:val="single" w:color="auto" w:sz="2" w:space="0"/>
                  </w:tcBorders>
                  <w:vAlign w:val="center"/>
                </w:tcPr>
                <w:p w14:paraId="5E722AA5">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6</w:t>
                  </w:r>
                </w:p>
              </w:tc>
              <w:tc>
                <w:tcPr>
                  <w:tcW w:w="1166" w:type="dxa"/>
                  <w:tcBorders>
                    <w:top w:val="single" w:color="auto" w:sz="2" w:space="0"/>
                    <w:left w:val="single" w:color="auto" w:sz="2" w:space="0"/>
                    <w:right w:val="single" w:color="auto" w:sz="4" w:space="0"/>
                  </w:tcBorders>
                  <w:vAlign w:val="center"/>
                </w:tcPr>
                <w:p w14:paraId="5052DD0C">
                  <w:pPr>
                    <w:pStyle w:val="58"/>
                    <w:keepNext w:val="0"/>
                    <w:keepLines w:val="0"/>
                    <w:suppressLineNumbers w:val="0"/>
                    <w:spacing w:before="0" w:beforeAutospacing="0" w:after="0" w:afterAutospacing="0"/>
                    <w:ind w:left="0" w:right="0"/>
                    <w:rPr>
                      <w:rFonts w:hint="default"/>
                      <w:color w:val="auto"/>
                    </w:rPr>
                  </w:pPr>
                  <w:r>
                    <w:rPr>
                      <w:rFonts w:hint="eastAsia"/>
                      <w:color w:val="auto"/>
                    </w:rPr>
                    <w:t>生活垃圾</w:t>
                  </w:r>
                </w:p>
              </w:tc>
              <w:tc>
                <w:tcPr>
                  <w:tcW w:w="3479" w:type="dxa"/>
                  <w:gridSpan w:val="3"/>
                  <w:tcBorders>
                    <w:top w:val="single" w:color="auto" w:sz="2" w:space="0"/>
                    <w:left w:val="single" w:color="auto" w:sz="4" w:space="0"/>
                    <w:right w:val="single" w:color="auto" w:sz="4" w:space="0"/>
                  </w:tcBorders>
                  <w:vAlign w:val="center"/>
                </w:tcPr>
                <w:p w14:paraId="73AEACB4">
                  <w:pPr>
                    <w:pStyle w:val="58"/>
                    <w:keepNext w:val="0"/>
                    <w:keepLines w:val="0"/>
                    <w:suppressLineNumbers w:val="0"/>
                    <w:spacing w:before="0" w:beforeAutospacing="0" w:after="0" w:afterAutospacing="0"/>
                    <w:ind w:left="0" w:right="0"/>
                    <w:rPr>
                      <w:rFonts w:hint="default"/>
                      <w:color w:val="auto"/>
                    </w:rPr>
                  </w:pPr>
                  <w:r>
                    <w:rPr>
                      <w:rFonts w:hint="eastAsia" w:cs="宋体"/>
                      <w:color w:val="auto"/>
                      <w:lang w:bidi="ar"/>
                    </w:rPr>
                    <w:t>厂区设置垃圾</w:t>
                  </w:r>
                  <w:r>
                    <w:rPr>
                      <w:rFonts w:hint="default" w:cs="宋体"/>
                      <w:color w:val="auto"/>
                      <w:lang w:bidi="ar"/>
                    </w:rPr>
                    <w:t>桶</w:t>
                  </w:r>
                  <w:r>
                    <w:rPr>
                      <w:rFonts w:hint="eastAsia" w:cs="宋体"/>
                      <w:color w:val="auto"/>
                      <w:lang w:bidi="ar"/>
                    </w:rPr>
                    <w:t>，</w:t>
                  </w:r>
                  <w:r>
                    <w:rPr>
                      <w:rFonts w:hint="default" w:cs="宋体"/>
                      <w:color w:val="auto"/>
                      <w:lang w:bidi="ar"/>
                    </w:rPr>
                    <w:t>生活垃圾经集中收集后</w:t>
                  </w:r>
                  <w:r>
                    <w:rPr>
                      <w:rFonts w:hint="eastAsia" w:cs="宋体"/>
                      <w:color w:val="auto"/>
                      <w:lang w:bidi="ar"/>
                    </w:rPr>
                    <w:t>，</w:t>
                  </w:r>
                  <w:r>
                    <w:rPr>
                      <w:rFonts w:hint="default" w:cs="宋体"/>
                      <w:color w:val="auto"/>
                      <w:lang w:bidi="ar"/>
                    </w:rPr>
                    <w:t>定期</w:t>
                  </w:r>
                  <w:r>
                    <w:rPr>
                      <w:rFonts w:hint="eastAsia" w:cs="宋体"/>
                      <w:color w:val="auto"/>
                      <w:lang w:bidi="ar"/>
                    </w:rPr>
                    <w:t>拉运至</w:t>
                  </w:r>
                  <w:r>
                    <w:rPr>
                      <w:rFonts w:hint="default" w:cs="宋体"/>
                      <w:color w:val="auto"/>
                      <w:lang w:bidi="ar"/>
                    </w:rPr>
                    <w:t>垃圾</w:t>
                  </w:r>
                  <w:r>
                    <w:rPr>
                      <w:rFonts w:hint="eastAsia" w:cs="宋体"/>
                      <w:color w:val="auto"/>
                      <w:lang w:bidi="ar"/>
                    </w:rPr>
                    <w:t>填埋场处理。</w:t>
                  </w:r>
                </w:p>
              </w:tc>
              <w:tc>
                <w:tcPr>
                  <w:tcW w:w="3013" w:type="dxa"/>
                  <w:vMerge w:val="continue"/>
                  <w:tcBorders>
                    <w:left w:val="single" w:color="auto" w:sz="4" w:space="0"/>
                  </w:tcBorders>
                  <w:vAlign w:val="center"/>
                </w:tcPr>
                <w:p w14:paraId="50CF09DD">
                  <w:pPr>
                    <w:pStyle w:val="58"/>
                    <w:keepNext w:val="0"/>
                    <w:keepLines w:val="0"/>
                    <w:suppressLineNumbers w:val="0"/>
                    <w:spacing w:before="0" w:beforeAutospacing="0" w:after="0" w:afterAutospacing="0"/>
                    <w:ind w:left="0" w:right="0"/>
                    <w:rPr>
                      <w:rFonts w:hint="default"/>
                      <w:color w:val="auto"/>
                    </w:rPr>
                  </w:pPr>
                </w:p>
              </w:tc>
            </w:tr>
          </w:tbl>
          <w:p w14:paraId="456B3662">
            <w:pPr>
              <w:pStyle w:val="2"/>
              <w:rPr>
                <w:rFonts w:ascii="宋体" w:hAnsi="宋体" w:cs="宋体"/>
                <w:bCs/>
                <w:color w:val="auto"/>
                <w:spacing w:val="-10"/>
                <w:szCs w:val="21"/>
              </w:rPr>
            </w:pPr>
          </w:p>
          <w:p w14:paraId="7B9FEBEC">
            <w:pPr>
              <w:tabs>
                <w:tab w:val="center" w:pos="4736"/>
              </w:tabs>
              <w:spacing w:line="480" w:lineRule="exact"/>
              <w:rPr>
                <w:rFonts w:ascii="宋体" w:hAnsi="宋体" w:cs="宋体"/>
                <w:bCs/>
                <w:color w:val="auto"/>
                <w:spacing w:val="-10"/>
                <w:szCs w:val="21"/>
              </w:rPr>
            </w:pPr>
          </w:p>
        </w:tc>
      </w:tr>
    </w:tbl>
    <w:p w14:paraId="5D7BC9C3">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cols w:space="720" w:num="1"/>
          <w:docGrid w:linePitch="312" w:charSpace="0"/>
        </w:sectPr>
      </w:pPr>
    </w:p>
    <w:p w14:paraId="78A0B59A">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9" w:name="_Hlk54167917"/>
      <w:r>
        <w:rPr>
          <w:rFonts w:hint="eastAsia" w:ascii="黑体" w:hAnsi="黑体" w:eastAsia="黑体"/>
          <w:snapToGrid w:val="0"/>
          <w:color w:val="auto"/>
          <w:sz w:val="30"/>
          <w:szCs w:val="30"/>
        </w:rPr>
        <w:t>环境保护措施监督检查清单</w:t>
      </w:r>
      <w:bookmarkEnd w:id="9"/>
    </w:p>
    <w:tbl>
      <w:tblPr>
        <w:tblStyle w:val="22"/>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850"/>
        <w:gridCol w:w="2694"/>
        <w:gridCol w:w="2726"/>
      </w:tblGrid>
      <w:tr w14:paraId="0F45B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l2br w:val="single" w:color="auto" w:sz="4" w:space="0"/>
            </w:tcBorders>
          </w:tcPr>
          <w:p w14:paraId="6AE45932">
            <w:pPr>
              <w:adjustRightInd w:val="0"/>
              <w:snapToGrid w:val="0"/>
              <w:rPr>
                <w:color w:val="auto"/>
                <w:szCs w:val="21"/>
              </w:rPr>
            </w:pPr>
            <w:r>
              <w:rPr>
                <w:rFonts w:hint="eastAsia" w:hAnsi="宋体"/>
                <w:color w:val="auto"/>
                <w:szCs w:val="21"/>
              </w:rPr>
              <w:t xml:space="preserve">  </w:t>
            </w:r>
            <w:r>
              <w:rPr>
                <w:rFonts w:hAnsi="宋体"/>
                <w:color w:val="auto"/>
                <w:szCs w:val="21"/>
              </w:rPr>
              <w:t>内容</w:t>
            </w:r>
          </w:p>
          <w:p w14:paraId="08EE6FAE">
            <w:pPr>
              <w:adjustRightInd w:val="0"/>
              <w:snapToGrid w:val="0"/>
              <w:rPr>
                <w:color w:val="auto"/>
                <w:szCs w:val="21"/>
              </w:rPr>
            </w:pPr>
            <w:r>
              <w:rPr>
                <w:rFonts w:hAnsi="宋体"/>
                <w:color w:val="auto"/>
                <w:szCs w:val="21"/>
              </w:rPr>
              <w:t>要素</w:t>
            </w:r>
          </w:p>
        </w:tc>
        <w:tc>
          <w:tcPr>
            <w:tcW w:w="1559" w:type="dxa"/>
            <w:vAlign w:val="center"/>
          </w:tcPr>
          <w:p w14:paraId="036571BE">
            <w:pPr>
              <w:adjustRightInd w:val="0"/>
              <w:snapToGrid w:val="0"/>
              <w:jc w:val="center"/>
              <w:rPr>
                <w:color w:val="auto"/>
                <w:szCs w:val="21"/>
              </w:rPr>
            </w:pPr>
            <w:r>
              <w:rPr>
                <w:rFonts w:hAnsi="宋体"/>
                <w:color w:val="auto"/>
                <w:szCs w:val="21"/>
              </w:rPr>
              <w:t>排放口</w:t>
            </w:r>
            <w:r>
              <w:rPr>
                <w:color w:val="auto"/>
                <w:szCs w:val="21"/>
              </w:rPr>
              <w:t>(</w:t>
            </w:r>
            <w:r>
              <w:rPr>
                <w:rFonts w:hAnsi="宋体"/>
                <w:color w:val="auto"/>
                <w:szCs w:val="21"/>
              </w:rPr>
              <w:t>编号、</w:t>
            </w:r>
          </w:p>
          <w:p w14:paraId="3D3E0CF5">
            <w:pPr>
              <w:adjustRightInd w:val="0"/>
              <w:snapToGrid w:val="0"/>
              <w:jc w:val="center"/>
              <w:rPr>
                <w:color w:val="auto"/>
                <w:szCs w:val="21"/>
              </w:rPr>
            </w:pPr>
            <w:r>
              <w:rPr>
                <w:rFonts w:hAnsi="宋体"/>
                <w:color w:val="auto"/>
                <w:szCs w:val="21"/>
              </w:rPr>
              <w:t>名称</w:t>
            </w:r>
            <w:r>
              <w:rPr>
                <w:color w:val="auto"/>
                <w:szCs w:val="21"/>
              </w:rPr>
              <w:t>)/</w:t>
            </w:r>
            <w:r>
              <w:rPr>
                <w:rFonts w:hAnsi="宋体"/>
                <w:color w:val="auto"/>
                <w:szCs w:val="21"/>
              </w:rPr>
              <w:t>污染源</w:t>
            </w:r>
          </w:p>
        </w:tc>
        <w:tc>
          <w:tcPr>
            <w:tcW w:w="850" w:type="dxa"/>
            <w:vAlign w:val="center"/>
          </w:tcPr>
          <w:p w14:paraId="03551895">
            <w:pPr>
              <w:adjustRightInd w:val="0"/>
              <w:snapToGrid w:val="0"/>
              <w:jc w:val="center"/>
              <w:rPr>
                <w:color w:val="auto"/>
                <w:szCs w:val="21"/>
              </w:rPr>
            </w:pPr>
            <w:r>
              <w:rPr>
                <w:rFonts w:hAnsi="宋体"/>
                <w:color w:val="auto"/>
                <w:szCs w:val="21"/>
              </w:rPr>
              <w:t>污染物项目</w:t>
            </w:r>
          </w:p>
        </w:tc>
        <w:tc>
          <w:tcPr>
            <w:tcW w:w="2694" w:type="dxa"/>
            <w:vAlign w:val="center"/>
          </w:tcPr>
          <w:p w14:paraId="38109E2C">
            <w:pPr>
              <w:adjustRightInd w:val="0"/>
              <w:snapToGrid w:val="0"/>
              <w:jc w:val="center"/>
              <w:rPr>
                <w:color w:val="auto"/>
                <w:szCs w:val="21"/>
              </w:rPr>
            </w:pPr>
            <w:r>
              <w:rPr>
                <w:rFonts w:hAnsi="宋体"/>
                <w:color w:val="auto"/>
                <w:szCs w:val="21"/>
              </w:rPr>
              <w:t>环境保护措施</w:t>
            </w:r>
          </w:p>
        </w:tc>
        <w:tc>
          <w:tcPr>
            <w:tcW w:w="2726" w:type="dxa"/>
            <w:vAlign w:val="center"/>
          </w:tcPr>
          <w:p w14:paraId="78803A30">
            <w:pPr>
              <w:adjustRightInd w:val="0"/>
              <w:snapToGrid w:val="0"/>
              <w:jc w:val="center"/>
              <w:rPr>
                <w:color w:val="auto"/>
                <w:szCs w:val="21"/>
              </w:rPr>
            </w:pPr>
            <w:r>
              <w:rPr>
                <w:rFonts w:hAnsi="宋体"/>
                <w:color w:val="auto"/>
                <w:szCs w:val="21"/>
              </w:rPr>
              <w:t>执行标准</w:t>
            </w:r>
          </w:p>
        </w:tc>
      </w:tr>
      <w:tr w14:paraId="07B2A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restart"/>
            <w:vAlign w:val="center"/>
          </w:tcPr>
          <w:p w14:paraId="202F0AD9">
            <w:pPr>
              <w:adjustRightInd w:val="0"/>
              <w:snapToGrid w:val="0"/>
              <w:jc w:val="center"/>
              <w:rPr>
                <w:color w:val="auto"/>
                <w:szCs w:val="21"/>
              </w:rPr>
            </w:pPr>
            <w:r>
              <w:rPr>
                <w:rFonts w:hAnsi="宋体"/>
                <w:color w:val="auto"/>
                <w:szCs w:val="21"/>
              </w:rPr>
              <w:t>大气环境</w:t>
            </w:r>
          </w:p>
        </w:tc>
        <w:tc>
          <w:tcPr>
            <w:tcW w:w="1559" w:type="dxa"/>
            <w:vAlign w:val="center"/>
          </w:tcPr>
          <w:p w14:paraId="6EC646B3">
            <w:pPr>
              <w:pStyle w:val="58"/>
              <w:keepNext w:val="0"/>
              <w:keepLines w:val="0"/>
              <w:suppressLineNumbers w:val="0"/>
              <w:spacing w:before="0" w:beforeAutospacing="0" w:after="0" w:afterAutospacing="0"/>
              <w:ind w:left="0" w:leftChars="0" w:right="0" w:rightChars="0"/>
              <w:rPr>
                <w:color w:val="auto"/>
                <w:szCs w:val="21"/>
              </w:rPr>
            </w:pPr>
            <w:r>
              <w:rPr>
                <w:rFonts w:hint="eastAsia"/>
                <w:color w:val="auto"/>
                <w:lang w:val="en-US" w:eastAsia="zh-CN"/>
              </w:rPr>
              <w:t>1~4#炭化炉烟气排放口DA001</w:t>
            </w:r>
          </w:p>
        </w:tc>
        <w:tc>
          <w:tcPr>
            <w:tcW w:w="850" w:type="dxa"/>
            <w:vAlign w:val="center"/>
          </w:tcPr>
          <w:p w14:paraId="0DA58F34">
            <w:pPr>
              <w:adjustRightInd w:val="0"/>
              <w:snapToGrid w:val="0"/>
              <w:jc w:val="center"/>
              <w:rPr>
                <w:color w:val="auto"/>
                <w:szCs w:val="21"/>
              </w:rPr>
            </w:pPr>
            <w:r>
              <w:rPr>
                <w:bCs/>
                <w:color w:val="auto"/>
                <w:szCs w:val="21"/>
              </w:rPr>
              <w:t>SO</w:t>
            </w:r>
            <w:r>
              <w:rPr>
                <w:bCs/>
                <w:color w:val="auto"/>
                <w:szCs w:val="21"/>
                <w:vertAlign w:val="subscript"/>
              </w:rPr>
              <w:t>2</w:t>
            </w:r>
            <w:r>
              <w:rPr>
                <w:rFonts w:hint="eastAsia"/>
                <w:bCs/>
                <w:color w:val="auto"/>
                <w:szCs w:val="21"/>
              </w:rPr>
              <w:t>、</w:t>
            </w:r>
            <w:r>
              <w:rPr>
                <w:bCs/>
                <w:color w:val="auto"/>
                <w:szCs w:val="21"/>
              </w:rPr>
              <w:t>NOx</w:t>
            </w:r>
            <w:r>
              <w:rPr>
                <w:rFonts w:hint="eastAsia"/>
                <w:bCs/>
                <w:color w:val="auto"/>
                <w:szCs w:val="21"/>
              </w:rPr>
              <w:t>、颗粒物</w:t>
            </w:r>
          </w:p>
        </w:tc>
        <w:tc>
          <w:tcPr>
            <w:tcW w:w="2694" w:type="dxa"/>
            <w:vAlign w:val="center"/>
          </w:tcPr>
          <w:p w14:paraId="7BFD30B3">
            <w:pPr>
              <w:pStyle w:val="58"/>
              <w:keepNext w:val="0"/>
              <w:keepLines w:val="0"/>
              <w:suppressLineNumbers w:val="0"/>
              <w:spacing w:before="0" w:beforeAutospacing="0" w:after="0" w:afterAutospacing="0"/>
              <w:ind w:left="0" w:leftChars="0" w:right="0" w:rightChars="0"/>
              <w:jc w:val="center"/>
              <w:rPr>
                <w:rFonts w:eastAsiaTheme="minorEastAsia"/>
                <w:color w:val="auto"/>
                <w:kern w:val="0"/>
                <w:szCs w:val="21"/>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2726" w:type="dxa"/>
            <w:vMerge w:val="restart"/>
            <w:vAlign w:val="center"/>
          </w:tcPr>
          <w:p w14:paraId="46010B8E">
            <w:pPr>
              <w:jc w:val="center"/>
              <w:rPr>
                <w:bCs/>
                <w:color w:val="auto"/>
                <w:szCs w:val="21"/>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《关于印发&lt;新疆维吾尔自治区工业炉窑大气污染综合治理方案&gt;的通知》（新大气发〔2019〕127号）中第三条“重点区域原则上按照颗粒物、二氧化硫、氮氧化物排放限值分别不高于30、200、300毫克/立方米”</w:t>
            </w:r>
          </w:p>
        </w:tc>
      </w:tr>
      <w:tr w14:paraId="413E1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4224F95B">
            <w:pPr>
              <w:adjustRightInd w:val="0"/>
              <w:snapToGrid w:val="0"/>
              <w:jc w:val="center"/>
              <w:rPr>
                <w:color w:val="auto"/>
                <w:szCs w:val="21"/>
              </w:rPr>
            </w:pPr>
          </w:p>
        </w:tc>
        <w:tc>
          <w:tcPr>
            <w:tcW w:w="1559" w:type="dxa"/>
            <w:vAlign w:val="center"/>
          </w:tcPr>
          <w:p w14:paraId="5427B922">
            <w:pPr>
              <w:pStyle w:val="58"/>
              <w:keepNext w:val="0"/>
              <w:keepLines w:val="0"/>
              <w:suppressLineNumbers w:val="0"/>
              <w:spacing w:before="0" w:beforeAutospacing="0" w:after="0" w:afterAutospacing="0"/>
              <w:ind w:left="0" w:leftChars="0" w:right="0" w:rightChars="0"/>
              <w:rPr>
                <w:bCs/>
                <w:color w:val="auto"/>
                <w:szCs w:val="21"/>
              </w:rPr>
            </w:pPr>
            <w:r>
              <w:rPr>
                <w:rFonts w:hint="eastAsia"/>
                <w:color w:val="auto"/>
                <w:lang w:val="en-US" w:eastAsia="zh-CN"/>
              </w:rPr>
              <w:t>5~20#炭化炉烟气排放口DA002</w:t>
            </w:r>
          </w:p>
        </w:tc>
        <w:tc>
          <w:tcPr>
            <w:tcW w:w="850" w:type="dxa"/>
            <w:vAlign w:val="center"/>
          </w:tcPr>
          <w:p w14:paraId="7466D9C6">
            <w:pPr>
              <w:adjustRightInd w:val="0"/>
              <w:snapToGrid w:val="0"/>
              <w:jc w:val="center"/>
              <w:rPr>
                <w:bCs/>
                <w:color w:val="auto"/>
                <w:szCs w:val="21"/>
              </w:rPr>
            </w:pPr>
            <w:r>
              <w:rPr>
                <w:bCs/>
                <w:color w:val="auto"/>
                <w:szCs w:val="21"/>
              </w:rPr>
              <w:t>SO</w:t>
            </w:r>
            <w:r>
              <w:rPr>
                <w:bCs/>
                <w:color w:val="auto"/>
                <w:szCs w:val="21"/>
                <w:vertAlign w:val="subscript"/>
              </w:rPr>
              <w:t>2</w:t>
            </w:r>
            <w:r>
              <w:rPr>
                <w:rFonts w:hint="eastAsia"/>
                <w:bCs/>
                <w:color w:val="auto"/>
                <w:szCs w:val="21"/>
              </w:rPr>
              <w:t>、</w:t>
            </w:r>
            <w:r>
              <w:rPr>
                <w:bCs/>
                <w:color w:val="auto"/>
                <w:szCs w:val="21"/>
              </w:rPr>
              <w:t>NOx</w:t>
            </w:r>
            <w:r>
              <w:rPr>
                <w:rFonts w:hint="eastAsia"/>
                <w:bCs/>
                <w:color w:val="auto"/>
                <w:szCs w:val="21"/>
              </w:rPr>
              <w:t>、颗粒物</w:t>
            </w:r>
          </w:p>
        </w:tc>
        <w:tc>
          <w:tcPr>
            <w:tcW w:w="2694" w:type="dxa"/>
            <w:vAlign w:val="center"/>
          </w:tcPr>
          <w:p w14:paraId="1AA1CE96">
            <w:pPr>
              <w:pStyle w:val="58"/>
              <w:keepNext w:val="0"/>
              <w:keepLines w:val="0"/>
              <w:suppressLineNumbers w:val="0"/>
              <w:spacing w:before="0" w:beforeAutospacing="0" w:after="0" w:afterAutospacing="0"/>
              <w:ind w:left="0" w:leftChars="0" w:right="0" w:rightChars="0"/>
              <w:jc w:val="center"/>
              <w:rPr>
                <w:rFonts w:eastAsiaTheme="minorEastAsia"/>
                <w:color w:val="auto"/>
                <w:kern w:val="0"/>
                <w:szCs w:val="21"/>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2726" w:type="dxa"/>
            <w:vMerge w:val="continue"/>
            <w:vAlign w:val="center"/>
          </w:tcPr>
          <w:p w14:paraId="7EBCBDCA">
            <w:pPr>
              <w:jc w:val="center"/>
              <w:rPr>
                <w:bCs/>
                <w:color w:val="auto"/>
                <w:szCs w:val="21"/>
              </w:rPr>
            </w:pPr>
          </w:p>
        </w:tc>
      </w:tr>
      <w:tr w14:paraId="765E3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5AD3DD5C">
            <w:pPr>
              <w:adjustRightInd w:val="0"/>
              <w:snapToGrid w:val="0"/>
              <w:jc w:val="center"/>
              <w:rPr>
                <w:color w:val="auto"/>
                <w:szCs w:val="21"/>
              </w:rPr>
            </w:pPr>
          </w:p>
        </w:tc>
        <w:tc>
          <w:tcPr>
            <w:tcW w:w="1559" w:type="dxa"/>
            <w:vAlign w:val="center"/>
          </w:tcPr>
          <w:p w14:paraId="2BC6AAE2">
            <w:pPr>
              <w:pStyle w:val="58"/>
              <w:keepNext w:val="0"/>
              <w:keepLines w:val="0"/>
              <w:suppressLineNumbers w:val="0"/>
              <w:spacing w:before="0" w:beforeAutospacing="0" w:after="0" w:afterAutospacing="0"/>
              <w:ind w:left="0" w:leftChars="0" w:right="0" w:rightChars="0"/>
              <w:rPr>
                <w:rFonts w:hint="eastAsia"/>
                <w:color w:val="auto"/>
                <w:lang w:val="en-US" w:eastAsia="zh-CN"/>
              </w:rPr>
            </w:pPr>
            <w:r>
              <w:rPr>
                <w:rFonts w:hint="eastAsia"/>
                <w:color w:val="auto"/>
                <w:lang w:val="en-US" w:eastAsia="zh-CN"/>
              </w:rPr>
              <w:t>机制炭车间废气排放口DA003</w:t>
            </w:r>
          </w:p>
        </w:tc>
        <w:tc>
          <w:tcPr>
            <w:tcW w:w="850" w:type="dxa"/>
            <w:vAlign w:val="center"/>
          </w:tcPr>
          <w:p w14:paraId="5204B051">
            <w:pPr>
              <w:adjustRightInd w:val="0"/>
              <w:snapToGrid w:val="0"/>
              <w:jc w:val="center"/>
              <w:rPr>
                <w:rFonts w:hint="eastAsia" w:eastAsia="宋体"/>
                <w:bCs/>
                <w:color w:val="auto"/>
                <w:szCs w:val="21"/>
                <w:lang w:eastAsia="zh-CN"/>
              </w:rPr>
            </w:pPr>
            <w:r>
              <w:rPr>
                <w:rFonts w:hint="eastAsia"/>
                <w:bCs/>
                <w:color w:val="auto"/>
                <w:szCs w:val="21"/>
                <w:lang w:eastAsia="zh-CN"/>
              </w:rPr>
              <w:t>颗粒物</w:t>
            </w:r>
          </w:p>
        </w:tc>
        <w:tc>
          <w:tcPr>
            <w:tcW w:w="2694" w:type="dxa"/>
            <w:vAlign w:val="center"/>
          </w:tcPr>
          <w:p w14:paraId="1DFD55A6">
            <w:pPr>
              <w:pStyle w:val="58"/>
              <w:keepNext w:val="0"/>
              <w:keepLines w:val="0"/>
              <w:suppressLineNumbers w:val="0"/>
              <w:spacing w:before="0" w:beforeAutospacing="0" w:after="0" w:afterAutospacing="0"/>
              <w:ind w:left="0" w:leftChars="0" w:right="0" w:rightChars="0" w:firstLine="0" w:firstLineChars="0"/>
              <w:jc w:val="center"/>
              <w:rPr>
                <w:rFonts w:hint="eastAsia"/>
                <w:color w:val="auto"/>
                <w:highlight w:val="none"/>
                <w:lang w:eastAsia="zh-CN"/>
              </w:rPr>
            </w:pPr>
            <w:r>
              <w:rPr>
                <w:rFonts w:hint="eastAsia"/>
                <w:color w:val="auto"/>
                <w:lang w:eastAsia="zh-CN"/>
              </w:rPr>
              <w:t>一套袋式除尘器</w:t>
            </w:r>
            <w:r>
              <w:rPr>
                <w:rFonts w:hint="eastAsia"/>
                <w:color w:val="auto"/>
                <w:lang w:val="en-US" w:eastAsia="zh-CN"/>
              </w:rPr>
              <w:t>+15m高排气筒DA003</w:t>
            </w:r>
          </w:p>
        </w:tc>
        <w:tc>
          <w:tcPr>
            <w:tcW w:w="2726" w:type="dxa"/>
            <w:vAlign w:val="center"/>
          </w:tcPr>
          <w:p w14:paraId="2715CA30">
            <w:pPr>
              <w:pStyle w:val="58"/>
              <w:keepNext w:val="0"/>
              <w:keepLines w:val="0"/>
              <w:suppressLineNumbers w:val="0"/>
              <w:spacing w:before="0" w:beforeAutospacing="0" w:after="0" w:afterAutospacing="0"/>
              <w:ind w:left="0" w:leftChars="0" w:right="0" w:rightChars="0"/>
              <w:rPr>
                <w:bCs/>
                <w:color w:val="auto"/>
                <w:szCs w:val="21"/>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14:paraId="6BE49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767EE41F">
            <w:pPr>
              <w:adjustRightInd w:val="0"/>
              <w:snapToGrid w:val="0"/>
              <w:jc w:val="center"/>
              <w:rPr>
                <w:color w:val="auto"/>
                <w:szCs w:val="21"/>
              </w:rPr>
            </w:pPr>
          </w:p>
        </w:tc>
        <w:tc>
          <w:tcPr>
            <w:tcW w:w="1559" w:type="dxa"/>
            <w:vAlign w:val="center"/>
          </w:tcPr>
          <w:p w14:paraId="6D6058A2">
            <w:pPr>
              <w:adjustRightInd w:val="0"/>
              <w:snapToGrid w:val="0"/>
              <w:jc w:val="center"/>
              <w:rPr>
                <w:bCs/>
                <w:color w:val="auto"/>
                <w:szCs w:val="21"/>
              </w:rPr>
            </w:pPr>
            <w:r>
              <w:rPr>
                <w:rFonts w:hint="eastAsia"/>
                <w:bCs/>
                <w:color w:val="auto"/>
                <w:szCs w:val="21"/>
              </w:rPr>
              <w:t>食堂</w:t>
            </w:r>
          </w:p>
        </w:tc>
        <w:tc>
          <w:tcPr>
            <w:tcW w:w="850" w:type="dxa"/>
            <w:vAlign w:val="center"/>
          </w:tcPr>
          <w:p w14:paraId="4C3FFF8A">
            <w:pPr>
              <w:adjustRightInd w:val="0"/>
              <w:snapToGrid w:val="0"/>
              <w:jc w:val="center"/>
              <w:rPr>
                <w:bCs/>
                <w:color w:val="auto"/>
                <w:szCs w:val="21"/>
              </w:rPr>
            </w:pPr>
            <w:r>
              <w:rPr>
                <w:rFonts w:hint="eastAsia"/>
                <w:bCs/>
                <w:color w:val="auto"/>
                <w:szCs w:val="21"/>
              </w:rPr>
              <w:t>油烟</w:t>
            </w:r>
          </w:p>
        </w:tc>
        <w:tc>
          <w:tcPr>
            <w:tcW w:w="2694" w:type="dxa"/>
            <w:vAlign w:val="center"/>
          </w:tcPr>
          <w:p w14:paraId="3DFFD7C3">
            <w:pPr>
              <w:jc w:val="center"/>
              <w:rPr>
                <w:rFonts w:eastAsiaTheme="minorEastAsia"/>
                <w:color w:val="auto"/>
                <w:kern w:val="0"/>
                <w:szCs w:val="21"/>
              </w:rPr>
            </w:pPr>
            <w:r>
              <w:rPr>
                <w:rFonts w:hint="eastAsia" w:eastAsiaTheme="minorEastAsia"/>
                <w:color w:val="auto"/>
                <w:kern w:val="0"/>
                <w:szCs w:val="21"/>
              </w:rPr>
              <w:t>设置油烟净化器处置后外排</w:t>
            </w:r>
          </w:p>
        </w:tc>
        <w:tc>
          <w:tcPr>
            <w:tcW w:w="2726" w:type="dxa"/>
            <w:vAlign w:val="center"/>
          </w:tcPr>
          <w:p w14:paraId="067C3C94">
            <w:pPr>
              <w:jc w:val="center"/>
              <w:rPr>
                <w:bCs/>
                <w:color w:val="auto"/>
                <w:szCs w:val="21"/>
              </w:rPr>
            </w:pPr>
            <w:r>
              <w:rPr>
                <w:rFonts w:hint="eastAsia"/>
                <w:bCs/>
                <w:color w:val="auto"/>
                <w:szCs w:val="21"/>
              </w:rPr>
              <w:t>满足《饮食业油烟排放标准》（</w:t>
            </w:r>
            <w:r>
              <w:rPr>
                <w:bCs/>
                <w:color w:val="auto"/>
                <w:szCs w:val="21"/>
              </w:rPr>
              <w:t>GB18483-2001</w:t>
            </w:r>
            <w:r>
              <w:rPr>
                <w:rFonts w:hint="eastAsia"/>
                <w:bCs/>
                <w:color w:val="auto"/>
                <w:szCs w:val="21"/>
              </w:rPr>
              <w:t>）中小型餐饮企业油烟最高允许浓度</w:t>
            </w:r>
            <w:r>
              <w:rPr>
                <w:bCs/>
                <w:color w:val="auto"/>
                <w:szCs w:val="21"/>
              </w:rPr>
              <w:t>2.0mg/m</w:t>
            </w:r>
            <w:r>
              <w:rPr>
                <w:bCs/>
                <w:color w:val="auto"/>
                <w:szCs w:val="21"/>
                <w:vertAlign w:val="superscript"/>
              </w:rPr>
              <w:t>3</w:t>
            </w:r>
            <w:r>
              <w:rPr>
                <w:rFonts w:hint="eastAsia"/>
                <w:bCs/>
                <w:color w:val="auto"/>
                <w:szCs w:val="21"/>
              </w:rPr>
              <w:t>要求。</w:t>
            </w:r>
          </w:p>
        </w:tc>
      </w:tr>
      <w:tr w14:paraId="05233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78783619">
            <w:pPr>
              <w:adjustRightInd w:val="0"/>
              <w:snapToGrid w:val="0"/>
              <w:jc w:val="center"/>
              <w:rPr>
                <w:color w:val="auto"/>
                <w:szCs w:val="21"/>
              </w:rPr>
            </w:pPr>
          </w:p>
        </w:tc>
        <w:tc>
          <w:tcPr>
            <w:tcW w:w="1559" w:type="dxa"/>
            <w:vAlign w:val="center"/>
          </w:tcPr>
          <w:p w14:paraId="3CDD7072">
            <w:pPr>
              <w:adjustRightInd w:val="0"/>
              <w:snapToGrid w:val="0"/>
              <w:jc w:val="center"/>
              <w:rPr>
                <w:rFonts w:hint="eastAsia" w:eastAsia="宋体"/>
                <w:bCs/>
                <w:color w:val="auto"/>
                <w:szCs w:val="21"/>
                <w:lang w:eastAsia="zh-CN"/>
              </w:rPr>
            </w:pPr>
            <w:r>
              <w:rPr>
                <w:rFonts w:hint="eastAsia"/>
                <w:bCs/>
                <w:color w:val="auto"/>
                <w:szCs w:val="21"/>
                <w:lang w:eastAsia="zh-CN"/>
              </w:rPr>
              <w:t>上料车间</w:t>
            </w:r>
          </w:p>
        </w:tc>
        <w:tc>
          <w:tcPr>
            <w:tcW w:w="850" w:type="dxa"/>
            <w:vAlign w:val="center"/>
          </w:tcPr>
          <w:p w14:paraId="76806BAF">
            <w:pPr>
              <w:adjustRightInd w:val="0"/>
              <w:snapToGrid w:val="0"/>
              <w:jc w:val="center"/>
              <w:rPr>
                <w:rFonts w:hint="eastAsia" w:eastAsia="宋体"/>
                <w:bCs/>
                <w:color w:val="auto"/>
                <w:szCs w:val="21"/>
                <w:lang w:eastAsia="zh-CN"/>
              </w:rPr>
            </w:pPr>
            <w:r>
              <w:rPr>
                <w:rFonts w:hint="eastAsia"/>
                <w:bCs/>
                <w:color w:val="auto"/>
                <w:szCs w:val="21"/>
                <w:lang w:eastAsia="zh-CN"/>
              </w:rPr>
              <w:t>颗粒物</w:t>
            </w:r>
          </w:p>
        </w:tc>
        <w:tc>
          <w:tcPr>
            <w:tcW w:w="2694" w:type="dxa"/>
            <w:vAlign w:val="center"/>
          </w:tcPr>
          <w:p w14:paraId="70F4F161">
            <w:pPr>
              <w:jc w:val="center"/>
              <w:rPr>
                <w:rFonts w:hint="eastAsia" w:eastAsiaTheme="minorEastAsia"/>
                <w:color w:val="auto"/>
                <w:kern w:val="0"/>
                <w:szCs w:val="21"/>
                <w:lang w:eastAsia="zh-CN"/>
              </w:rPr>
            </w:pPr>
            <w:r>
              <w:rPr>
                <w:rFonts w:hint="eastAsia" w:eastAsiaTheme="minorEastAsia"/>
                <w:color w:val="auto"/>
                <w:kern w:val="0"/>
                <w:szCs w:val="21"/>
                <w:lang w:eastAsia="zh-CN"/>
              </w:rPr>
              <w:t>每套上料装置上设置集气设施和滤筒式除尘器，共</w:t>
            </w:r>
            <w:r>
              <w:rPr>
                <w:rFonts w:hint="eastAsia" w:eastAsiaTheme="minorEastAsia"/>
                <w:color w:val="auto"/>
                <w:kern w:val="0"/>
                <w:szCs w:val="21"/>
                <w:lang w:val="en-US" w:eastAsia="zh-CN"/>
              </w:rPr>
              <w:t>10套。</w:t>
            </w:r>
          </w:p>
        </w:tc>
        <w:tc>
          <w:tcPr>
            <w:tcW w:w="2726" w:type="dxa"/>
            <w:vAlign w:val="center"/>
          </w:tcPr>
          <w:p w14:paraId="364E21C6">
            <w:pPr>
              <w:jc w:val="center"/>
              <w:rPr>
                <w:rFonts w:hint="eastAsia" w:eastAsia="宋体"/>
                <w:bCs/>
                <w:color w:val="auto"/>
                <w:szCs w:val="21"/>
                <w:lang w:eastAsia="zh-CN"/>
              </w:rPr>
            </w:pPr>
            <w:r>
              <w:rPr>
                <w:rFonts w:hint="eastAsia"/>
                <w:bCs/>
                <w:color w:val="auto"/>
                <w:szCs w:val="21"/>
                <w:lang w:eastAsia="zh-CN"/>
              </w:rPr>
              <w:t>使厂界颗粒物浓度满足《大气污染物综合排放标准》（GB16297-1996）表</w:t>
            </w:r>
            <w:r>
              <w:rPr>
                <w:rFonts w:hint="eastAsia"/>
                <w:bCs/>
                <w:color w:val="auto"/>
                <w:szCs w:val="21"/>
                <w:lang w:val="en-US" w:eastAsia="zh-CN"/>
              </w:rPr>
              <w:t>2</w:t>
            </w:r>
            <w:r>
              <w:rPr>
                <w:rFonts w:hint="eastAsia"/>
                <w:bCs/>
                <w:color w:val="auto"/>
                <w:szCs w:val="21"/>
                <w:lang w:eastAsia="zh-CN"/>
              </w:rPr>
              <w:t>中厂界限值要求</w:t>
            </w:r>
          </w:p>
        </w:tc>
      </w:tr>
      <w:tr w14:paraId="2F7AF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restart"/>
            <w:vAlign w:val="center"/>
          </w:tcPr>
          <w:p w14:paraId="2E1BAF12">
            <w:pPr>
              <w:adjustRightInd w:val="0"/>
              <w:snapToGrid w:val="0"/>
              <w:jc w:val="center"/>
              <w:rPr>
                <w:color w:val="auto"/>
                <w:szCs w:val="21"/>
              </w:rPr>
            </w:pPr>
            <w:r>
              <w:rPr>
                <w:rFonts w:hAnsi="宋体"/>
                <w:color w:val="auto"/>
                <w:szCs w:val="21"/>
              </w:rPr>
              <w:t>地表水环境</w:t>
            </w:r>
          </w:p>
        </w:tc>
        <w:tc>
          <w:tcPr>
            <w:tcW w:w="1559" w:type="dxa"/>
            <w:vAlign w:val="center"/>
          </w:tcPr>
          <w:p w14:paraId="2F1AC3FF">
            <w:pPr>
              <w:pStyle w:val="58"/>
              <w:rPr>
                <w:color w:val="auto"/>
              </w:rPr>
            </w:pPr>
            <w:r>
              <w:rPr>
                <w:rFonts w:hint="eastAsia"/>
                <w:color w:val="auto"/>
              </w:rPr>
              <w:t>生活区</w:t>
            </w:r>
          </w:p>
        </w:tc>
        <w:tc>
          <w:tcPr>
            <w:tcW w:w="850" w:type="dxa"/>
            <w:vAlign w:val="center"/>
          </w:tcPr>
          <w:p w14:paraId="65BEB624">
            <w:pPr>
              <w:widowControl/>
              <w:jc w:val="center"/>
              <w:rPr>
                <w:color w:val="auto"/>
                <w:kern w:val="0"/>
                <w:szCs w:val="21"/>
              </w:rPr>
            </w:pPr>
            <w:r>
              <w:rPr>
                <w:rFonts w:hint="eastAsia"/>
                <w:color w:val="auto"/>
                <w:kern w:val="0"/>
                <w:szCs w:val="21"/>
              </w:rPr>
              <w:t>生活污水</w:t>
            </w:r>
          </w:p>
        </w:tc>
        <w:tc>
          <w:tcPr>
            <w:tcW w:w="2694" w:type="dxa"/>
            <w:vMerge w:val="restart"/>
            <w:vAlign w:val="center"/>
          </w:tcPr>
          <w:p w14:paraId="3CF2D796">
            <w:pPr>
              <w:jc w:val="center"/>
              <w:rPr>
                <w:rFonts w:eastAsiaTheme="minorEastAsia"/>
                <w:bCs/>
                <w:color w:val="auto"/>
                <w:szCs w:val="21"/>
              </w:rPr>
            </w:pPr>
            <w:r>
              <w:rPr>
                <w:rFonts w:hint="eastAsia" w:eastAsiaTheme="minorEastAsia"/>
                <w:bCs/>
                <w:color w:val="auto"/>
                <w:szCs w:val="21"/>
              </w:rPr>
              <w:t>收集后直接排入园区下水管网，进入园区污水处理厂处置</w:t>
            </w:r>
          </w:p>
        </w:tc>
        <w:tc>
          <w:tcPr>
            <w:tcW w:w="2726" w:type="dxa"/>
            <w:vMerge w:val="restart"/>
            <w:vAlign w:val="center"/>
          </w:tcPr>
          <w:p w14:paraId="3C0D8E48">
            <w:pPr>
              <w:jc w:val="center"/>
              <w:rPr>
                <w:rFonts w:hint="eastAsia" w:hAnsiTheme="minorEastAsia" w:eastAsiaTheme="minorEastAsia"/>
                <w:bCs/>
                <w:color w:val="auto"/>
                <w:szCs w:val="21"/>
                <w:lang w:eastAsia="zh-CN"/>
              </w:rPr>
            </w:pPr>
            <w:r>
              <w:rPr>
                <w:rFonts w:hint="eastAsia" w:hAnsiTheme="minorEastAsia" w:eastAsiaTheme="minorEastAsia"/>
                <w:bCs/>
                <w:color w:val="auto"/>
                <w:szCs w:val="21"/>
                <w:lang w:eastAsia="zh-CN"/>
              </w:rPr>
              <w:t>排放是满足园区污水处理厂入场标准：</w:t>
            </w:r>
            <w:r>
              <w:rPr>
                <w:rFonts w:hint="eastAsia"/>
                <w:color w:val="auto"/>
                <w:lang w:eastAsia="zh-CN"/>
              </w:rPr>
              <w:t>《污水综合排放标准》（GB8978-1996）表4中三级标准</w:t>
            </w:r>
          </w:p>
        </w:tc>
      </w:tr>
      <w:tr w14:paraId="66E0C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5C8F78CA">
            <w:pPr>
              <w:adjustRightInd w:val="0"/>
              <w:snapToGrid w:val="0"/>
              <w:jc w:val="center"/>
              <w:rPr>
                <w:color w:val="auto"/>
                <w:szCs w:val="21"/>
              </w:rPr>
            </w:pPr>
          </w:p>
        </w:tc>
        <w:tc>
          <w:tcPr>
            <w:tcW w:w="1559" w:type="dxa"/>
            <w:vAlign w:val="center"/>
          </w:tcPr>
          <w:p w14:paraId="471EB6F1">
            <w:pPr>
              <w:pStyle w:val="58"/>
              <w:rPr>
                <w:color w:val="auto"/>
              </w:rPr>
            </w:pPr>
            <w:r>
              <w:rPr>
                <w:rFonts w:hint="eastAsia"/>
                <w:color w:val="auto"/>
              </w:rPr>
              <w:t>软水</w:t>
            </w:r>
            <w:r>
              <w:rPr>
                <w:rFonts w:hint="eastAsia"/>
                <w:color w:val="auto"/>
                <w:lang w:eastAsia="zh-CN"/>
              </w:rPr>
              <w:t>车间</w:t>
            </w:r>
          </w:p>
        </w:tc>
        <w:tc>
          <w:tcPr>
            <w:tcW w:w="850" w:type="dxa"/>
            <w:vAlign w:val="center"/>
          </w:tcPr>
          <w:p w14:paraId="52E5FE72">
            <w:pPr>
              <w:widowControl/>
              <w:jc w:val="center"/>
              <w:rPr>
                <w:color w:val="auto"/>
                <w:kern w:val="0"/>
                <w:szCs w:val="21"/>
              </w:rPr>
            </w:pPr>
            <w:r>
              <w:rPr>
                <w:rFonts w:hint="eastAsia"/>
                <w:color w:val="auto"/>
                <w:kern w:val="0"/>
                <w:szCs w:val="21"/>
              </w:rPr>
              <w:t>含盐废水</w:t>
            </w:r>
          </w:p>
        </w:tc>
        <w:tc>
          <w:tcPr>
            <w:tcW w:w="2694" w:type="dxa"/>
            <w:vMerge w:val="continue"/>
            <w:vAlign w:val="center"/>
          </w:tcPr>
          <w:p w14:paraId="6593C93F">
            <w:pPr>
              <w:jc w:val="center"/>
              <w:rPr>
                <w:rFonts w:eastAsiaTheme="minorEastAsia"/>
                <w:color w:val="auto"/>
                <w:kern w:val="0"/>
                <w:szCs w:val="21"/>
              </w:rPr>
            </w:pPr>
          </w:p>
        </w:tc>
        <w:tc>
          <w:tcPr>
            <w:tcW w:w="2726" w:type="dxa"/>
            <w:vMerge w:val="continue"/>
            <w:vAlign w:val="center"/>
          </w:tcPr>
          <w:p w14:paraId="35AE7CDE">
            <w:pPr>
              <w:jc w:val="center"/>
              <w:rPr>
                <w:rFonts w:hAnsiTheme="minorEastAsia" w:eastAsiaTheme="minorEastAsia"/>
                <w:bCs/>
                <w:color w:val="auto"/>
                <w:szCs w:val="21"/>
              </w:rPr>
            </w:pPr>
          </w:p>
        </w:tc>
      </w:tr>
      <w:tr w14:paraId="45A29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71" w:type="dxa"/>
            <w:vMerge w:val="continue"/>
            <w:vAlign w:val="center"/>
          </w:tcPr>
          <w:p w14:paraId="454C2998">
            <w:pPr>
              <w:adjustRightInd w:val="0"/>
              <w:snapToGrid w:val="0"/>
              <w:jc w:val="center"/>
              <w:rPr>
                <w:color w:val="auto"/>
                <w:szCs w:val="21"/>
              </w:rPr>
            </w:pPr>
          </w:p>
        </w:tc>
        <w:tc>
          <w:tcPr>
            <w:tcW w:w="1559" w:type="dxa"/>
            <w:vAlign w:val="center"/>
          </w:tcPr>
          <w:p w14:paraId="734E7AC5">
            <w:pPr>
              <w:pStyle w:val="58"/>
              <w:rPr>
                <w:rFonts w:hint="eastAsia" w:eastAsia="宋体"/>
                <w:color w:val="auto"/>
                <w:lang w:eastAsia="zh-CN"/>
              </w:rPr>
            </w:pPr>
            <w:r>
              <w:rPr>
                <w:rFonts w:hint="eastAsia"/>
                <w:color w:val="auto"/>
                <w:lang w:eastAsia="zh-CN"/>
              </w:rPr>
              <w:t>蒸汽机组</w:t>
            </w:r>
          </w:p>
        </w:tc>
        <w:tc>
          <w:tcPr>
            <w:tcW w:w="850" w:type="dxa"/>
            <w:vAlign w:val="center"/>
          </w:tcPr>
          <w:p w14:paraId="3CA7C7E6">
            <w:pPr>
              <w:widowControl/>
              <w:jc w:val="center"/>
              <w:rPr>
                <w:color w:val="auto"/>
                <w:kern w:val="0"/>
                <w:szCs w:val="21"/>
              </w:rPr>
            </w:pPr>
            <w:r>
              <w:rPr>
                <w:rFonts w:hint="eastAsia"/>
                <w:color w:val="auto"/>
                <w:kern w:val="0"/>
                <w:szCs w:val="21"/>
              </w:rPr>
              <w:t>排污水</w:t>
            </w:r>
          </w:p>
        </w:tc>
        <w:tc>
          <w:tcPr>
            <w:tcW w:w="2694" w:type="dxa"/>
            <w:vMerge w:val="continue"/>
            <w:vAlign w:val="center"/>
          </w:tcPr>
          <w:p w14:paraId="55664ED8">
            <w:pPr>
              <w:adjustRightInd w:val="0"/>
              <w:snapToGrid w:val="0"/>
              <w:jc w:val="center"/>
              <w:rPr>
                <w:color w:val="auto"/>
                <w:szCs w:val="21"/>
              </w:rPr>
            </w:pPr>
          </w:p>
        </w:tc>
        <w:tc>
          <w:tcPr>
            <w:tcW w:w="2726" w:type="dxa"/>
            <w:vMerge w:val="continue"/>
            <w:vAlign w:val="center"/>
          </w:tcPr>
          <w:p w14:paraId="181D0C37">
            <w:pPr>
              <w:adjustRightInd w:val="0"/>
              <w:snapToGrid w:val="0"/>
              <w:jc w:val="center"/>
              <w:rPr>
                <w:color w:val="auto"/>
                <w:szCs w:val="21"/>
              </w:rPr>
            </w:pPr>
          </w:p>
        </w:tc>
      </w:tr>
      <w:tr w14:paraId="3E9BE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00B2CC1A">
            <w:pPr>
              <w:adjustRightInd w:val="0"/>
              <w:snapToGrid w:val="0"/>
              <w:jc w:val="center"/>
              <w:rPr>
                <w:color w:val="auto"/>
                <w:szCs w:val="21"/>
              </w:rPr>
            </w:pPr>
          </w:p>
        </w:tc>
        <w:tc>
          <w:tcPr>
            <w:tcW w:w="1559" w:type="dxa"/>
            <w:vAlign w:val="center"/>
          </w:tcPr>
          <w:p w14:paraId="41C14D9F">
            <w:pPr>
              <w:pStyle w:val="58"/>
              <w:rPr>
                <w:rFonts w:hint="eastAsia" w:eastAsia="宋体"/>
                <w:color w:val="auto"/>
                <w:lang w:eastAsia="zh-CN"/>
              </w:rPr>
            </w:pPr>
            <w:r>
              <w:rPr>
                <w:rFonts w:hint="eastAsia"/>
                <w:color w:val="auto"/>
                <w:lang w:eastAsia="zh-CN"/>
              </w:rPr>
              <w:t>脱硫设施</w:t>
            </w:r>
          </w:p>
        </w:tc>
        <w:tc>
          <w:tcPr>
            <w:tcW w:w="850" w:type="dxa"/>
            <w:vAlign w:val="center"/>
          </w:tcPr>
          <w:p w14:paraId="55E0FD63">
            <w:pPr>
              <w:widowControl/>
              <w:jc w:val="center"/>
              <w:rPr>
                <w:rFonts w:hint="eastAsia" w:eastAsia="宋体"/>
                <w:color w:val="auto"/>
                <w:kern w:val="0"/>
                <w:szCs w:val="21"/>
                <w:lang w:eastAsia="zh-CN"/>
              </w:rPr>
            </w:pPr>
            <w:r>
              <w:rPr>
                <w:rFonts w:hint="eastAsia"/>
                <w:color w:val="auto"/>
                <w:kern w:val="0"/>
                <w:szCs w:val="21"/>
                <w:lang w:eastAsia="zh-CN"/>
              </w:rPr>
              <w:t>脱硫废水</w:t>
            </w:r>
          </w:p>
        </w:tc>
        <w:tc>
          <w:tcPr>
            <w:tcW w:w="2694" w:type="dxa"/>
            <w:vAlign w:val="center"/>
          </w:tcPr>
          <w:p w14:paraId="2F0C7A28">
            <w:pPr>
              <w:adjustRightInd w:val="0"/>
              <w:snapToGrid w:val="0"/>
              <w:jc w:val="center"/>
              <w:rPr>
                <w:rFonts w:hint="eastAsia" w:eastAsia="宋体"/>
                <w:color w:val="auto"/>
                <w:szCs w:val="21"/>
                <w:lang w:eastAsia="zh-CN"/>
              </w:rPr>
            </w:pPr>
            <w:r>
              <w:rPr>
                <w:rFonts w:hint="eastAsia"/>
                <w:color w:val="auto"/>
                <w:szCs w:val="21"/>
                <w:lang w:eastAsia="zh-CN"/>
              </w:rPr>
              <w:t>回用于脱硫系统不外排</w:t>
            </w:r>
          </w:p>
        </w:tc>
        <w:tc>
          <w:tcPr>
            <w:tcW w:w="2726" w:type="dxa"/>
            <w:vAlign w:val="center"/>
          </w:tcPr>
          <w:p w14:paraId="5A9399AB">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14:paraId="1EF6C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64DCB9FE">
            <w:pPr>
              <w:adjustRightInd w:val="0"/>
              <w:snapToGrid w:val="0"/>
              <w:jc w:val="center"/>
              <w:rPr>
                <w:color w:val="auto"/>
                <w:szCs w:val="21"/>
              </w:rPr>
            </w:pPr>
            <w:r>
              <w:rPr>
                <w:rFonts w:hAnsi="宋体"/>
                <w:color w:val="auto"/>
                <w:szCs w:val="21"/>
              </w:rPr>
              <w:t>声环境</w:t>
            </w:r>
          </w:p>
        </w:tc>
        <w:tc>
          <w:tcPr>
            <w:tcW w:w="1559" w:type="dxa"/>
            <w:vAlign w:val="center"/>
          </w:tcPr>
          <w:p w14:paraId="4B099046">
            <w:pPr>
              <w:adjustRightInd w:val="0"/>
              <w:snapToGrid w:val="0"/>
              <w:jc w:val="center"/>
              <w:rPr>
                <w:color w:val="auto"/>
                <w:szCs w:val="21"/>
              </w:rPr>
            </w:pPr>
            <w:r>
              <w:rPr>
                <w:rFonts w:hint="eastAsia"/>
                <w:color w:val="auto"/>
                <w:szCs w:val="21"/>
              </w:rPr>
              <w:t>生产设备</w:t>
            </w:r>
          </w:p>
        </w:tc>
        <w:tc>
          <w:tcPr>
            <w:tcW w:w="850" w:type="dxa"/>
            <w:vAlign w:val="center"/>
          </w:tcPr>
          <w:p w14:paraId="76C8949A">
            <w:pPr>
              <w:adjustRightInd w:val="0"/>
              <w:snapToGrid w:val="0"/>
              <w:jc w:val="center"/>
              <w:rPr>
                <w:color w:val="auto"/>
                <w:szCs w:val="21"/>
              </w:rPr>
            </w:pPr>
            <w:r>
              <w:rPr>
                <w:rFonts w:hint="eastAsia"/>
                <w:color w:val="auto"/>
                <w:szCs w:val="21"/>
              </w:rPr>
              <w:t>等效A声级</w:t>
            </w:r>
          </w:p>
        </w:tc>
        <w:tc>
          <w:tcPr>
            <w:tcW w:w="2694" w:type="dxa"/>
            <w:vAlign w:val="center"/>
          </w:tcPr>
          <w:p w14:paraId="6410FE9A">
            <w:pPr>
              <w:adjustRightInd w:val="0"/>
              <w:snapToGrid w:val="0"/>
              <w:jc w:val="center"/>
              <w:rPr>
                <w:color w:val="auto"/>
                <w:szCs w:val="21"/>
              </w:rPr>
            </w:pPr>
            <w:r>
              <w:rPr>
                <w:rFonts w:hint="eastAsia"/>
                <w:color w:val="auto"/>
                <w:szCs w:val="21"/>
              </w:rPr>
              <w:t>设备安装时使用橡胶减震垫等措施、厂房隔音等措施降噪</w:t>
            </w:r>
          </w:p>
        </w:tc>
        <w:tc>
          <w:tcPr>
            <w:tcW w:w="2726" w:type="dxa"/>
            <w:vAlign w:val="center"/>
          </w:tcPr>
          <w:p w14:paraId="071DEC56">
            <w:pPr>
              <w:adjustRightInd w:val="0"/>
              <w:snapToGrid w:val="0"/>
              <w:jc w:val="center"/>
              <w:rPr>
                <w:color w:val="auto"/>
                <w:szCs w:val="21"/>
              </w:rPr>
            </w:pPr>
            <w:r>
              <w:rPr>
                <w:rFonts w:hint="eastAsia"/>
                <w:color w:val="auto"/>
                <w:szCs w:val="21"/>
              </w:rPr>
              <w:t>厂界噪声满足《工业企业厂界环境噪声排放标准》（</w:t>
            </w:r>
            <w:r>
              <w:rPr>
                <w:color w:val="auto"/>
                <w:szCs w:val="21"/>
              </w:rPr>
              <w:t>GB12348-2008</w:t>
            </w:r>
            <w:r>
              <w:rPr>
                <w:rFonts w:hint="eastAsia"/>
                <w:color w:val="auto"/>
                <w:szCs w:val="21"/>
              </w:rPr>
              <w:t>）</w:t>
            </w:r>
            <w:r>
              <w:rPr>
                <w:rFonts w:hint="eastAsia"/>
                <w:color w:val="auto"/>
                <w:szCs w:val="21"/>
                <w:lang w:val="en-US" w:eastAsia="zh-CN"/>
              </w:rPr>
              <w:t>3</w:t>
            </w:r>
            <w:r>
              <w:rPr>
                <w:rFonts w:hint="eastAsia"/>
                <w:color w:val="auto"/>
                <w:szCs w:val="21"/>
              </w:rPr>
              <w:t>类标准要求</w:t>
            </w:r>
          </w:p>
        </w:tc>
      </w:tr>
      <w:tr w14:paraId="65ED9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6ACEABE3">
            <w:pPr>
              <w:adjustRightInd w:val="0"/>
              <w:snapToGrid w:val="0"/>
              <w:jc w:val="center"/>
              <w:rPr>
                <w:color w:val="auto"/>
                <w:szCs w:val="21"/>
              </w:rPr>
            </w:pPr>
            <w:r>
              <w:rPr>
                <w:rFonts w:hAnsi="宋体"/>
                <w:color w:val="auto"/>
                <w:szCs w:val="21"/>
              </w:rPr>
              <w:t>电磁辐射</w:t>
            </w:r>
          </w:p>
        </w:tc>
        <w:tc>
          <w:tcPr>
            <w:tcW w:w="1559" w:type="dxa"/>
            <w:vAlign w:val="center"/>
          </w:tcPr>
          <w:p w14:paraId="25EB627E">
            <w:pPr>
              <w:adjustRightInd w:val="0"/>
              <w:snapToGrid w:val="0"/>
              <w:jc w:val="center"/>
              <w:rPr>
                <w:color w:val="auto"/>
                <w:szCs w:val="21"/>
              </w:rPr>
            </w:pPr>
            <w:r>
              <w:rPr>
                <w:rFonts w:hint="eastAsia"/>
                <w:color w:val="auto"/>
                <w:szCs w:val="21"/>
              </w:rPr>
              <w:t>/</w:t>
            </w:r>
          </w:p>
        </w:tc>
        <w:tc>
          <w:tcPr>
            <w:tcW w:w="850" w:type="dxa"/>
            <w:vAlign w:val="center"/>
          </w:tcPr>
          <w:p w14:paraId="036C1A22">
            <w:pPr>
              <w:adjustRightInd w:val="0"/>
              <w:snapToGrid w:val="0"/>
              <w:jc w:val="center"/>
              <w:rPr>
                <w:color w:val="auto"/>
                <w:szCs w:val="21"/>
              </w:rPr>
            </w:pPr>
            <w:r>
              <w:rPr>
                <w:rFonts w:hint="eastAsia"/>
                <w:color w:val="auto"/>
                <w:szCs w:val="21"/>
              </w:rPr>
              <w:t>/</w:t>
            </w:r>
          </w:p>
        </w:tc>
        <w:tc>
          <w:tcPr>
            <w:tcW w:w="2694" w:type="dxa"/>
            <w:vAlign w:val="center"/>
          </w:tcPr>
          <w:p w14:paraId="1581B7A5">
            <w:pPr>
              <w:adjustRightInd w:val="0"/>
              <w:snapToGrid w:val="0"/>
              <w:jc w:val="center"/>
              <w:rPr>
                <w:color w:val="auto"/>
                <w:szCs w:val="21"/>
              </w:rPr>
            </w:pPr>
            <w:r>
              <w:rPr>
                <w:rFonts w:hint="eastAsia"/>
                <w:color w:val="auto"/>
                <w:szCs w:val="21"/>
              </w:rPr>
              <w:t>/</w:t>
            </w:r>
          </w:p>
        </w:tc>
        <w:tc>
          <w:tcPr>
            <w:tcW w:w="2726" w:type="dxa"/>
            <w:vAlign w:val="center"/>
          </w:tcPr>
          <w:p w14:paraId="4EBF2042">
            <w:pPr>
              <w:adjustRightInd w:val="0"/>
              <w:snapToGrid w:val="0"/>
              <w:jc w:val="center"/>
              <w:rPr>
                <w:color w:val="auto"/>
                <w:szCs w:val="21"/>
              </w:rPr>
            </w:pPr>
            <w:r>
              <w:rPr>
                <w:rFonts w:hint="eastAsia"/>
                <w:color w:val="auto"/>
                <w:szCs w:val="21"/>
              </w:rPr>
              <w:t>/</w:t>
            </w:r>
          </w:p>
        </w:tc>
      </w:tr>
      <w:tr w14:paraId="7D6B2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6BAEFD86">
            <w:pPr>
              <w:adjustRightInd w:val="0"/>
              <w:snapToGrid w:val="0"/>
              <w:jc w:val="center"/>
              <w:rPr>
                <w:color w:val="auto"/>
                <w:szCs w:val="21"/>
              </w:rPr>
            </w:pPr>
            <w:r>
              <w:rPr>
                <w:rFonts w:hAnsi="宋体"/>
                <w:color w:val="auto"/>
                <w:szCs w:val="21"/>
              </w:rPr>
              <w:t>固体废物</w:t>
            </w:r>
          </w:p>
        </w:tc>
        <w:tc>
          <w:tcPr>
            <w:tcW w:w="7829" w:type="dxa"/>
            <w:gridSpan w:val="4"/>
            <w:vAlign w:val="center"/>
          </w:tcPr>
          <w:p w14:paraId="719A8846">
            <w:pPr>
              <w:adjustRightInd w:val="0"/>
              <w:snapToGrid w:val="0"/>
              <w:jc w:val="both"/>
              <w:rPr>
                <w:rFonts w:hint="eastAsia"/>
                <w:bCs/>
                <w:color w:val="auto"/>
                <w:szCs w:val="21"/>
              </w:rPr>
            </w:pPr>
            <w:r>
              <w:rPr>
                <w:rFonts w:hint="eastAsia"/>
                <w:bCs/>
                <w:color w:val="auto"/>
                <w:szCs w:val="21"/>
              </w:rPr>
              <w:t>一般</w:t>
            </w:r>
            <w:r>
              <w:rPr>
                <w:rFonts w:hint="eastAsia"/>
                <w:bCs/>
                <w:color w:val="auto"/>
                <w:szCs w:val="21"/>
                <w:lang w:eastAsia="zh-CN"/>
              </w:rPr>
              <w:t>工业</w:t>
            </w:r>
            <w:r>
              <w:rPr>
                <w:rFonts w:hint="eastAsia"/>
                <w:bCs/>
                <w:color w:val="auto"/>
                <w:szCs w:val="21"/>
              </w:rPr>
              <w:t>固废中上料除尘灰收集后还用于周边农田</w:t>
            </w:r>
            <w:r>
              <w:rPr>
                <w:rFonts w:hint="eastAsia"/>
                <w:bCs/>
                <w:color w:val="auto"/>
                <w:szCs w:val="21"/>
                <w:lang w:eastAsia="zh-CN"/>
              </w:rPr>
              <w:t>；</w:t>
            </w:r>
          </w:p>
          <w:p w14:paraId="55686E8D">
            <w:pPr>
              <w:adjustRightInd w:val="0"/>
              <w:snapToGrid w:val="0"/>
              <w:jc w:val="both"/>
              <w:rPr>
                <w:rFonts w:hint="eastAsia"/>
                <w:bCs/>
                <w:color w:val="auto"/>
                <w:szCs w:val="21"/>
              </w:rPr>
            </w:pPr>
            <w:r>
              <w:rPr>
                <w:rFonts w:hint="eastAsia"/>
                <w:bCs/>
                <w:color w:val="auto"/>
                <w:szCs w:val="21"/>
              </w:rPr>
              <w:t>炭化和机制炭除尘灰收集后洒入棉杆基炭中回用于机制和成型工段</w:t>
            </w:r>
            <w:r>
              <w:rPr>
                <w:rFonts w:hint="eastAsia"/>
                <w:bCs/>
                <w:color w:val="auto"/>
                <w:szCs w:val="21"/>
                <w:lang w:eastAsia="zh-CN"/>
              </w:rPr>
              <w:t>；</w:t>
            </w:r>
          </w:p>
          <w:p w14:paraId="0E5C827F">
            <w:pPr>
              <w:adjustRightInd w:val="0"/>
              <w:snapToGrid w:val="0"/>
              <w:jc w:val="both"/>
              <w:rPr>
                <w:rFonts w:hint="eastAsia"/>
                <w:bCs/>
                <w:color w:val="auto"/>
                <w:szCs w:val="21"/>
              </w:rPr>
            </w:pPr>
            <w:r>
              <w:rPr>
                <w:rFonts w:hint="eastAsia"/>
                <w:bCs/>
                <w:color w:val="auto"/>
                <w:szCs w:val="21"/>
              </w:rPr>
              <w:t>废离子交换树脂由设备维护厂家回收</w:t>
            </w:r>
            <w:r>
              <w:rPr>
                <w:rFonts w:hint="eastAsia"/>
                <w:bCs/>
                <w:color w:val="auto"/>
                <w:szCs w:val="21"/>
                <w:lang w:eastAsia="zh-CN"/>
              </w:rPr>
              <w:t>；</w:t>
            </w:r>
          </w:p>
          <w:p w14:paraId="4D377E68">
            <w:pPr>
              <w:adjustRightInd w:val="0"/>
              <w:snapToGrid w:val="0"/>
              <w:jc w:val="both"/>
              <w:rPr>
                <w:rFonts w:hint="eastAsia"/>
                <w:bCs/>
                <w:color w:val="auto"/>
                <w:szCs w:val="21"/>
              </w:rPr>
            </w:pPr>
            <w:r>
              <w:rPr>
                <w:rFonts w:hint="eastAsia"/>
                <w:bCs/>
                <w:color w:val="auto"/>
                <w:szCs w:val="21"/>
              </w:rPr>
              <w:t>脱硫石膏</w:t>
            </w:r>
            <w:r>
              <w:rPr>
                <w:rFonts w:hint="eastAsia"/>
                <w:bCs/>
                <w:color w:val="auto"/>
                <w:szCs w:val="21"/>
                <w:lang w:eastAsia="zh-CN"/>
              </w:rPr>
              <w:t>；</w:t>
            </w:r>
            <w:r>
              <w:rPr>
                <w:rFonts w:hint="eastAsia"/>
                <w:bCs/>
                <w:color w:val="auto"/>
                <w:szCs w:val="21"/>
              </w:rPr>
              <w:t>收集后作为建筑材料外售</w:t>
            </w:r>
            <w:r>
              <w:rPr>
                <w:rFonts w:hint="eastAsia"/>
                <w:bCs/>
                <w:color w:val="auto"/>
                <w:szCs w:val="21"/>
                <w:lang w:eastAsia="zh-CN"/>
              </w:rPr>
              <w:t>；</w:t>
            </w:r>
          </w:p>
          <w:p w14:paraId="6BE063A7">
            <w:pPr>
              <w:adjustRightInd w:val="0"/>
              <w:snapToGrid w:val="0"/>
              <w:jc w:val="both"/>
              <w:rPr>
                <w:rFonts w:hint="eastAsia"/>
                <w:bCs/>
                <w:color w:val="auto"/>
                <w:szCs w:val="21"/>
              </w:rPr>
            </w:pPr>
            <w:r>
              <w:rPr>
                <w:rFonts w:hint="eastAsia"/>
                <w:bCs/>
                <w:color w:val="auto"/>
                <w:szCs w:val="21"/>
              </w:rPr>
              <w:t>废机油</w:t>
            </w:r>
            <w:r>
              <w:rPr>
                <w:rFonts w:hint="eastAsia"/>
                <w:bCs/>
                <w:color w:val="auto"/>
                <w:szCs w:val="21"/>
                <w:lang w:eastAsia="zh-CN"/>
              </w:rPr>
              <w:t>（</w:t>
            </w:r>
            <w:r>
              <w:rPr>
                <w:rFonts w:hint="eastAsia"/>
                <w:bCs/>
                <w:color w:val="auto"/>
                <w:szCs w:val="21"/>
              </w:rPr>
              <w:t>HW08 900-249-08</w:t>
            </w:r>
            <w:r>
              <w:rPr>
                <w:rFonts w:hint="eastAsia"/>
                <w:bCs/>
                <w:color w:val="auto"/>
                <w:szCs w:val="21"/>
                <w:lang w:eastAsia="zh-CN"/>
              </w:rPr>
              <w:t>）经</w:t>
            </w:r>
            <w:r>
              <w:rPr>
                <w:rFonts w:hint="eastAsia"/>
                <w:bCs/>
                <w:color w:val="auto"/>
                <w:szCs w:val="21"/>
              </w:rPr>
              <w:t>危险废物暂存间收集后由有资质的单位清运处置</w:t>
            </w:r>
          </w:p>
          <w:p w14:paraId="5218638F">
            <w:pPr>
              <w:adjustRightInd w:val="0"/>
              <w:snapToGrid w:val="0"/>
              <w:jc w:val="both"/>
              <w:rPr>
                <w:color w:val="auto"/>
                <w:szCs w:val="21"/>
              </w:rPr>
            </w:pPr>
            <w:r>
              <w:rPr>
                <w:rFonts w:hint="eastAsia"/>
                <w:bCs/>
                <w:color w:val="auto"/>
                <w:szCs w:val="21"/>
              </w:rPr>
              <w:t>生活垃圾</w:t>
            </w:r>
            <w:r>
              <w:rPr>
                <w:rFonts w:hint="eastAsia"/>
                <w:bCs/>
                <w:color w:val="auto"/>
                <w:szCs w:val="21"/>
                <w:lang w:eastAsia="zh-CN"/>
              </w:rPr>
              <w:t>由</w:t>
            </w:r>
            <w:r>
              <w:rPr>
                <w:rFonts w:hint="eastAsia"/>
                <w:bCs/>
                <w:color w:val="auto"/>
                <w:szCs w:val="21"/>
              </w:rPr>
              <w:t>厂区设置垃圾桶</w:t>
            </w:r>
            <w:r>
              <w:rPr>
                <w:rFonts w:hint="eastAsia"/>
                <w:bCs/>
                <w:color w:val="auto"/>
                <w:szCs w:val="21"/>
                <w:lang w:eastAsia="zh-CN"/>
              </w:rPr>
              <w:t>收集</w:t>
            </w:r>
            <w:r>
              <w:rPr>
                <w:rFonts w:hint="eastAsia"/>
                <w:bCs/>
                <w:color w:val="auto"/>
                <w:szCs w:val="21"/>
              </w:rPr>
              <w:t>，定期拉运至垃圾填埋场处理。</w:t>
            </w:r>
          </w:p>
        </w:tc>
      </w:tr>
      <w:tr w14:paraId="6AB81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7BC15643">
            <w:pPr>
              <w:adjustRightInd w:val="0"/>
              <w:snapToGrid w:val="0"/>
              <w:jc w:val="center"/>
              <w:rPr>
                <w:color w:val="auto"/>
                <w:szCs w:val="21"/>
              </w:rPr>
            </w:pPr>
            <w:r>
              <w:rPr>
                <w:rFonts w:hAnsi="宋体"/>
                <w:color w:val="auto"/>
                <w:szCs w:val="21"/>
              </w:rPr>
              <w:t>土壤及地下水</w:t>
            </w:r>
          </w:p>
          <w:p w14:paraId="21594214">
            <w:pPr>
              <w:adjustRightInd w:val="0"/>
              <w:snapToGrid w:val="0"/>
              <w:jc w:val="center"/>
              <w:rPr>
                <w:color w:val="auto"/>
                <w:szCs w:val="21"/>
              </w:rPr>
            </w:pPr>
            <w:r>
              <w:rPr>
                <w:rFonts w:hAnsi="宋体"/>
                <w:color w:val="auto"/>
                <w:szCs w:val="21"/>
              </w:rPr>
              <w:t>污染防治措施</w:t>
            </w:r>
          </w:p>
        </w:tc>
        <w:tc>
          <w:tcPr>
            <w:tcW w:w="7829" w:type="dxa"/>
            <w:gridSpan w:val="4"/>
            <w:vAlign w:val="center"/>
          </w:tcPr>
          <w:p w14:paraId="7D22AF18">
            <w:pPr>
              <w:adjustRightInd w:val="0"/>
              <w:snapToGrid w:val="0"/>
              <w:jc w:val="center"/>
              <w:rPr>
                <w:color w:val="auto"/>
                <w:szCs w:val="21"/>
              </w:rPr>
            </w:pPr>
            <w:r>
              <w:rPr>
                <w:rFonts w:hint="eastAsia"/>
                <w:color w:val="auto"/>
                <w:szCs w:val="21"/>
              </w:rPr>
              <w:t>对厂区进行分区防渗，根据环境影响评价技术导则</w:t>
            </w:r>
            <w:r>
              <w:rPr>
                <w:color w:val="auto"/>
                <w:szCs w:val="21"/>
              </w:rPr>
              <w:t xml:space="preserve"> </w:t>
            </w:r>
            <w:r>
              <w:rPr>
                <w:rFonts w:hint="eastAsia"/>
                <w:color w:val="auto"/>
                <w:szCs w:val="21"/>
              </w:rPr>
              <w:t>地下水环境》（</w:t>
            </w:r>
            <w:r>
              <w:rPr>
                <w:color w:val="auto"/>
                <w:szCs w:val="21"/>
              </w:rPr>
              <w:t>HJ610-2016</w:t>
            </w:r>
            <w:r>
              <w:rPr>
                <w:rFonts w:hint="eastAsia"/>
                <w:color w:val="auto"/>
                <w:szCs w:val="21"/>
              </w:rPr>
              <w:t>）要求对危废暂存间进行重点防渗，对废水池采用一般防渗措施，对生产车间及原料堆场进行简单防渗。</w:t>
            </w:r>
          </w:p>
        </w:tc>
      </w:tr>
      <w:tr w14:paraId="557CD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1014DFD0">
            <w:pPr>
              <w:adjustRightInd w:val="0"/>
              <w:snapToGrid w:val="0"/>
              <w:jc w:val="center"/>
              <w:rPr>
                <w:color w:val="auto"/>
                <w:szCs w:val="21"/>
              </w:rPr>
            </w:pPr>
            <w:r>
              <w:rPr>
                <w:rFonts w:hAnsi="宋体"/>
                <w:color w:val="auto"/>
                <w:szCs w:val="21"/>
              </w:rPr>
              <w:t>生态保护措施</w:t>
            </w:r>
          </w:p>
        </w:tc>
        <w:tc>
          <w:tcPr>
            <w:tcW w:w="7829" w:type="dxa"/>
            <w:gridSpan w:val="4"/>
            <w:vAlign w:val="center"/>
          </w:tcPr>
          <w:p w14:paraId="0553573F">
            <w:pPr>
              <w:adjustRightInd w:val="0"/>
              <w:snapToGrid w:val="0"/>
              <w:jc w:val="center"/>
              <w:rPr>
                <w:color w:val="auto"/>
                <w:szCs w:val="21"/>
              </w:rPr>
            </w:pPr>
            <w:r>
              <w:rPr>
                <w:rFonts w:hint="eastAsia"/>
                <w:color w:val="auto"/>
                <w:szCs w:val="21"/>
              </w:rPr>
              <w:t>对厂区空地进行绿化</w:t>
            </w:r>
          </w:p>
        </w:tc>
      </w:tr>
      <w:tr w14:paraId="3F759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5E5E8E1F">
            <w:pPr>
              <w:adjustRightInd w:val="0"/>
              <w:snapToGrid w:val="0"/>
              <w:jc w:val="center"/>
              <w:rPr>
                <w:color w:val="auto"/>
                <w:spacing w:val="-8"/>
                <w:szCs w:val="21"/>
              </w:rPr>
            </w:pPr>
            <w:r>
              <w:rPr>
                <w:rFonts w:hAnsi="宋体"/>
                <w:color w:val="auto"/>
                <w:spacing w:val="-8"/>
                <w:szCs w:val="21"/>
              </w:rPr>
              <w:t>环境风险防范措施</w:t>
            </w:r>
          </w:p>
        </w:tc>
        <w:tc>
          <w:tcPr>
            <w:tcW w:w="7829" w:type="dxa"/>
            <w:gridSpan w:val="4"/>
            <w:vAlign w:val="center"/>
          </w:tcPr>
          <w:p w14:paraId="01E8541B">
            <w:pPr>
              <w:adjustRightInd w:val="0"/>
              <w:snapToGrid w:val="0"/>
              <w:jc w:val="both"/>
              <w:rPr>
                <w:rFonts w:hint="eastAsia"/>
                <w:bCs/>
                <w:color w:val="auto"/>
                <w:szCs w:val="21"/>
              </w:rPr>
            </w:pPr>
            <w:r>
              <w:rPr>
                <w:rFonts w:hint="eastAsia"/>
                <w:bCs/>
                <w:color w:val="auto"/>
                <w:szCs w:val="21"/>
              </w:rPr>
              <w:t>（1）风险防范措施</w:t>
            </w:r>
          </w:p>
          <w:p w14:paraId="0532EB05">
            <w:pPr>
              <w:adjustRightInd w:val="0"/>
              <w:snapToGrid w:val="0"/>
              <w:jc w:val="both"/>
              <w:rPr>
                <w:rFonts w:hint="eastAsia"/>
                <w:bCs/>
                <w:color w:val="auto"/>
                <w:szCs w:val="21"/>
              </w:rPr>
            </w:pPr>
            <w:r>
              <w:rPr>
                <w:rFonts w:hint="eastAsia"/>
                <w:bCs/>
                <w:color w:val="auto"/>
                <w:szCs w:val="21"/>
              </w:rPr>
              <w:t>①全厂消防设计本着“预防为主，防消结合”的原则，立足于火灾自救。对主要设备和重要建筑物均采取防消结合措施。要按照有关要求，设置消火栓、灭火器。</w:t>
            </w:r>
          </w:p>
          <w:p w14:paraId="666174E4">
            <w:pPr>
              <w:adjustRightInd w:val="0"/>
              <w:snapToGrid w:val="0"/>
              <w:jc w:val="both"/>
              <w:rPr>
                <w:rFonts w:hint="eastAsia"/>
                <w:bCs/>
                <w:color w:val="auto"/>
                <w:szCs w:val="21"/>
              </w:rPr>
            </w:pPr>
            <w:r>
              <w:rPr>
                <w:rFonts w:hint="eastAsia"/>
                <w:bCs/>
                <w:color w:val="auto"/>
                <w:szCs w:val="21"/>
              </w:rPr>
              <w:t>②防火间距：在总平面布置中，各建筑物构筑物之间的距离应满足有关设计技术规范和建筑设计防火规范的要求。</w:t>
            </w:r>
          </w:p>
          <w:p w14:paraId="64701023">
            <w:pPr>
              <w:adjustRightInd w:val="0"/>
              <w:snapToGrid w:val="0"/>
              <w:jc w:val="both"/>
              <w:rPr>
                <w:rFonts w:hint="eastAsia"/>
                <w:bCs/>
                <w:color w:val="auto"/>
                <w:szCs w:val="21"/>
              </w:rPr>
            </w:pPr>
            <w:r>
              <w:rPr>
                <w:rFonts w:hint="eastAsia"/>
                <w:bCs/>
                <w:color w:val="auto"/>
                <w:szCs w:val="21"/>
              </w:rPr>
              <w:t>③设备的安全管理：定期对设备进行安全检测，检测内容、时间、人员应有记录保存、安全检测应根据设备的安全性、危险性设定检测频次。</w:t>
            </w:r>
          </w:p>
          <w:p w14:paraId="64920A71">
            <w:pPr>
              <w:adjustRightInd w:val="0"/>
              <w:snapToGrid w:val="0"/>
              <w:jc w:val="both"/>
              <w:rPr>
                <w:rFonts w:hint="eastAsia"/>
                <w:bCs/>
                <w:color w:val="auto"/>
                <w:szCs w:val="21"/>
              </w:rPr>
            </w:pPr>
            <w:r>
              <w:rPr>
                <w:rFonts w:hint="eastAsia"/>
                <w:bCs/>
                <w:color w:val="auto"/>
                <w:szCs w:val="21"/>
              </w:rPr>
              <w:t>④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14:paraId="712E5DDE">
            <w:pPr>
              <w:adjustRightInd w:val="0"/>
              <w:snapToGrid w:val="0"/>
              <w:jc w:val="both"/>
              <w:rPr>
                <w:rFonts w:hint="eastAsia"/>
                <w:bCs/>
                <w:color w:val="auto"/>
                <w:szCs w:val="21"/>
              </w:rPr>
            </w:pPr>
            <w:r>
              <w:rPr>
                <w:rFonts w:hint="eastAsia"/>
                <w:bCs/>
                <w:color w:val="auto"/>
                <w:szCs w:val="21"/>
              </w:rPr>
              <w:t>⑤生产车间管理：区域内严格管控明火的使用，要提出安全措施，保厂部履行必要的审批手续。生产车间内电气设备不得任意安装更改，严禁使用临时电线电灯。</w:t>
            </w:r>
          </w:p>
          <w:p w14:paraId="500176E2">
            <w:pPr>
              <w:adjustRightInd w:val="0"/>
              <w:snapToGrid w:val="0"/>
              <w:jc w:val="both"/>
              <w:rPr>
                <w:rFonts w:hint="eastAsia"/>
                <w:bCs/>
                <w:color w:val="auto"/>
                <w:szCs w:val="21"/>
              </w:rPr>
            </w:pPr>
            <w:r>
              <w:rPr>
                <w:rFonts w:hint="eastAsia"/>
                <w:bCs/>
                <w:color w:val="auto"/>
                <w:szCs w:val="21"/>
              </w:rPr>
              <w:t>⑥厂区炭化车间设置可燃气体泄漏报警器。</w:t>
            </w:r>
          </w:p>
          <w:p w14:paraId="4EA4A7A9">
            <w:pPr>
              <w:adjustRightInd w:val="0"/>
              <w:snapToGrid w:val="0"/>
              <w:jc w:val="both"/>
              <w:rPr>
                <w:rFonts w:hint="eastAsia"/>
                <w:bCs/>
                <w:color w:val="auto"/>
                <w:szCs w:val="21"/>
              </w:rPr>
            </w:pPr>
            <w:r>
              <w:rPr>
                <w:rFonts w:hint="eastAsia"/>
                <w:bCs/>
                <w:color w:val="auto"/>
                <w:szCs w:val="21"/>
              </w:rPr>
              <w:t>⑦柴油罐车设置专门车位，车位下设防腐蚀衬层，柴油使用过程中定期检查，发现跑冒滴漏及时处理。</w:t>
            </w:r>
          </w:p>
          <w:p w14:paraId="43A0AE55">
            <w:pPr>
              <w:adjustRightInd w:val="0"/>
              <w:snapToGrid w:val="0"/>
              <w:jc w:val="both"/>
              <w:rPr>
                <w:rFonts w:hint="eastAsia"/>
                <w:bCs/>
                <w:color w:val="auto"/>
                <w:szCs w:val="21"/>
              </w:rPr>
            </w:pPr>
            <w:r>
              <w:rPr>
                <w:rFonts w:hint="eastAsia"/>
                <w:bCs/>
                <w:color w:val="auto"/>
                <w:szCs w:val="21"/>
              </w:rPr>
              <w:t>（2）应急措施</w:t>
            </w:r>
          </w:p>
          <w:p w14:paraId="4D475070">
            <w:pPr>
              <w:adjustRightInd w:val="0"/>
              <w:snapToGrid w:val="0"/>
              <w:jc w:val="both"/>
              <w:rPr>
                <w:rFonts w:hint="eastAsia"/>
                <w:bCs/>
                <w:color w:val="auto"/>
                <w:szCs w:val="21"/>
              </w:rPr>
            </w:pPr>
            <w:r>
              <w:rPr>
                <w:rFonts w:hint="eastAsia"/>
                <w:bCs/>
                <w:color w:val="auto"/>
                <w:szCs w:val="21"/>
              </w:rPr>
              <w:t>①突发环境事件应急预案</w:t>
            </w:r>
          </w:p>
          <w:p w14:paraId="7A5EB645">
            <w:pPr>
              <w:adjustRightInd w:val="0"/>
              <w:snapToGrid w:val="0"/>
              <w:jc w:val="both"/>
              <w:rPr>
                <w:rFonts w:hint="eastAsia"/>
                <w:bCs/>
                <w:color w:val="auto"/>
                <w:szCs w:val="21"/>
              </w:rPr>
            </w:pPr>
            <w:r>
              <w:rPr>
                <w:rFonts w:hint="eastAsia"/>
                <w:bCs/>
                <w:color w:val="auto"/>
                <w:szCs w:val="21"/>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14:paraId="230F5822">
            <w:pPr>
              <w:adjustRightInd w:val="0"/>
              <w:snapToGrid w:val="0"/>
              <w:jc w:val="both"/>
              <w:rPr>
                <w:rFonts w:hint="eastAsia"/>
                <w:bCs/>
                <w:color w:val="auto"/>
                <w:szCs w:val="21"/>
              </w:rPr>
            </w:pPr>
            <w:r>
              <w:rPr>
                <w:rFonts w:hint="eastAsia"/>
                <w:bCs/>
                <w:color w:val="auto"/>
                <w:szCs w:val="21"/>
              </w:rPr>
              <w:t>②环境风险应急体系</w:t>
            </w:r>
          </w:p>
          <w:p w14:paraId="09F9D6A0">
            <w:pPr>
              <w:adjustRightInd w:val="0"/>
              <w:snapToGrid w:val="0"/>
              <w:jc w:val="both"/>
              <w:rPr>
                <w:color w:val="auto"/>
                <w:szCs w:val="21"/>
              </w:rPr>
            </w:pPr>
            <w:r>
              <w:rPr>
                <w:rFonts w:hint="eastAsia"/>
                <w:bCs/>
                <w:color w:val="auto"/>
                <w:szCs w:val="21"/>
              </w:rP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tc>
      </w:tr>
      <w:tr w14:paraId="7C63D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71" w:type="dxa"/>
            <w:vAlign w:val="center"/>
          </w:tcPr>
          <w:p w14:paraId="51F00CA3">
            <w:pPr>
              <w:adjustRightInd w:val="0"/>
              <w:snapToGrid w:val="0"/>
              <w:jc w:val="center"/>
              <w:rPr>
                <w:color w:val="auto"/>
                <w:spacing w:val="-8"/>
                <w:szCs w:val="21"/>
              </w:rPr>
            </w:pPr>
            <w:r>
              <w:rPr>
                <w:rFonts w:hAnsi="宋体"/>
                <w:color w:val="auto"/>
                <w:spacing w:val="-8"/>
                <w:szCs w:val="21"/>
              </w:rPr>
              <w:t>其他环境管理要求</w:t>
            </w:r>
          </w:p>
        </w:tc>
        <w:tc>
          <w:tcPr>
            <w:tcW w:w="7829" w:type="dxa"/>
            <w:gridSpan w:val="4"/>
            <w:vAlign w:val="center"/>
          </w:tcPr>
          <w:p w14:paraId="0F5D38F2">
            <w:pPr>
              <w:adjustRightInd w:val="0"/>
              <w:snapToGrid w:val="0"/>
              <w:ind w:firstLine="420" w:firstLineChars="200"/>
              <w:rPr>
                <w:rFonts w:hint="eastAsia"/>
                <w:bCs/>
                <w:color w:val="auto"/>
                <w:szCs w:val="21"/>
                <w:lang w:eastAsia="zh-CN"/>
              </w:rPr>
            </w:pPr>
            <w:r>
              <w:rPr>
                <w:rFonts w:hint="eastAsia"/>
                <w:color w:val="auto"/>
                <w:szCs w:val="21"/>
              </w:rPr>
              <w:t>严格落实报告所提环境管理要求，项目运营前需按照</w:t>
            </w:r>
            <w:r>
              <w:rPr>
                <w:rFonts w:hint="eastAsia"/>
                <w:color w:val="auto"/>
                <w:szCs w:val="21"/>
                <w:lang w:eastAsia="zh-CN"/>
              </w:rPr>
              <w:t>《</w:t>
            </w:r>
            <w:r>
              <w:rPr>
                <w:rFonts w:hint="eastAsia"/>
                <w:bCs/>
                <w:color w:val="auto"/>
                <w:szCs w:val="21"/>
              </w:rPr>
              <w:t>排污许可证申请与核发技术规范</w:t>
            </w:r>
            <w:r>
              <w:rPr>
                <w:rFonts w:hint="eastAsia"/>
                <w:bCs/>
                <w:color w:val="auto"/>
                <w:szCs w:val="21"/>
                <w:lang w:val="en-US" w:eastAsia="zh-CN"/>
              </w:rPr>
              <w:t xml:space="preserve"> 总则</w:t>
            </w:r>
            <w:r>
              <w:rPr>
                <w:rFonts w:hint="eastAsia"/>
                <w:color w:val="auto"/>
                <w:szCs w:val="21"/>
                <w:lang w:eastAsia="zh-CN"/>
              </w:rPr>
              <w:t>》（</w:t>
            </w:r>
            <w:r>
              <w:rPr>
                <w:rFonts w:hint="eastAsia"/>
                <w:color w:val="auto"/>
                <w:szCs w:val="21"/>
                <w:lang w:val="en-US" w:eastAsia="zh-CN"/>
              </w:rPr>
              <w:t>HJ942-2018</w:t>
            </w:r>
            <w:r>
              <w:rPr>
                <w:rFonts w:hint="eastAsia"/>
                <w:color w:val="auto"/>
                <w:szCs w:val="21"/>
                <w:lang w:eastAsia="zh-CN"/>
              </w:rPr>
              <w:t>）、</w:t>
            </w:r>
            <w:r>
              <w:rPr>
                <w:rFonts w:hint="eastAsia"/>
                <w:bCs/>
                <w:color w:val="auto"/>
                <w:szCs w:val="21"/>
              </w:rPr>
              <w:t>《排污许可证申请与核发技术规范</w:t>
            </w:r>
            <w:r>
              <w:rPr>
                <w:bCs/>
                <w:color w:val="auto"/>
                <w:szCs w:val="21"/>
              </w:rPr>
              <w:t xml:space="preserve"> </w:t>
            </w:r>
            <w:r>
              <w:rPr>
                <w:rFonts w:hint="eastAsia"/>
                <w:bCs/>
                <w:color w:val="auto"/>
                <w:szCs w:val="21"/>
                <w:lang w:eastAsia="zh-CN"/>
              </w:rPr>
              <w:t>工业炉窑</w:t>
            </w:r>
            <w:r>
              <w:rPr>
                <w:rFonts w:hint="eastAsia"/>
                <w:bCs/>
                <w:color w:val="auto"/>
                <w:szCs w:val="21"/>
              </w:rPr>
              <w:t>》（</w:t>
            </w:r>
            <w:r>
              <w:rPr>
                <w:bCs/>
                <w:color w:val="auto"/>
                <w:szCs w:val="21"/>
              </w:rPr>
              <w:t>HJ1</w:t>
            </w:r>
            <w:r>
              <w:rPr>
                <w:rFonts w:hint="eastAsia"/>
                <w:bCs/>
                <w:color w:val="auto"/>
                <w:szCs w:val="21"/>
                <w:lang w:val="en-US" w:eastAsia="zh-CN"/>
              </w:rPr>
              <w:t>121</w:t>
            </w:r>
            <w:r>
              <w:rPr>
                <w:bCs/>
                <w:color w:val="auto"/>
                <w:szCs w:val="21"/>
              </w:rPr>
              <w:t>-2020</w:t>
            </w:r>
            <w:r>
              <w:rPr>
                <w:rFonts w:hint="eastAsia"/>
                <w:bCs/>
                <w:color w:val="auto"/>
                <w:szCs w:val="21"/>
              </w:rPr>
              <w:t>）要求申请排污许可证</w:t>
            </w:r>
            <w:r>
              <w:rPr>
                <w:rFonts w:hint="eastAsia"/>
                <w:bCs/>
                <w:color w:val="auto"/>
                <w:szCs w:val="21"/>
                <w:lang w:eastAsia="zh-CN"/>
              </w:rPr>
              <w:t>。</w:t>
            </w:r>
          </w:p>
          <w:p w14:paraId="3F557C0B">
            <w:pPr>
              <w:adjustRightInd w:val="0"/>
              <w:snapToGrid w:val="0"/>
              <w:rPr>
                <w:rFonts w:hint="eastAsia"/>
                <w:bCs/>
                <w:color w:val="auto"/>
                <w:szCs w:val="21"/>
                <w:lang w:eastAsia="zh-CN"/>
              </w:rPr>
            </w:pPr>
          </w:p>
          <w:p w14:paraId="4B899A6F">
            <w:pPr>
              <w:adjustRightInd w:val="0"/>
              <w:snapToGrid w:val="0"/>
              <w:rPr>
                <w:rFonts w:hint="eastAsia"/>
                <w:bCs/>
                <w:color w:val="auto"/>
                <w:szCs w:val="21"/>
                <w:lang w:eastAsia="zh-CN"/>
              </w:rPr>
            </w:pPr>
          </w:p>
          <w:p w14:paraId="503710DF">
            <w:pPr>
              <w:adjustRightInd w:val="0"/>
              <w:snapToGrid w:val="0"/>
              <w:rPr>
                <w:rFonts w:hint="eastAsia"/>
                <w:bCs/>
                <w:color w:val="auto"/>
                <w:szCs w:val="21"/>
                <w:lang w:eastAsia="zh-CN"/>
              </w:rPr>
            </w:pPr>
          </w:p>
          <w:p w14:paraId="1BA5A8A4">
            <w:pPr>
              <w:adjustRightInd w:val="0"/>
              <w:snapToGrid w:val="0"/>
              <w:rPr>
                <w:rFonts w:hint="eastAsia"/>
                <w:bCs/>
                <w:color w:val="auto"/>
                <w:szCs w:val="21"/>
                <w:lang w:eastAsia="zh-CN"/>
              </w:rPr>
            </w:pPr>
          </w:p>
          <w:p w14:paraId="131CE52E">
            <w:pPr>
              <w:adjustRightInd w:val="0"/>
              <w:snapToGrid w:val="0"/>
              <w:rPr>
                <w:rFonts w:hint="eastAsia"/>
                <w:bCs/>
                <w:color w:val="auto"/>
                <w:szCs w:val="21"/>
                <w:lang w:eastAsia="zh-CN"/>
              </w:rPr>
            </w:pPr>
          </w:p>
          <w:p w14:paraId="70D563FE">
            <w:pPr>
              <w:adjustRightInd w:val="0"/>
              <w:snapToGrid w:val="0"/>
              <w:rPr>
                <w:rFonts w:hint="eastAsia"/>
                <w:bCs/>
                <w:color w:val="auto"/>
                <w:szCs w:val="21"/>
                <w:lang w:eastAsia="zh-CN"/>
              </w:rPr>
            </w:pPr>
          </w:p>
          <w:p w14:paraId="39925F04">
            <w:pPr>
              <w:adjustRightInd w:val="0"/>
              <w:snapToGrid w:val="0"/>
              <w:rPr>
                <w:rFonts w:hint="eastAsia"/>
                <w:bCs/>
                <w:color w:val="auto"/>
                <w:szCs w:val="21"/>
                <w:lang w:eastAsia="zh-CN"/>
              </w:rPr>
            </w:pPr>
          </w:p>
          <w:p w14:paraId="4EADE64C">
            <w:pPr>
              <w:adjustRightInd w:val="0"/>
              <w:snapToGrid w:val="0"/>
              <w:rPr>
                <w:color w:val="auto"/>
                <w:szCs w:val="21"/>
              </w:rPr>
            </w:pPr>
          </w:p>
        </w:tc>
      </w:tr>
    </w:tbl>
    <w:p w14:paraId="00216923">
      <w:pPr>
        <w:pStyle w:val="19"/>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2"/>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C62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tcPr>
          <w:p w14:paraId="2590193A">
            <w:pPr>
              <w:adjustRightInd w:val="0"/>
              <w:snapToGrid w:val="0"/>
              <w:spacing w:line="480" w:lineRule="exact"/>
              <w:ind w:firstLine="480" w:firstLineChars="200"/>
              <w:rPr>
                <w:color w:val="auto"/>
                <w:sz w:val="24"/>
              </w:rPr>
            </w:pPr>
            <w:r>
              <w:rPr>
                <w:color w:val="auto"/>
                <w:sz w:val="24"/>
              </w:rPr>
              <w:t>本项目的建设符合国家产业政策、选址基本合理、生产工艺满足清洁生产要求、污染物的防治措施在技术上和经济上可行，能实现达标排放和总量控制的要求。环境影响评价的结果表明，项目在正常生产和污染防治设施正常运行的情况下，项目的污染物排放对环境的影响较小，基本不改变当地环境质量现状和功能要求。</w:t>
            </w:r>
          </w:p>
          <w:p w14:paraId="4855E4B3">
            <w:pPr>
              <w:adjustRightInd w:val="0"/>
              <w:snapToGrid w:val="0"/>
              <w:spacing w:line="480" w:lineRule="exact"/>
              <w:ind w:firstLine="480" w:firstLineChars="200"/>
              <w:rPr>
                <w:rFonts w:ascii="宋体" w:cs="宋体"/>
                <w:color w:val="auto"/>
                <w:sz w:val="24"/>
              </w:rPr>
            </w:pPr>
            <w:r>
              <w:rPr>
                <w:color w:val="auto"/>
                <w:sz w:val="24"/>
              </w:rPr>
              <w:t>本评价认为，项目在设计和运行时应严格执行安全生产的各项规章制度，根据生产的安全要求，配套相应的安全防范措施，杜绝事故对环境产生的风险。项目建设过程中应严格认真执行环境保护“三同时”制度，切实落实本报告表各项污染防治措施和环境管理措施，确保各类污染物稳定达标排放和污染物排放总量控制。从环境保护的角度分析，本项目的建设是可行的。</w:t>
            </w:r>
          </w:p>
        </w:tc>
      </w:tr>
    </w:tbl>
    <w:p w14:paraId="50922655">
      <w:pPr>
        <w:rPr>
          <w:rFonts w:ascii="宋体"/>
          <w:color w:val="auto"/>
        </w:rPr>
        <w:sectPr>
          <w:pgSz w:w="11906" w:h="16838"/>
          <w:pgMar w:top="1701" w:right="1531" w:bottom="1701" w:left="1531" w:header="851" w:footer="851" w:gutter="0"/>
          <w:cols w:space="720" w:num="1"/>
          <w:docGrid w:linePitch="312" w:charSpace="0"/>
        </w:sectPr>
      </w:pPr>
    </w:p>
    <w:p w14:paraId="066781EE">
      <w:pPr>
        <w:pStyle w:val="19"/>
        <w:adjustRightInd w:val="0"/>
        <w:snapToGrid w:val="0"/>
        <w:spacing w:before="0" w:beforeAutospacing="0" w:after="0" w:afterAutospacing="0"/>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6B0C6FD8">
      <w:pPr>
        <w:pStyle w:val="19"/>
        <w:adjustRightInd w:val="0"/>
        <w:snapToGrid w:val="0"/>
        <w:spacing w:before="0" w:beforeAutospacing="0" w:after="0" w:afterAutospacing="0"/>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2"/>
        <w:tblW w:w="1387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783"/>
        <w:gridCol w:w="1093"/>
      </w:tblGrid>
      <w:tr w14:paraId="1E4B1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tcBorders>
              <w:tl2br w:val="single" w:color="auto" w:sz="4" w:space="0"/>
            </w:tcBorders>
            <w:tcMar>
              <w:left w:w="28" w:type="dxa"/>
              <w:right w:w="28" w:type="dxa"/>
            </w:tcMar>
            <w:vAlign w:val="center"/>
          </w:tcPr>
          <w:p w14:paraId="739956AA">
            <w:pPr>
              <w:pStyle w:val="36"/>
              <w:spacing w:beforeLines="0" w:afterLines="0" w:line="240" w:lineRule="auto"/>
              <w:jc w:val="right"/>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项目</w:t>
            </w:r>
          </w:p>
          <w:p w14:paraId="51DF5838">
            <w:pPr>
              <w:pStyle w:val="36"/>
              <w:spacing w:beforeLines="0" w:afterLines="0" w:line="240" w:lineRule="auto"/>
              <w:jc w:val="left"/>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分类</w:t>
            </w:r>
          </w:p>
        </w:tc>
        <w:tc>
          <w:tcPr>
            <w:tcW w:w="1984" w:type="dxa"/>
            <w:tcMar>
              <w:left w:w="28" w:type="dxa"/>
              <w:right w:w="28" w:type="dxa"/>
            </w:tcMar>
            <w:vAlign w:val="center"/>
          </w:tcPr>
          <w:p w14:paraId="1D2F3201">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污染物名称</w:t>
            </w:r>
          </w:p>
        </w:tc>
        <w:tc>
          <w:tcPr>
            <w:tcW w:w="1701" w:type="dxa"/>
            <w:tcMar>
              <w:left w:w="28" w:type="dxa"/>
              <w:right w:w="28" w:type="dxa"/>
            </w:tcMar>
            <w:vAlign w:val="center"/>
          </w:tcPr>
          <w:p w14:paraId="4B350878">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现有工程</w:t>
            </w:r>
          </w:p>
          <w:p w14:paraId="5F0ADA53">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14:paraId="0C1D2AC7">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现有工程</w:t>
            </w:r>
          </w:p>
          <w:p w14:paraId="2673E346">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许可排放量</w:t>
            </w:r>
          </w:p>
          <w:p w14:paraId="7667B98F">
            <w:pPr>
              <w:pStyle w:val="36"/>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ascii="Times New Roman" w:hAnsi="黑体" w:eastAsia="黑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14:paraId="409DA62A">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在建工程</w:t>
            </w:r>
          </w:p>
          <w:p w14:paraId="645EE37E">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14:paraId="334BAE7B">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本项目</w:t>
            </w:r>
          </w:p>
          <w:p w14:paraId="0990128B">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14:paraId="5B0AB3D3">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以新带老削减量</w:t>
            </w:r>
          </w:p>
          <w:p w14:paraId="210C3723">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ascii="Times New Roman" w:hAnsi="黑体" w:eastAsia="黑体"/>
                <w:color w:val="auto"/>
                <w:kern w:val="2"/>
                <w:szCs w:val="21"/>
              </w:rPr>
              <w:t>⑤</w:t>
            </w:r>
            <w:r>
              <w:rPr>
                <w:rFonts w:ascii="Times New Roman" w:eastAsia="黑体"/>
                <w:snapToGrid w:val="0"/>
                <w:color w:val="auto"/>
                <w:spacing w:val="-16"/>
                <w:kern w:val="21"/>
                <w:szCs w:val="21"/>
              </w:rPr>
              <w:fldChar w:fldCharType="end"/>
            </w:r>
          </w:p>
        </w:tc>
        <w:tc>
          <w:tcPr>
            <w:tcW w:w="1783" w:type="dxa"/>
            <w:tcMar>
              <w:left w:w="28" w:type="dxa"/>
              <w:right w:w="28" w:type="dxa"/>
            </w:tcMar>
            <w:vAlign w:val="center"/>
          </w:tcPr>
          <w:p w14:paraId="2EEFAE83">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本项目建成后</w:t>
            </w:r>
          </w:p>
          <w:p w14:paraId="1E69DE2B">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ascii="Times New Roman" w:hAnsi="黑体" w:eastAsia="黑体"/>
                <w:color w:val="auto"/>
                <w:kern w:val="2"/>
                <w:szCs w:val="21"/>
              </w:rPr>
              <w:t>⑥</w:t>
            </w:r>
            <w:r>
              <w:rPr>
                <w:rFonts w:ascii="Times New Roman" w:eastAsia="黑体"/>
                <w:snapToGrid w:val="0"/>
                <w:color w:val="auto"/>
                <w:spacing w:val="-16"/>
                <w:kern w:val="21"/>
                <w:szCs w:val="21"/>
              </w:rPr>
              <w:fldChar w:fldCharType="end"/>
            </w:r>
          </w:p>
        </w:tc>
        <w:tc>
          <w:tcPr>
            <w:tcW w:w="1093" w:type="dxa"/>
            <w:tcMar>
              <w:left w:w="28" w:type="dxa"/>
              <w:right w:w="28" w:type="dxa"/>
            </w:tcMar>
            <w:vAlign w:val="center"/>
          </w:tcPr>
          <w:p w14:paraId="4C61F004">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变化量</w:t>
            </w:r>
          </w:p>
          <w:p w14:paraId="7F7D8FE5">
            <w:pPr>
              <w:pStyle w:val="3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⑦</w:t>
            </w:r>
            <w:r>
              <w:rPr>
                <w:rFonts w:ascii="Times New Roman" w:eastAsia="黑体"/>
                <w:snapToGrid w:val="0"/>
                <w:color w:val="auto"/>
                <w:spacing w:val="-6"/>
                <w:kern w:val="21"/>
                <w:szCs w:val="21"/>
              </w:rPr>
              <w:fldChar w:fldCharType="end"/>
            </w:r>
          </w:p>
        </w:tc>
      </w:tr>
      <w:tr w14:paraId="69D4C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restart"/>
            <w:vAlign w:val="center"/>
          </w:tcPr>
          <w:p w14:paraId="6480A06A">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废气</w:t>
            </w:r>
          </w:p>
        </w:tc>
        <w:tc>
          <w:tcPr>
            <w:tcW w:w="1984" w:type="dxa"/>
            <w:vAlign w:val="center"/>
          </w:tcPr>
          <w:p w14:paraId="1CBE02FF">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二氧化硫</w:t>
            </w:r>
          </w:p>
        </w:tc>
        <w:tc>
          <w:tcPr>
            <w:tcW w:w="1701" w:type="dxa"/>
            <w:vAlign w:val="center"/>
          </w:tcPr>
          <w:p w14:paraId="196BB733">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14:paraId="73AB5B4F">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44554C05">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25B62FD8">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48.384</w:t>
            </w:r>
          </w:p>
        </w:tc>
        <w:tc>
          <w:tcPr>
            <w:tcW w:w="1761" w:type="dxa"/>
            <w:vAlign w:val="center"/>
          </w:tcPr>
          <w:p w14:paraId="5357C3C0">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14:paraId="05370EB0">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48.384</w:t>
            </w:r>
          </w:p>
        </w:tc>
        <w:tc>
          <w:tcPr>
            <w:tcW w:w="1093" w:type="dxa"/>
            <w:vAlign w:val="center"/>
          </w:tcPr>
          <w:p w14:paraId="50133216">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+48.384</w:t>
            </w:r>
          </w:p>
        </w:tc>
      </w:tr>
      <w:tr w14:paraId="2DB8E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0244F8B2">
            <w:pPr>
              <w:pStyle w:val="36"/>
              <w:spacing w:beforeLines="0" w:afterLines="0" w:line="240" w:lineRule="auto"/>
              <w:rPr>
                <w:rFonts w:ascii="Times New Roman"/>
                <w:snapToGrid w:val="0"/>
                <w:color w:val="auto"/>
                <w:kern w:val="21"/>
                <w:szCs w:val="21"/>
              </w:rPr>
            </w:pPr>
          </w:p>
        </w:tc>
        <w:tc>
          <w:tcPr>
            <w:tcW w:w="1984" w:type="dxa"/>
            <w:vAlign w:val="center"/>
          </w:tcPr>
          <w:p w14:paraId="62E96129">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氮氧化物</w:t>
            </w:r>
          </w:p>
        </w:tc>
        <w:tc>
          <w:tcPr>
            <w:tcW w:w="1701" w:type="dxa"/>
            <w:vAlign w:val="center"/>
          </w:tcPr>
          <w:p w14:paraId="492685F5">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14:paraId="745D05FE">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42462C25">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6A92CE26">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133.146</w:t>
            </w:r>
          </w:p>
        </w:tc>
        <w:tc>
          <w:tcPr>
            <w:tcW w:w="1761" w:type="dxa"/>
            <w:vAlign w:val="center"/>
          </w:tcPr>
          <w:p w14:paraId="567AD3E7">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14:paraId="05052457">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133.146</w:t>
            </w:r>
          </w:p>
        </w:tc>
        <w:tc>
          <w:tcPr>
            <w:tcW w:w="1093" w:type="dxa"/>
            <w:vAlign w:val="center"/>
          </w:tcPr>
          <w:p w14:paraId="34E69500">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+133.146</w:t>
            </w:r>
          </w:p>
        </w:tc>
      </w:tr>
      <w:tr w14:paraId="1EE1F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069A7A2B">
            <w:pPr>
              <w:pStyle w:val="36"/>
              <w:spacing w:beforeLines="0" w:afterLines="0" w:line="240" w:lineRule="auto"/>
              <w:rPr>
                <w:rFonts w:ascii="Times New Roman"/>
                <w:snapToGrid w:val="0"/>
                <w:color w:val="auto"/>
                <w:kern w:val="21"/>
                <w:szCs w:val="21"/>
              </w:rPr>
            </w:pPr>
          </w:p>
        </w:tc>
        <w:tc>
          <w:tcPr>
            <w:tcW w:w="1984" w:type="dxa"/>
            <w:vAlign w:val="center"/>
          </w:tcPr>
          <w:p w14:paraId="49589BED">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颗粒物</w:t>
            </w:r>
          </w:p>
        </w:tc>
        <w:tc>
          <w:tcPr>
            <w:tcW w:w="1701" w:type="dxa"/>
            <w:vAlign w:val="center"/>
          </w:tcPr>
          <w:p w14:paraId="4A9F59B6">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14:paraId="03D64BF9">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005C70F3">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491A4416">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22.403</w:t>
            </w:r>
          </w:p>
        </w:tc>
        <w:tc>
          <w:tcPr>
            <w:tcW w:w="1761" w:type="dxa"/>
            <w:vAlign w:val="center"/>
          </w:tcPr>
          <w:p w14:paraId="0BA8D47D">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14:paraId="562670C1">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22.403</w:t>
            </w:r>
          </w:p>
        </w:tc>
        <w:tc>
          <w:tcPr>
            <w:tcW w:w="1093" w:type="dxa"/>
            <w:vAlign w:val="center"/>
          </w:tcPr>
          <w:p w14:paraId="17C8AD73">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+22.403</w:t>
            </w:r>
          </w:p>
        </w:tc>
      </w:tr>
      <w:tr w14:paraId="62EB6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6D3F9B96">
            <w:pPr>
              <w:pStyle w:val="36"/>
              <w:spacing w:beforeLines="0" w:afterLines="0" w:line="240" w:lineRule="auto"/>
              <w:rPr>
                <w:rFonts w:ascii="Times New Roman"/>
                <w:snapToGrid w:val="0"/>
                <w:color w:val="auto"/>
                <w:kern w:val="21"/>
                <w:szCs w:val="21"/>
              </w:rPr>
            </w:pPr>
          </w:p>
        </w:tc>
        <w:tc>
          <w:tcPr>
            <w:tcW w:w="1984" w:type="dxa"/>
            <w:vAlign w:val="center"/>
          </w:tcPr>
          <w:p w14:paraId="333216A6">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挥发性有机物</w:t>
            </w:r>
          </w:p>
        </w:tc>
        <w:tc>
          <w:tcPr>
            <w:tcW w:w="1701" w:type="dxa"/>
            <w:vAlign w:val="center"/>
          </w:tcPr>
          <w:p w14:paraId="144BD4FF">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14:paraId="27645918">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14:paraId="39CA184F">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14:paraId="62A5210D">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61" w:type="dxa"/>
            <w:vAlign w:val="center"/>
          </w:tcPr>
          <w:p w14:paraId="0C9ECBD0">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14:paraId="0D46F1D1">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093" w:type="dxa"/>
            <w:vAlign w:val="center"/>
          </w:tcPr>
          <w:p w14:paraId="1D67D0A1">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r>
      <w:tr w14:paraId="7B237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restart"/>
            <w:vAlign w:val="center"/>
          </w:tcPr>
          <w:p w14:paraId="539FC58F">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废水</w:t>
            </w:r>
          </w:p>
        </w:tc>
        <w:tc>
          <w:tcPr>
            <w:tcW w:w="1984" w:type="dxa"/>
            <w:vAlign w:val="center"/>
          </w:tcPr>
          <w:p w14:paraId="6AF8F2FD">
            <w:pPr>
              <w:widowControl/>
              <w:jc w:val="center"/>
              <w:rPr>
                <w:color w:val="auto"/>
                <w:kern w:val="0"/>
                <w:szCs w:val="21"/>
              </w:rPr>
            </w:pPr>
            <w:r>
              <w:rPr>
                <w:rFonts w:hint="eastAsia"/>
                <w:color w:val="auto"/>
                <w:kern w:val="0"/>
                <w:szCs w:val="21"/>
              </w:rPr>
              <w:t>生活污水</w:t>
            </w:r>
          </w:p>
        </w:tc>
        <w:tc>
          <w:tcPr>
            <w:tcW w:w="1701" w:type="dxa"/>
            <w:vAlign w:val="center"/>
          </w:tcPr>
          <w:p w14:paraId="25C932C9">
            <w:pPr>
              <w:pStyle w:val="58"/>
              <w:rPr>
                <w:rFonts w:hint="eastAsia" w:eastAsia="宋体"/>
                <w:color w:val="auto"/>
                <w:lang w:eastAsia="zh-CN"/>
              </w:rPr>
            </w:pPr>
            <w:r>
              <w:rPr>
                <w:rFonts w:hint="eastAsia"/>
                <w:color w:val="auto"/>
                <w:lang w:val="en-US" w:eastAsia="zh-CN"/>
              </w:rPr>
              <w:t>/</w:t>
            </w:r>
          </w:p>
        </w:tc>
        <w:tc>
          <w:tcPr>
            <w:tcW w:w="1276" w:type="dxa"/>
            <w:vAlign w:val="center"/>
          </w:tcPr>
          <w:p w14:paraId="7DD09D19">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7AAEB423">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2A15CCBD">
            <w:pPr>
              <w:pStyle w:val="58"/>
              <w:rPr>
                <w:rFonts w:hint="eastAsia" w:eastAsia="宋体"/>
                <w:color w:val="auto"/>
                <w:lang w:val="en-US" w:eastAsia="zh-CN"/>
              </w:rPr>
            </w:pPr>
            <w:r>
              <w:rPr>
                <w:rFonts w:hint="eastAsia"/>
                <w:color w:val="auto"/>
                <w:lang w:val="en-US" w:eastAsia="zh-CN"/>
              </w:rPr>
              <w:t>1920</w:t>
            </w:r>
          </w:p>
        </w:tc>
        <w:tc>
          <w:tcPr>
            <w:tcW w:w="1761" w:type="dxa"/>
            <w:vAlign w:val="center"/>
          </w:tcPr>
          <w:p w14:paraId="607467B0">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5DD69511">
            <w:pPr>
              <w:pStyle w:val="58"/>
              <w:rPr>
                <w:color w:val="auto"/>
              </w:rPr>
            </w:pPr>
            <w:r>
              <w:rPr>
                <w:rFonts w:hint="eastAsia"/>
                <w:color w:val="auto"/>
                <w:lang w:val="en-US" w:eastAsia="zh-CN"/>
              </w:rPr>
              <w:t>1920</w:t>
            </w:r>
          </w:p>
        </w:tc>
        <w:tc>
          <w:tcPr>
            <w:tcW w:w="1093" w:type="dxa"/>
            <w:vAlign w:val="center"/>
          </w:tcPr>
          <w:p w14:paraId="13692EEE">
            <w:pPr>
              <w:pStyle w:val="58"/>
              <w:rPr>
                <w:color w:val="auto"/>
              </w:rPr>
            </w:pPr>
            <w:r>
              <w:rPr>
                <w:rFonts w:hint="eastAsia"/>
                <w:color w:val="auto"/>
                <w:lang w:val="en-US" w:eastAsia="zh-CN"/>
              </w:rPr>
              <w:t>+1920</w:t>
            </w:r>
          </w:p>
        </w:tc>
      </w:tr>
      <w:tr w14:paraId="7123D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5B6DF456">
            <w:pPr>
              <w:pStyle w:val="36"/>
              <w:spacing w:beforeLines="0" w:afterLines="0" w:line="240" w:lineRule="auto"/>
              <w:rPr>
                <w:rFonts w:ascii="Times New Roman" w:hAnsi="宋体"/>
                <w:snapToGrid w:val="0"/>
                <w:color w:val="auto"/>
                <w:kern w:val="21"/>
                <w:szCs w:val="21"/>
              </w:rPr>
            </w:pPr>
          </w:p>
        </w:tc>
        <w:tc>
          <w:tcPr>
            <w:tcW w:w="1984" w:type="dxa"/>
            <w:vAlign w:val="center"/>
          </w:tcPr>
          <w:p w14:paraId="4A2233E9">
            <w:pPr>
              <w:widowControl/>
              <w:jc w:val="center"/>
              <w:rPr>
                <w:color w:val="auto"/>
                <w:kern w:val="0"/>
                <w:szCs w:val="21"/>
              </w:rPr>
            </w:pPr>
            <w:r>
              <w:rPr>
                <w:rFonts w:hint="eastAsia"/>
                <w:color w:val="auto"/>
                <w:kern w:val="0"/>
                <w:szCs w:val="21"/>
              </w:rPr>
              <w:t>含盐废水</w:t>
            </w:r>
          </w:p>
        </w:tc>
        <w:tc>
          <w:tcPr>
            <w:tcW w:w="1701" w:type="dxa"/>
            <w:vAlign w:val="center"/>
          </w:tcPr>
          <w:p w14:paraId="52222ED1">
            <w:pPr>
              <w:pStyle w:val="58"/>
              <w:rPr>
                <w:color w:val="auto"/>
              </w:rPr>
            </w:pPr>
            <w:r>
              <w:rPr>
                <w:color w:val="auto"/>
              </w:rPr>
              <w:t>/</w:t>
            </w:r>
          </w:p>
        </w:tc>
        <w:tc>
          <w:tcPr>
            <w:tcW w:w="1276" w:type="dxa"/>
            <w:vAlign w:val="center"/>
          </w:tcPr>
          <w:p w14:paraId="27CC02D7">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5FE2865A">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630EACE9">
            <w:pPr>
              <w:pStyle w:val="58"/>
              <w:rPr>
                <w:rFonts w:hint="eastAsia" w:eastAsia="宋体"/>
                <w:color w:val="auto"/>
                <w:lang w:val="en-US" w:eastAsia="zh-CN"/>
              </w:rPr>
            </w:pPr>
            <w:r>
              <w:rPr>
                <w:rFonts w:hint="eastAsia"/>
                <w:color w:val="auto"/>
                <w:lang w:val="en-US" w:eastAsia="zh-CN"/>
              </w:rPr>
              <w:t>4723.2</w:t>
            </w:r>
          </w:p>
        </w:tc>
        <w:tc>
          <w:tcPr>
            <w:tcW w:w="1761" w:type="dxa"/>
            <w:vAlign w:val="center"/>
          </w:tcPr>
          <w:p w14:paraId="322E5CD8">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717B6429">
            <w:pPr>
              <w:pStyle w:val="58"/>
              <w:rPr>
                <w:color w:val="auto"/>
              </w:rPr>
            </w:pPr>
            <w:r>
              <w:rPr>
                <w:rFonts w:hint="eastAsia"/>
                <w:color w:val="auto"/>
                <w:lang w:val="en-US" w:eastAsia="zh-CN"/>
              </w:rPr>
              <w:t>4723.2</w:t>
            </w:r>
          </w:p>
        </w:tc>
        <w:tc>
          <w:tcPr>
            <w:tcW w:w="1093" w:type="dxa"/>
            <w:vAlign w:val="center"/>
          </w:tcPr>
          <w:p w14:paraId="5CDB271F">
            <w:pPr>
              <w:pStyle w:val="58"/>
              <w:rPr>
                <w:color w:val="auto"/>
              </w:rPr>
            </w:pPr>
            <w:r>
              <w:rPr>
                <w:rFonts w:hint="eastAsia"/>
                <w:color w:val="auto"/>
                <w:lang w:val="en-US" w:eastAsia="zh-CN"/>
              </w:rPr>
              <w:t>+4723.2</w:t>
            </w:r>
          </w:p>
        </w:tc>
      </w:tr>
      <w:tr w14:paraId="233EE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54B143EC">
            <w:pPr>
              <w:pStyle w:val="36"/>
              <w:spacing w:beforeLines="0" w:afterLines="0" w:line="240" w:lineRule="auto"/>
              <w:rPr>
                <w:rFonts w:ascii="Times New Roman"/>
                <w:snapToGrid w:val="0"/>
                <w:color w:val="auto"/>
                <w:kern w:val="21"/>
                <w:szCs w:val="21"/>
              </w:rPr>
            </w:pPr>
          </w:p>
        </w:tc>
        <w:tc>
          <w:tcPr>
            <w:tcW w:w="1984" w:type="dxa"/>
            <w:vAlign w:val="center"/>
          </w:tcPr>
          <w:p w14:paraId="1A4CA0FD">
            <w:pPr>
              <w:widowControl/>
              <w:jc w:val="center"/>
              <w:rPr>
                <w:color w:val="auto"/>
                <w:kern w:val="0"/>
                <w:szCs w:val="21"/>
              </w:rPr>
            </w:pPr>
            <w:r>
              <w:rPr>
                <w:rFonts w:hint="eastAsia"/>
                <w:color w:val="auto"/>
                <w:kern w:val="0"/>
                <w:szCs w:val="21"/>
                <w:lang w:eastAsia="zh-CN"/>
              </w:rPr>
              <w:t>定期</w:t>
            </w:r>
            <w:r>
              <w:rPr>
                <w:rFonts w:hint="eastAsia"/>
                <w:color w:val="auto"/>
                <w:kern w:val="0"/>
                <w:szCs w:val="21"/>
              </w:rPr>
              <w:t>排污水</w:t>
            </w:r>
          </w:p>
        </w:tc>
        <w:tc>
          <w:tcPr>
            <w:tcW w:w="1701" w:type="dxa"/>
            <w:vAlign w:val="center"/>
          </w:tcPr>
          <w:p w14:paraId="7ADEFFEB">
            <w:pPr>
              <w:pStyle w:val="58"/>
              <w:rPr>
                <w:color w:val="auto"/>
              </w:rPr>
            </w:pPr>
            <w:r>
              <w:rPr>
                <w:color w:val="auto"/>
              </w:rPr>
              <w:t>/</w:t>
            </w:r>
          </w:p>
        </w:tc>
        <w:tc>
          <w:tcPr>
            <w:tcW w:w="1276" w:type="dxa"/>
            <w:vAlign w:val="center"/>
          </w:tcPr>
          <w:p w14:paraId="0727AAAA">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5AFF417A">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3F37EC48">
            <w:pPr>
              <w:pStyle w:val="58"/>
              <w:rPr>
                <w:rFonts w:hint="eastAsia" w:eastAsia="宋体"/>
                <w:color w:val="auto"/>
                <w:lang w:val="en-US" w:eastAsia="zh-CN"/>
              </w:rPr>
            </w:pPr>
            <w:r>
              <w:rPr>
                <w:rFonts w:hint="eastAsia"/>
                <w:color w:val="auto"/>
                <w:lang w:val="en-US" w:eastAsia="zh-CN"/>
              </w:rPr>
              <w:t>10800</w:t>
            </w:r>
          </w:p>
        </w:tc>
        <w:tc>
          <w:tcPr>
            <w:tcW w:w="1761" w:type="dxa"/>
            <w:vAlign w:val="center"/>
          </w:tcPr>
          <w:p w14:paraId="3C818FF9">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2C82DD10">
            <w:pPr>
              <w:pStyle w:val="58"/>
              <w:rPr>
                <w:color w:val="auto"/>
              </w:rPr>
            </w:pPr>
            <w:r>
              <w:rPr>
                <w:rFonts w:hint="eastAsia"/>
                <w:color w:val="auto"/>
                <w:lang w:val="en-US" w:eastAsia="zh-CN"/>
              </w:rPr>
              <w:t>10800</w:t>
            </w:r>
          </w:p>
        </w:tc>
        <w:tc>
          <w:tcPr>
            <w:tcW w:w="1093" w:type="dxa"/>
            <w:vAlign w:val="center"/>
          </w:tcPr>
          <w:p w14:paraId="0BBE6BA7">
            <w:pPr>
              <w:pStyle w:val="58"/>
              <w:rPr>
                <w:color w:val="auto"/>
              </w:rPr>
            </w:pPr>
            <w:r>
              <w:rPr>
                <w:rFonts w:hint="eastAsia"/>
                <w:color w:val="auto"/>
                <w:lang w:val="en-US" w:eastAsia="zh-CN"/>
              </w:rPr>
              <w:t>+10800</w:t>
            </w:r>
          </w:p>
        </w:tc>
      </w:tr>
      <w:tr w14:paraId="340BE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3FE8FEED">
            <w:pPr>
              <w:pStyle w:val="36"/>
              <w:spacing w:beforeLines="0" w:afterLines="0" w:line="240" w:lineRule="auto"/>
              <w:rPr>
                <w:rFonts w:ascii="Times New Roman"/>
                <w:snapToGrid w:val="0"/>
                <w:color w:val="auto"/>
                <w:kern w:val="21"/>
                <w:szCs w:val="21"/>
              </w:rPr>
            </w:pPr>
          </w:p>
        </w:tc>
        <w:tc>
          <w:tcPr>
            <w:tcW w:w="1984" w:type="dxa"/>
            <w:vAlign w:val="center"/>
          </w:tcPr>
          <w:p w14:paraId="1F5575DF">
            <w:pPr>
              <w:widowControl/>
              <w:jc w:val="center"/>
              <w:rPr>
                <w:rFonts w:hint="eastAsia" w:eastAsia="宋体"/>
                <w:color w:val="auto"/>
                <w:kern w:val="0"/>
                <w:szCs w:val="21"/>
                <w:lang w:eastAsia="zh-CN"/>
              </w:rPr>
            </w:pPr>
            <w:r>
              <w:rPr>
                <w:rFonts w:hint="eastAsia"/>
                <w:color w:val="auto"/>
                <w:kern w:val="0"/>
                <w:szCs w:val="21"/>
                <w:lang w:eastAsia="zh-CN"/>
              </w:rPr>
              <w:t>脱硫废水</w:t>
            </w:r>
          </w:p>
        </w:tc>
        <w:tc>
          <w:tcPr>
            <w:tcW w:w="1701" w:type="dxa"/>
            <w:vAlign w:val="center"/>
          </w:tcPr>
          <w:p w14:paraId="512C5B3D">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1A565F94">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14:paraId="70E3B2FA">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14:paraId="4368E207">
            <w:pPr>
              <w:pStyle w:val="58"/>
              <w:rPr>
                <w:rFonts w:hint="eastAsia" w:eastAsia="宋体"/>
                <w:color w:val="auto"/>
                <w:lang w:val="en-US" w:eastAsia="zh-CN"/>
              </w:rPr>
            </w:pPr>
            <w:r>
              <w:rPr>
                <w:rFonts w:hint="eastAsia"/>
                <w:color w:val="auto"/>
                <w:lang w:val="en-US" w:eastAsia="zh-CN"/>
              </w:rPr>
              <w:t>0</w:t>
            </w:r>
          </w:p>
        </w:tc>
        <w:tc>
          <w:tcPr>
            <w:tcW w:w="1761" w:type="dxa"/>
            <w:vAlign w:val="center"/>
          </w:tcPr>
          <w:p w14:paraId="6B4F8E9A">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14:paraId="0AD9D5A1">
            <w:pPr>
              <w:pStyle w:val="58"/>
              <w:rPr>
                <w:color w:val="auto"/>
              </w:rPr>
            </w:pPr>
            <w:r>
              <w:rPr>
                <w:rFonts w:hint="eastAsia"/>
                <w:color w:val="auto"/>
                <w:lang w:val="en-US" w:eastAsia="zh-CN"/>
              </w:rPr>
              <w:t>0</w:t>
            </w:r>
          </w:p>
        </w:tc>
        <w:tc>
          <w:tcPr>
            <w:tcW w:w="1093" w:type="dxa"/>
            <w:vAlign w:val="center"/>
          </w:tcPr>
          <w:p w14:paraId="5DF95C22">
            <w:pPr>
              <w:pStyle w:val="58"/>
              <w:rPr>
                <w:color w:val="auto"/>
              </w:rPr>
            </w:pPr>
            <w:r>
              <w:rPr>
                <w:rFonts w:hint="eastAsia"/>
                <w:color w:val="auto"/>
                <w:lang w:val="en-US" w:eastAsia="zh-CN"/>
              </w:rPr>
              <w:t>0</w:t>
            </w:r>
          </w:p>
        </w:tc>
      </w:tr>
      <w:tr w14:paraId="08314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restart"/>
            <w:vAlign w:val="center"/>
          </w:tcPr>
          <w:p w14:paraId="77F00968">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一般工业</w:t>
            </w:r>
          </w:p>
          <w:p w14:paraId="52DB54E6">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固体废物</w:t>
            </w:r>
          </w:p>
        </w:tc>
        <w:tc>
          <w:tcPr>
            <w:tcW w:w="1984" w:type="dxa"/>
            <w:vAlign w:val="center"/>
          </w:tcPr>
          <w:p w14:paraId="348554C2">
            <w:pPr>
              <w:pStyle w:val="58"/>
              <w:rPr>
                <w:rFonts w:hint="eastAsia" w:eastAsia="宋体"/>
                <w:color w:val="auto"/>
                <w:lang w:eastAsia="zh-CN"/>
              </w:rPr>
            </w:pPr>
            <w:r>
              <w:rPr>
                <w:rFonts w:hint="eastAsia"/>
                <w:color w:val="auto"/>
                <w:lang w:eastAsia="zh-CN"/>
              </w:rPr>
              <w:t>上料车间除尘灰</w:t>
            </w:r>
          </w:p>
        </w:tc>
        <w:tc>
          <w:tcPr>
            <w:tcW w:w="1701" w:type="dxa"/>
            <w:vAlign w:val="center"/>
          </w:tcPr>
          <w:p w14:paraId="3A535348">
            <w:pPr>
              <w:pStyle w:val="58"/>
              <w:rPr>
                <w:color w:val="auto"/>
              </w:rPr>
            </w:pPr>
            <w:r>
              <w:rPr>
                <w:color w:val="auto"/>
              </w:rPr>
              <w:t>/</w:t>
            </w:r>
          </w:p>
        </w:tc>
        <w:tc>
          <w:tcPr>
            <w:tcW w:w="1276" w:type="dxa"/>
            <w:vAlign w:val="center"/>
          </w:tcPr>
          <w:p w14:paraId="2F35FCB0">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68F2171B">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15985DC2">
            <w:pPr>
              <w:pStyle w:val="58"/>
              <w:rPr>
                <w:rFonts w:hint="eastAsia" w:eastAsia="宋体"/>
                <w:color w:val="auto"/>
                <w:lang w:val="en-US" w:eastAsia="zh-CN"/>
              </w:rPr>
            </w:pPr>
            <w:r>
              <w:rPr>
                <w:rFonts w:hint="eastAsia"/>
                <w:color w:val="auto"/>
                <w:lang w:val="en-US" w:eastAsia="zh-CN"/>
              </w:rPr>
              <w:t>128.75</w:t>
            </w:r>
          </w:p>
        </w:tc>
        <w:tc>
          <w:tcPr>
            <w:tcW w:w="1761" w:type="dxa"/>
            <w:vAlign w:val="center"/>
          </w:tcPr>
          <w:p w14:paraId="476AC034">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2E53A78E">
            <w:pPr>
              <w:pStyle w:val="58"/>
              <w:rPr>
                <w:color w:val="auto"/>
              </w:rPr>
            </w:pPr>
            <w:r>
              <w:rPr>
                <w:rFonts w:hint="eastAsia"/>
                <w:color w:val="auto"/>
                <w:lang w:val="en-US" w:eastAsia="zh-CN"/>
              </w:rPr>
              <w:t>128.75</w:t>
            </w:r>
          </w:p>
        </w:tc>
        <w:tc>
          <w:tcPr>
            <w:tcW w:w="1093" w:type="dxa"/>
            <w:vAlign w:val="center"/>
          </w:tcPr>
          <w:p w14:paraId="18034D0F">
            <w:pPr>
              <w:pStyle w:val="58"/>
              <w:rPr>
                <w:color w:val="auto"/>
              </w:rPr>
            </w:pPr>
            <w:r>
              <w:rPr>
                <w:rFonts w:hint="eastAsia"/>
                <w:color w:val="auto"/>
                <w:lang w:val="en-US" w:eastAsia="zh-CN"/>
              </w:rPr>
              <w:t>+128.75</w:t>
            </w:r>
          </w:p>
        </w:tc>
      </w:tr>
      <w:tr w14:paraId="7196A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70DA2195">
            <w:pPr>
              <w:pStyle w:val="36"/>
              <w:spacing w:beforeLines="0" w:afterLines="0" w:line="240" w:lineRule="auto"/>
              <w:rPr>
                <w:rFonts w:ascii="Times New Roman" w:hAnsi="宋体"/>
                <w:snapToGrid w:val="0"/>
                <w:color w:val="auto"/>
                <w:kern w:val="21"/>
                <w:szCs w:val="21"/>
              </w:rPr>
            </w:pPr>
          </w:p>
        </w:tc>
        <w:tc>
          <w:tcPr>
            <w:tcW w:w="1984" w:type="dxa"/>
            <w:vAlign w:val="center"/>
          </w:tcPr>
          <w:p w14:paraId="11C53D14">
            <w:pPr>
              <w:pStyle w:val="58"/>
              <w:rPr>
                <w:rFonts w:hint="eastAsia" w:eastAsia="宋体"/>
                <w:color w:val="auto"/>
                <w:lang w:eastAsia="zh-CN"/>
              </w:rPr>
            </w:pPr>
            <w:r>
              <w:rPr>
                <w:rFonts w:hint="eastAsia"/>
                <w:color w:val="auto"/>
                <w:lang w:eastAsia="zh-CN"/>
              </w:rPr>
              <w:t>炭化车间除尘灰</w:t>
            </w:r>
          </w:p>
        </w:tc>
        <w:tc>
          <w:tcPr>
            <w:tcW w:w="1701" w:type="dxa"/>
            <w:vAlign w:val="center"/>
          </w:tcPr>
          <w:p w14:paraId="45BB9E8C">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3E2F17AD">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7DC898E8">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756CB9E2">
            <w:pPr>
              <w:pStyle w:val="58"/>
              <w:rPr>
                <w:rFonts w:hint="eastAsia" w:eastAsia="宋体"/>
                <w:color w:val="auto"/>
                <w:lang w:val="en-US" w:eastAsia="zh-CN"/>
              </w:rPr>
            </w:pPr>
            <w:r>
              <w:rPr>
                <w:rFonts w:hint="eastAsia"/>
                <w:color w:val="auto"/>
                <w:lang w:val="en-US" w:eastAsia="zh-CN"/>
              </w:rPr>
              <w:t>5889.35</w:t>
            </w:r>
          </w:p>
        </w:tc>
        <w:tc>
          <w:tcPr>
            <w:tcW w:w="1761" w:type="dxa"/>
            <w:vAlign w:val="center"/>
          </w:tcPr>
          <w:p w14:paraId="34686BDC">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4171A848">
            <w:pPr>
              <w:pStyle w:val="58"/>
              <w:rPr>
                <w:color w:val="auto"/>
              </w:rPr>
            </w:pPr>
            <w:r>
              <w:rPr>
                <w:rFonts w:hint="eastAsia"/>
                <w:color w:val="auto"/>
                <w:lang w:val="en-US" w:eastAsia="zh-CN"/>
              </w:rPr>
              <w:t>5889.35</w:t>
            </w:r>
          </w:p>
        </w:tc>
        <w:tc>
          <w:tcPr>
            <w:tcW w:w="1093" w:type="dxa"/>
            <w:vAlign w:val="center"/>
          </w:tcPr>
          <w:p w14:paraId="4AA22179">
            <w:pPr>
              <w:pStyle w:val="58"/>
              <w:rPr>
                <w:color w:val="auto"/>
              </w:rPr>
            </w:pPr>
            <w:r>
              <w:rPr>
                <w:rFonts w:hint="eastAsia"/>
                <w:color w:val="auto"/>
                <w:lang w:val="en-US" w:eastAsia="zh-CN"/>
              </w:rPr>
              <w:t>+5889.35</w:t>
            </w:r>
          </w:p>
        </w:tc>
      </w:tr>
      <w:tr w14:paraId="3A50D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73F22972">
            <w:pPr>
              <w:pStyle w:val="36"/>
              <w:spacing w:beforeLines="0" w:afterLines="0" w:line="240" w:lineRule="auto"/>
              <w:rPr>
                <w:rFonts w:ascii="Times New Roman" w:hAnsi="宋体"/>
                <w:snapToGrid w:val="0"/>
                <w:color w:val="auto"/>
                <w:kern w:val="21"/>
                <w:szCs w:val="21"/>
              </w:rPr>
            </w:pPr>
          </w:p>
        </w:tc>
        <w:tc>
          <w:tcPr>
            <w:tcW w:w="1984" w:type="dxa"/>
            <w:vAlign w:val="center"/>
          </w:tcPr>
          <w:p w14:paraId="4E7B8379">
            <w:pPr>
              <w:pStyle w:val="58"/>
              <w:rPr>
                <w:rFonts w:hint="eastAsia" w:eastAsia="宋体"/>
                <w:color w:val="auto"/>
                <w:lang w:eastAsia="zh-CN"/>
              </w:rPr>
            </w:pPr>
            <w:r>
              <w:rPr>
                <w:rFonts w:hint="eastAsia"/>
                <w:color w:val="auto"/>
                <w:lang w:eastAsia="zh-CN"/>
              </w:rPr>
              <w:t>机制炭车间除尘灰</w:t>
            </w:r>
          </w:p>
        </w:tc>
        <w:tc>
          <w:tcPr>
            <w:tcW w:w="1701" w:type="dxa"/>
            <w:vAlign w:val="center"/>
          </w:tcPr>
          <w:p w14:paraId="3FA9CAEE">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5B666A32">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45D905C4">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1CFB61C1">
            <w:pPr>
              <w:pStyle w:val="58"/>
              <w:rPr>
                <w:rFonts w:hint="eastAsia" w:eastAsia="宋体"/>
                <w:color w:val="auto"/>
                <w:lang w:val="en-US" w:eastAsia="zh-CN"/>
              </w:rPr>
            </w:pPr>
            <w:r>
              <w:rPr>
                <w:rFonts w:hint="eastAsia"/>
                <w:color w:val="auto"/>
                <w:lang w:val="en-US" w:eastAsia="zh-CN"/>
              </w:rPr>
              <w:t>58.26</w:t>
            </w:r>
          </w:p>
        </w:tc>
        <w:tc>
          <w:tcPr>
            <w:tcW w:w="1761" w:type="dxa"/>
            <w:vAlign w:val="center"/>
          </w:tcPr>
          <w:p w14:paraId="1CCF7EBF">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1F508108">
            <w:pPr>
              <w:pStyle w:val="58"/>
              <w:rPr>
                <w:color w:val="auto"/>
              </w:rPr>
            </w:pPr>
            <w:r>
              <w:rPr>
                <w:rFonts w:hint="eastAsia"/>
                <w:color w:val="auto"/>
                <w:lang w:val="en-US" w:eastAsia="zh-CN"/>
              </w:rPr>
              <w:t>58.26</w:t>
            </w:r>
          </w:p>
        </w:tc>
        <w:tc>
          <w:tcPr>
            <w:tcW w:w="1093" w:type="dxa"/>
            <w:vAlign w:val="center"/>
          </w:tcPr>
          <w:p w14:paraId="2DBE377D">
            <w:pPr>
              <w:pStyle w:val="58"/>
              <w:rPr>
                <w:color w:val="auto"/>
              </w:rPr>
            </w:pPr>
            <w:r>
              <w:rPr>
                <w:rFonts w:hint="eastAsia"/>
                <w:color w:val="auto"/>
                <w:lang w:val="en-US" w:eastAsia="zh-CN"/>
              </w:rPr>
              <w:t>+58.26</w:t>
            </w:r>
          </w:p>
        </w:tc>
      </w:tr>
      <w:tr w14:paraId="518D9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05232D23">
            <w:pPr>
              <w:pStyle w:val="36"/>
              <w:spacing w:beforeLines="0" w:afterLines="0" w:line="240" w:lineRule="auto"/>
              <w:rPr>
                <w:rFonts w:ascii="Times New Roman" w:hAnsi="宋体"/>
                <w:snapToGrid w:val="0"/>
                <w:color w:val="auto"/>
                <w:kern w:val="21"/>
                <w:szCs w:val="21"/>
              </w:rPr>
            </w:pPr>
          </w:p>
        </w:tc>
        <w:tc>
          <w:tcPr>
            <w:tcW w:w="1984" w:type="dxa"/>
            <w:vAlign w:val="center"/>
          </w:tcPr>
          <w:p w14:paraId="2439754E">
            <w:pPr>
              <w:pStyle w:val="58"/>
              <w:rPr>
                <w:rFonts w:hint="eastAsia" w:eastAsia="宋体"/>
                <w:color w:val="auto"/>
                <w:lang w:eastAsia="zh-CN"/>
              </w:rPr>
            </w:pPr>
            <w:r>
              <w:rPr>
                <w:rFonts w:hint="eastAsia"/>
                <w:color w:val="auto"/>
                <w:lang w:eastAsia="zh-CN"/>
              </w:rPr>
              <w:t>废气离子交换树脂</w:t>
            </w:r>
          </w:p>
        </w:tc>
        <w:tc>
          <w:tcPr>
            <w:tcW w:w="1701" w:type="dxa"/>
            <w:vAlign w:val="center"/>
          </w:tcPr>
          <w:p w14:paraId="30862E49">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6A6D22D1">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2010E99B">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3E869589">
            <w:pPr>
              <w:pStyle w:val="58"/>
              <w:rPr>
                <w:rFonts w:hint="eastAsia" w:eastAsia="宋体"/>
                <w:color w:val="auto"/>
                <w:lang w:val="en-US" w:eastAsia="zh-CN"/>
              </w:rPr>
            </w:pPr>
            <w:r>
              <w:rPr>
                <w:rFonts w:hint="eastAsia"/>
                <w:color w:val="auto"/>
                <w:lang w:val="en-US" w:eastAsia="zh-CN"/>
              </w:rPr>
              <w:t>0.36</w:t>
            </w:r>
          </w:p>
        </w:tc>
        <w:tc>
          <w:tcPr>
            <w:tcW w:w="1761" w:type="dxa"/>
            <w:vAlign w:val="center"/>
          </w:tcPr>
          <w:p w14:paraId="29A7DB55">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12B2B1BB">
            <w:pPr>
              <w:pStyle w:val="58"/>
              <w:rPr>
                <w:color w:val="auto"/>
              </w:rPr>
            </w:pPr>
            <w:r>
              <w:rPr>
                <w:rFonts w:hint="eastAsia"/>
                <w:color w:val="auto"/>
                <w:lang w:val="en-US" w:eastAsia="zh-CN"/>
              </w:rPr>
              <w:t>0.36</w:t>
            </w:r>
          </w:p>
        </w:tc>
        <w:tc>
          <w:tcPr>
            <w:tcW w:w="1093" w:type="dxa"/>
            <w:vAlign w:val="center"/>
          </w:tcPr>
          <w:p w14:paraId="1DC6C7E4">
            <w:pPr>
              <w:pStyle w:val="58"/>
              <w:rPr>
                <w:color w:val="auto"/>
              </w:rPr>
            </w:pPr>
            <w:r>
              <w:rPr>
                <w:rFonts w:hint="eastAsia"/>
                <w:color w:val="auto"/>
                <w:lang w:val="en-US" w:eastAsia="zh-CN"/>
              </w:rPr>
              <w:t>+0.36</w:t>
            </w:r>
          </w:p>
        </w:tc>
      </w:tr>
      <w:tr w14:paraId="74BC9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68E54EDE">
            <w:pPr>
              <w:pStyle w:val="36"/>
              <w:spacing w:beforeLines="0" w:afterLines="0" w:line="240" w:lineRule="auto"/>
              <w:rPr>
                <w:rFonts w:ascii="Times New Roman" w:hAnsi="宋体"/>
                <w:snapToGrid w:val="0"/>
                <w:color w:val="auto"/>
                <w:kern w:val="21"/>
                <w:szCs w:val="21"/>
              </w:rPr>
            </w:pPr>
          </w:p>
        </w:tc>
        <w:tc>
          <w:tcPr>
            <w:tcW w:w="1984" w:type="dxa"/>
            <w:vAlign w:val="center"/>
          </w:tcPr>
          <w:p w14:paraId="6F23120B">
            <w:pPr>
              <w:pStyle w:val="58"/>
              <w:rPr>
                <w:rFonts w:hint="eastAsia" w:eastAsia="宋体"/>
                <w:color w:val="auto"/>
                <w:lang w:eastAsia="zh-CN"/>
              </w:rPr>
            </w:pPr>
            <w:r>
              <w:rPr>
                <w:rFonts w:hint="eastAsia"/>
                <w:color w:val="auto"/>
                <w:lang w:eastAsia="zh-CN"/>
              </w:rPr>
              <w:t>脱硫石膏</w:t>
            </w:r>
          </w:p>
        </w:tc>
        <w:tc>
          <w:tcPr>
            <w:tcW w:w="1701" w:type="dxa"/>
            <w:vAlign w:val="center"/>
          </w:tcPr>
          <w:p w14:paraId="31918E62">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218BAC7E">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18BD2B5A">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0A70CF02">
            <w:pPr>
              <w:pStyle w:val="58"/>
              <w:rPr>
                <w:rFonts w:hint="eastAsia" w:eastAsia="宋体"/>
                <w:color w:val="auto"/>
                <w:lang w:val="en-US" w:eastAsia="zh-CN"/>
              </w:rPr>
            </w:pPr>
            <w:r>
              <w:rPr>
                <w:rFonts w:hint="eastAsia"/>
                <w:color w:val="auto"/>
                <w:lang w:val="en-US" w:eastAsia="zh-CN"/>
              </w:rPr>
              <w:t>1170.29</w:t>
            </w:r>
          </w:p>
        </w:tc>
        <w:tc>
          <w:tcPr>
            <w:tcW w:w="1761" w:type="dxa"/>
            <w:vAlign w:val="center"/>
          </w:tcPr>
          <w:p w14:paraId="434D622E">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7290D6B0">
            <w:pPr>
              <w:pStyle w:val="58"/>
              <w:rPr>
                <w:color w:val="auto"/>
              </w:rPr>
            </w:pPr>
            <w:r>
              <w:rPr>
                <w:rFonts w:hint="eastAsia"/>
                <w:color w:val="auto"/>
                <w:lang w:val="en-US" w:eastAsia="zh-CN"/>
              </w:rPr>
              <w:t>1170.29</w:t>
            </w:r>
          </w:p>
        </w:tc>
        <w:tc>
          <w:tcPr>
            <w:tcW w:w="1093" w:type="dxa"/>
            <w:vAlign w:val="center"/>
          </w:tcPr>
          <w:p w14:paraId="17C7C9D2">
            <w:pPr>
              <w:pStyle w:val="58"/>
              <w:rPr>
                <w:color w:val="auto"/>
              </w:rPr>
            </w:pPr>
            <w:r>
              <w:rPr>
                <w:rFonts w:hint="eastAsia"/>
                <w:color w:val="auto"/>
                <w:lang w:val="en-US" w:eastAsia="zh-CN"/>
              </w:rPr>
              <w:t>+1170.29</w:t>
            </w:r>
          </w:p>
        </w:tc>
      </w:tr>
      <w:tr w14:paraId="33A01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Merge w:val="continue"/>
            <w:vAlign w:val="center"/>
          </w:tcPr>
          <w:p w14:paraId="77968254">
            <w:pPr>
              <w:pStyle w:val="36"/>
              <w:spacing w:beforeLines="0" w:afterLines="0" w:line="240" w:lineRule="auto"/>
              <w:rPr>
                <w:rFonts w:ascii="Times New Roman"/>
                <w:snapToGrid w:val="0"/>
                <w:color w:val="auto"/>
                <w:kern w:val="21"/>
                <w:szCs w:val="21"/>
              </w:rPr>
            </w:pPr>
          </w:p>
        </w:tc>
        <w:tc>
          <w:tcPr>
            <w:tcW w:w="1984" w:type="dxa"/>
            <w:vAlign w:val="center"/>
          </w:tcPr>
          <w:p w14:paraId="0964C625">
            <w:pPr>
              <w:pStyle w:val="58"/>
              <w:rPr>
                <w:color w:val="auto"/>
              </w:rPr>
            </w:pPr>
            <w:r>
              <w:rPr>
                <w:rFonts w:hint="eastAsia"/>
                <w:color w:val="auto"/>
              </w:rPr>
              <w:t>生活垃圾</w:t>
            </w:r>
          </w:p>
        </w:tc>
        <w:tc>
          <w:tcPr>
            <w:tcW w:w="1701" w:type="dxa"/>
            <w:vAlign w:val="center"/>
          </w:tcPr>
          <w:p w14:paraId="70342549">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45458FA6">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11D8C92C">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29CA69B9">
            <w:pPr>
              <w:pStyle w:val="58"/>
              <w:rPr>
                <w:rFonts w:hint="eastAsia" w:eastAsia="宋体"/>
                <w:color w:val="auto"/>
                <w:lang w:val="en-US" w:eastAsia="zh-CN"/>
              </w:rPr>
            </w:pPr>
            <w:r>
              <w:rPr>
                <w:rFonts w:hint="eastAsia"/>
                <w:color w:val="auto"/>
                <w:lang w:val="en-US" w:eastAsia="zh-CN"/>
              </w:rPr>
              <w:t>12</w:t>
            </w:r>
          </w:p>
        </w:tc>
        <w:tc>
          <w:tcPr>
            <w:tcW w:w="1761" w:type="dxa"/>
            <w:vAlign w:val="center"/>
          </w:tcPr>
          <w:p w14:paraId="39908FC6">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14:paraId="764F8732">
            <w:pPr>
              <w:pStyle w:val="58"/>
              <w:rPr>
                <w:color w:val="auto"/>
              </w:rPr>
            </w:pPr>
            <w:r>
              <w:rPr>
                <w:rFonts w:hint="eastAsia"/>
                <w:color w:val="auto"/>
                <w:lang w:val="en-US" w:eastAsia="zh-CN"/>
              </w:rPr>
              <w:t>12</w:t>
            </w:r>
          </w:p>
        </w:tc>
        <w:tc>
          <w:tcPr>
            <w:tcW w:w="1093" w:type="dxa"/>
            <w:vAlign w:val="center"/>
          </w:tcPr>
          <w:p w14:paraId="101498EA">
            <w:pPr>
              <w:pStyle w:val="58"/>
              <w:rPr>
                <w:color w:val="auto"/>
              </w:rPr>
            </w:pPr>
            <w:r>
              <w:rPr>
                <w:rFonts w:hint="eastAsia"/>
                <w:color w:val="auto"/>
                <w:lang w:val="en-US" w:eastAsia="zh-CN"/>
              </w:rPr>
              <w:t>+12</w:t>
            </w:r>
          </w:p>
        </w:tc>
      </w:tr>
      <w:tr w14:paraId="74BBB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1" w:type="dxa"/>
            <w:vAlign w:val="center"/>
          </w:tcPr>
          <w:p w14:paraId="63A9AE7C">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危险废物</w:t>
            </w:r>
          </w:p>
        </w:tc>
        <w:tc>
          <w:tcPr>
            <w:tcW w:w="1984" w:type="dxa"/>
            <w:vAlign w:val="center"/>
          </w:tcPr>
          <w:p w14:paraId="1D2BDDF3">
            <w:pPr>
              <w:pStyle w:val="58"/>
              <w:rPr>
                <w:color w:val="auto"/>
              </w:rPr>
            </w:pPr>
            <w:r>
              <w:rPr>
                <w:rFonts w:hint="eastAsia"/>
                <w:color w:val="auto"/>
              </w:rPr>
              <w:t>废润滑油</w:t>
            </w:r>
          </w:p>
        </w:tc>
        <w:tc>
          <w:tcPr>
            <w:tcW w:w="1701" w:type="dxa"/>
            <w:vAlign w:val="center"/>
          </w:tcPr>
          <w:p w14:paraId="3C478D40">
            <w:pPr>
              <w:pStyle w:val="58"/>
              <w:rPr>
                <w:rFonts w:hint="eastAsia" w:eastAsia="宋体"/>
                <w:color w:val="auto"/>
                <w:lang w:val="en-US" w:eastAsia="zh-CN"/>
              </w:rPr>
            </w:pPr>
            <w:r>
              <w:rPr>
                <w:rFonts w:hint="eastAsia"/>
                <w:color w:val="auto"/>
                <w:lang w:val="en-US" w:eastAsia="zh-CN"/>
              </w:rPr>
              <w:t>/</w:t>
            </w:r>
          </w:p>
        </w:tc>
        <w:tc>
          <w:tcPr>
            <w:tcW w:w="1276" w:type="dxa"/>
            <w:vAlign w:val="center"/>
          </w:tcPr>
          <w:p w14:paraId="0ACF1187">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14:paraId="642A6C2D">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14:paraId="6CB1F18A">
            <w:pPr>
              <w:pStyle w:val="58"/>
              <w:rPr>
                <w:rFonts w:hint="eastAsia" w:eastAsia="宋体"/>
                <w:color w:val="auto"/>
                <w:lang w:val="en-US" w:eastAsia="zh-CN"/>
              </w:rPr>
            </w:pPr>
            <w:r>
              <w:rPr>
                <w:rFonts w:hint="eastAsia"/>
                <w:color w:val="auto"/>
                <w:lang w:val="en-US" w:eastAsia="zh-CN"/>
              </w:rPr>
              <w:t>4.5</w:t>
            </w:r>
          </w:p>
        </w:tc>
        <w:tc>
          <w:tcPr>
            <w:tcW w:w="1761" w:type="dxa"/>
            <w:vAlign w:val="center"/>
          </w:tcPr>
          <w:p w14:paraId="60E5BA29">
            <w:pPr>
              <w:pStyle w:val="58"/>
              <w:rPr>
                <w:color w:val="auto"/>
              </w:rPr>
            </w:pPr>
            <w:r>
              <w:rPr>
                <w:rFonts w:hint="eastAsia"/>
                <w:color w:val="auto"/>
              </w:rPr>
              <w:t>0</w:t>
            </w:r>
          </w:p>
        </w:tc>
        <w:tc>
          <w:tcPr>
            <w:tcW w:w="1783" w:type="dxa"/>
            <w:vAlign w:val="center"/>
          </w:tcPr>
          <w:p w14:paraId="705DE094">
            <w:pPr>
              <w:pStyle w:val="58"/>
              <w:rPr>
                <w:color w:val="auto"/>
              </w:rPr>
            </w:pPr>
            <w:r>
              <w:rPr>
                <w:rFonts w:hint="eastAsia"/>
                <w:color w:val="auto"/>
                <w:lang w:val="en-US" w:eastAsia="zh-CN"/>
              </w:rPr>
              <w:t>4.5</w:t>
            </w:r>
          </w:p>
        </w:tc>
        <w:tc>
          <w:tcPr>
            <w:tcW w:w="1093" w:type="dxa"/>
            <w:vAlign w:val="center"/>
          </w:tcPr>
          <w:p w14:paraId="35253A93">
            <w:pPr>
              <w:pStyle w:val="58"/>
              <w:rPr>
                <w:color w:val="auto"/>
              </w:rPr>
            </w:pPr>
            <w:r>
              <w:rPr>
                <w:rFonts w:hint="eastAsia"/>
                <w:color w:val="auto"/>
                <w:lang w:val="en-US" w:eastAsia="zh-CN"/>
              </w:rPr>
              <w:t>+4.5</w:t>
            </w:r>
          </w:p>
        </w:tc>
      </w:tr>
    </w:tbl>
    <w:p w14:paraId="128D2A55">
      <w:pPr>
        <w:pStyle w:val="36"/>
        <w:spacing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2F4EBCDA">
      <w:pPr>
        <w:rPr>
          <w:rFonts w:ascii="宋体" w:hAnsi="宋体" w:eastAsia="黑体"/>
          <w:color w:val="auto"/>
        </w:rPr>
      </w:pPr>
    </w:p>
    <w:sectPr>
      <w:footerReference r:id="rId4"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59CD">
    <w:pPr>
      <w:pStyle w:val="16"/>
      <w:framePr w:wrap="around" w:vAnchor="text" w:hAnchor="page" w:x="5435" w:y="-102"/>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5</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14:paraId="61EC91E6">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E1AE">
    <w:pPr>
      <w:pStyle w:val="16"/>
      <w:framePr w:wrap="around" w:vAnchor="text" w:hAnchor="margin" w:xAlign="outside" w:y="1"/>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70</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14:paraId="165CDA9E">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97B02"/>
    <w:multiLevelType w:val="singleLevel"/>
    <w:tmpl w:val="5AC97B02"/>
    <w:lvl w:ilvl="0" w:tentative="0">
      <w:start w:val="1"/>
      <w:numFmt w:val="decimal"/>
      <w:suff w:val="nothing"/>
      <w:lvlText w:val="%1、"/>
      <w:lvlJc w:val="left"/>
    </w:lvl>
  </w:abstractNum>
  <w:abstractNum w:abstractNumId="1">
    <w:nsid w:val="607676BE"/>
    <w:multiLevelType w:val="singleLevel"/>
    <w:tmpl w:val="607676BE"/>
    <w:lvl w:ilvl="0" w:tentative="0">
      <w:start w:val="1"/>
      <w:numFmt w:val="decimal"/>
      <w:suff w:val="nothing"/>
      <w:lvlText w:val="%1、"/>
      <w:lvlJc w:val="left"/>
    </w:lvl>
  </w:abstractNum>
  <w:abstractNum w:abstractNumId="2">
    <w:nsid w:val="6076DB54"/>
    <w:multiLevelType w:val="singleLevel"/>
    <w:tmpl w:val="6076DB54"/>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0E6B0E"/>
    <w:rsid w:val="000F2E83"/>
    <w:rsid w:val="00106646"/>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07D4"/>
    <w:rsid w:val="0023280E"/>
    <w:rsid w:val="002377D1"/>
    <w:rsid w:val="002506BC"/>
    <w:rsid w:val="00254345"/>
    <w:rsid w:val="00254FD7"/>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2383"/>
    <w:rsid w:val="0030332C"/>
    <w:rsid w:val="003051C2"/>
    <w:rsid w:val="00312296"/>
    <w:rsid w:val="00314F0E"/>
    <w:rsid w:val="00321D8E"/>
    <w:rsid w:val="00325928"/>
    <w:rsid w:val="00332863"/>
    <w:rsid w:val="0033684D"/>
    <w:rsid w:val="00337B42"/>
    <w:rsid w:val="00341B42"/>
    <w:rsid w:val="0034348F"/>
    <w:rsid w:val="003543BE"/>
    <w:rsid w:val="00356653"/>
    <w:rsid w:val="0035743F"/>
    <w:rsid w:val="00357BE2"/>
    <w:rsid w:val="0036170C"/>
    <w:rsid w:val="00366E0F"/>
    <w:rsid w:val="003722FE"/>
    <w:rsid w:val="00381A72"/>
    <w:rsid w:val="00384676"/>
    <w:rsid w:val="003853BC"/>
    <w:rsid w:val="00390857"/>
    <w:rsid w:val="003A4BF3"/>
    <w:rsid w:val="003B420D"/>
    <w:rsid w:val="003C6C16"/>
    <w:rsid w:val="003D794D"/>
    <w:rsid w:val="003E3058"/>
    <w:rsid w:val="003E76A9"/>
    <w:rsid w:val="003F0809"/>
    <w:rsid w:val="003F6A8C"/>
    <w:rsid w:val="003F755C"/>
    <w:rsid w:val="004049FA"/>
    <w:rsid w:val="00406F01"/>
    <w:rsid w:val="00416D50"/>
    <w:rsid w:val="00416FD5"/>
    <w:rsid w:val="00417772"/>
    <w:rsid w:val="00420E6A"/>
    <w:rsid w:val="004229C1"/>
    <w:rsid w:val="00425A9E"/>
    <w:rsid w:val="00426D6B"/>
    <w:rsid w:val="00431E6C"/>
    <w:rsid w:val="00433CE7"/>
    <w:rsid w:val="00442015"/>
    <w:rsid w:val="00452738"/>
    <w:rsid w:val="00456091"/>
    <w:rsid w:val="00466321"/>
    <w:rsid w:val="00484B9B"/>
    <w:rsid w:val="004855F6"/>
    <w:rsid w:val="0048661E"/>
    <w:rsid w:val="00490706"/>
    <w:rsid w:val="00494670"/>
    <w:rsid w:val="004A3823"/>
    <w:rsid w:val="004B249E"/>
    <w:rsid w:val="004C5CE0"/>
    <w:rsid w:val="004D5451"/>
    <w:rsid w:val="004E6946"/>
    <w:rsid w:val="004F1AD8"/>
    <w:rsid w:val="005039CB"/>
    <w:rsid w:val="00504570"/>
    <w:rsid w:val="0050558F"/>
    <w:rsid w:val="00506286"/>
    <w:rsid w:val="00510813"/>
    <w:rsid w:val="00511990"/>
    <w:rsid w:val="00511DE0"/>
    <w:rsid w:val="00514870"/>
    <w:rsid w:val="00514B9B"/>
    <w:rsid w:val="00517F02"/>
    <w:rsid w:val="00524303"/>
    <w:rsid w:val="005258A2"/>
    <w:rsid w:val="00532489"/>
    <w:rsid w:val="005401AE"/>
    <w:rsid w:val="00542E07"/>
    <w:rsid w:val="00545424"/>
    <w:rsid w:val="00554A7B"/>
    <w:rsid w:val="0055572C"/>
    <w:rsid w:val="0056106A"/>
    <w:rsid w:val="005720AE"/>
    <w:rsid w:val="00594D77"/>
    <w:rsid w:val="005969E4"/>
    <w:rsid w:val="005A06B7"/>
    <w:rsid w:val="005A1759"/>
    <w:rsid w:val="005A68A7"/>
    <w:rsid w:val="005B054C"/>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A626C"/>
    <w:rsid w:val="007B72B8"/>
    <w:rsid w:val="007B7A58"/>
    <w:rsid w:val="007C21B5"/>
    <w:rsid w:val="007E4BD2"/>
    <w:rsid w:val="00801393"/>
    <w:rsid w:val="00802F88"/>
    <w:rsid w:val="0081293E"/>
    <w:rsid w:val="00815465"/>
    <w:rsid w:val="008156DF"/>
    <w:rsid w:val="00817E9A"/>
    <w:rsid w:val="008306BD"/>
    <w:rsid w:val="00831A80"/>
    <w:rsid w:val="00833743"/>
    <w:rsid w:val="008340A4"/>
    <w:rsid w:val="008446A0"/>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134"/>
    <w:rsid w:val="00995992"/>
    <w:rsid w:val="009A03E5"/>
    <w:rsid w:val="009A0F3B"/>
    <w:rsid w:val="009A1BB4"/>
    <w:rsid w:val="009A2628"/>
    <w:rsid w:val="009A3200"/>
    <w:rsid w:val="009B0897"/>
    <w:rsid w:val="009B77A2"/>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2721"/>
    <w:rsid w:val="00AD47A7"/>
    <w:rsid w:val="00AD5A7E"/>
    <w:rsid w:val="00AE30A3"/>
    <w:rsid w:val="00AE64DD"/>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B7923"/>
    <w:rsid w:val="00BC32DC"/>
    <w:rsid w:val="00BC35B6"/>
    <w:rsid w:val="00BC4DB8"/>
    <w:rsid w:val="00BD1B51"/>
    <w:rsid w:val="00BD4596"/>
    <w:rsid w:val="00BE1405"/>
    <w:rsid w:val="00BE312D"/>
    <w:rsid w:val="00BF1C20"/>
    <w:rsid w:val="00C10578"/>
    <w:rsid w:val="00C135BC"/>
    <w:rsid w:val="00C15C95"/>
    <w:rsid w:val="00C16193"/>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388F"/>
    <w:rsid w:val="00CF6000"/>
    <w:rsid w:val="00D003F3"/>
    <w:rsid w:val="00D0364F"/>
    <w:rsid w:val="00D06834"/>
    <w:rsid w:val="00D17F7F"/>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C08DF"/>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14D7"/>
    <w:rsid w:val="00FB503A"/>
    <w:rsid w:val="00FB516C"/>
    <w:rsid w:val="00FD0236"/>
    <w:rsid w:val="00FD18F4"/>
    <w:rsid w:val="00FD54DB"/>
    <w:rsid w:val="00FD619F"/>
    <w:rsid w:val="00FD6BFB"/>
    <w:rsid w:val="01290F7E"/>
    <w:rsid w:val="015D1E09"/>
    <w:rsid w:val="02697903"/>
    <w:rsid w:val="02F96569"/>
    <w:rsid w:val="03367E32"/>
    <w:rsid w:val="035336AA"/>
    <w:rsid w:val="03EA7B21"/>
    <w:rsid w:val="04E33B89"/>
    <w:rsid w:val="05F83EAE"/>
    <w:rsid w:val="063E7D85"/>
    <w:rsid w:val="06F41416"/>
    <w:rsid w:val="07293586"/>
    <w:rsid w:val="07295285"/>
    <w:rsid w:val="07636392"/>
    <w:rsid w:val="07770C56"/>
    <w:rsid w:val="08D65DBF"/>
    <w:rsid w:val="092217DD"/>
    <w:rsid w:val="093A7294"/>
    <w:rsid w:val="09533135"/>
    <w:rsid w:val="09782D2C"/>
    <w:rsid w:val="09805C12"/>
    <w:rsid w:val="0A263993"/>
    <w:rsid w:val="0A2D3AC2"/>
    <w:rsid w:val="0AA755DF"/>
    <w:rsid w:val="0B120D44"/>
    <w:rsid w:val="0B967607"/>
    <w:rsid w:val="0BD27BF6"/>
    <w:rsid w:val="0C3B3C7D"/>
    <w:rsid w:val="0CAB2EAE"/>
    <w:rsid w:val="0D621C7D"/>
    <w:rsid w:val="0E73034D"/>
    <w:rsid w:val="0F13775A"/>
    <w:rsid w:val="0F5F45FE"/>
    <w:rsid w:val="0F9A112B"/>
    <w:rsid w:val="102728A0"/>
    <w:rsid w:val="106D2F64"/>
    <w:rsid w:val="10A62D29"/>
    <w:rsid w:val="10B63710"/>
    <w:rsid w:val="10F10820"/>
    <w:rsid w:val="111C2F7A"/>
    <w:rsid w:val="11665CA1"/>
    <w:rsid w:val="11802A02"/>
    <w:rsid w:val="12D35A7A"/>
    <w:rsid w:val="13951726"/>
    <w:rsid w:val="14396509"/>
    <w:rsid w:val="14DD2C3C"/>
    <w:rsid w:val="14FD2D9D"/>
    <w:rsid w:val="16087E1D"/>
    <w:rsid w:val="16765A94"/>
    <w:rsid w:val="16D32498"/>
    <w:rsid w:val="16EC28A2"/>
    <w:rsid w:val="17492814"/>
    <w:rsid w:val="17701D14"/>
    <w:rsid w:val="17735226"/>
    <w:rsid w:val="189F624C"/>
    <w:rsid w:val="1A1C66C0"/>
    <w:rsid w:val="1A42393B"/>
    <w:rsid w:val="1AAD45DE"/>
    <w:rsid w:val="1B046F80"/>
    <w:rsid w:val="1B3267B5"/>
    <w:rsid w:val="1B372779"/>
    <w:rsid w:val="1B40161D"/>
    <w:rsid w:val="1B441859"/>
    <w:rsid w:val="1B6606B1"/>
    <w:rsid w:val="1C5E7925"/>
    <w:rsid w:val="1CFD070F"/>
    <w:rsid w:val="1D5F6196"/>
    <w:rsid w:val="1D6132A5"/>
    <w:rsid w:val="1D8E56D5"/>
    <w:rsid w:val="1E7A43DA"/>
    <w:rsid w:val="1FE7539E"/>
    <w:rsid w:val="20080196"/>
    <w:rsid w:val="20671BE0"/>
    <w:rsid w:val="20963CB8"/>
    <w:rsid w:val="20A81A1B"/>
    <w:rsid w:val="20B07FB6"/>
    <w:rsid w:val="20B646FB"/>
    <w:rsid w:val="20DC7125"/>
    <w:rsid w:val="213B74B1"/>
    <w:rsid w:val="215A2310"/>
    <w:rsid w:val="21C16F62"/>
    <w:rsid w:val="21D77CC9"/>
    <w:rsid w:val="21DE318A"/>
    <w:rsid w:val="21EF5B80"/>
    <w:rsid w:val="223552B5"/>
    <w:rsid w:val="22576990"/>
    <w:rsid w:val="22F47480"/>
    <w:rsid w:val="23DE1C48"/>
    <w:rsid w:val="240210CD"/>
    <w:rsid w:val="24BF09F7"/>
    <w:rsid w:val="252D53FE"/>
    <w:rsid w:val="25EC2D81"/>
    <w:rsid w:val="277057A2"/>
    <w:rsid w:val="28D80B9D"/>
    <w:rsid w:val="29206EB8"/>
    <w:rsid w:val="29595666"/>
    <w:rsid w:val="29874881"/>
    <w:rsid w:val="29E325E0"/>
    <w:rsid w:val="2A452503"/>
    <w:rsid w:val="2A83032C"/>
    <w:rsid w:val="2AF02B6C"/>
    <w:rsid w:val="2BA936A8"/>
    <w:rsid w:val="2C315A5A"/>
    <w:rsid w:val="2C4B1C25"/>
    <w:rsid w:val="2D207A8F"/>
    <w:rsid w:val="2D9E56F5"/>
    <w:rsid w:val="2E667F96"/>
    <w:rsid w:val="2E8226AB"/>
    <w:rsid w:val="2FD065E6"/>
    <w:rsid w:val="2FD96870"/>
    <w:rsid w:val="300F6BAC"/>
    <w:rsid w:val="30580BC9"/>
    <w:rsid w:val="311E2ED7"/>
    <w:rsid w:val="315619EE"/>
    <w:rsid w:val="315C449C"/>
    <w:rsid w:val="31B82709"/>
    <w:rsid w:val="31D05482"/>
    <w:rsid w:val="32017E04"/>
    <w:rsid w:val="32400B34"/>
    <w:rsid w:val="329E6876"/>
    <w:rsid w:val="333015F2"/>
    <w:rsid w:val="334B6320"/>
    <w:rsid w:val="33D934D4"/>
    <w:rsid w:val="33FE2F6A"/>
    <w:rsid w:val="340E07E5"/>
    <w:rsid w:val="34235BF7"/>
    <w:rsid w:val="346E45D2"/>
    <w:rsid w:val="353E57E9"/>
    <w:rsid w:val="358C5FA8"/>
    <w:rsid w:val="35C15DF1"/>
    <w:rsid w:val="35D30796"/>
    <w:rsid w:val="36074A7F"/>
    <w:rsid w:val="36923549"/>
    <w:rsid w:val="36B75FBF"/>
    <w:rsid w:val="36BD0C45"/>
    <w:rsid w:val="370C2910"/>
    <w:rsid w:val="3782591D"/>
    <w:rsid w:val="37E00298"/>
    <w:rsid w:val="37EA5ECE"/>
    <w:rsid w:val="38B302F9"/>
    <w:rsid w:val="38F12CD3"/>
    <w:rsid w:val="38F94775"/>
    <w:rsid w:val="392971ED"/>
    <w:rsid w:val="39325651"/>
    <w:rsid w:val="39F810C8"/>
    <w:rsid w:val="3A872856"/>
    <w:rsid w:val="3B3763D1"/>
    <w:rsid w:val="3C2F6E1E"/>
    <w:rsid w:val="3C4F64BA"/>
    <w:rsid w:val="3CDA245A"/>
    <w:rsid w:val="3D1E06B7"/>
    <w:rsid w:val="3EDA0523"/>
    <w:rsid w:val="3F717672"/>
    <w:rsid w:val="407A6407"/>
    <w:rsid w:val="4200449D"/>
    <w:rsid w:val="423A3BCC"/>
    <w:rsid w:val="42430C5B"/>
    <w:rsid w:val="424E57D2"/>
    <w:rsid w:val="42B26C49"/>
    <w:rsid w:val="433A6FE6"/>
    <w:rsid w:val="43480868"/>
    <w:rsid w:val="434A6D5F"/>
    <w:rsid w:val="4350713C"/>
    <w:rsid w:val="436653E0"/>
    <w:rsid w:val="43C4431A"/>
    <w:rsid w:val="444D4179"/>
    <w:rsid w:val="44B951CC"/>
    <w:rsid w:val="44CD14E0"/>
    <w:rsid w:val="44F20B0B"/>
    <w:rsid w:val="450A53E0"/>
    <w:rsid w:val="452E5F4C"/>
    <w:rsid w:val="45612018"/>
    <w:rsid w:val="458946E9"/>
    <w:rsid w:val="45A47C0E"/>
    <w:rsid w:val="464C2A61"/>
    <w:rsid w:val="46577FD6"/>
    <w:rsid w:val="46D955A7"/>
    <w:rsid w:val="47133957"/>
    <w:rsid w:val="47A07E0C"/>
    <w:rsid w:val="4870272E"/>
    <w:rsid w:val="48781183"/>
    <w:rsid w:val="49DC7715"/>
    <w:rsid w:val="4A023139"/>
    <w:rsid w:val="4A7B576F"/>
    <w:rsid w:val="4AAB7C00"/>
    <w:rsid w:val="4AF561A9"/>
    <w:rsid w:val="4C4A0649"/>
    <w:rsid w:val="4C7E5ECA"/>
    <w:rsid w:val="4C876AA5"/>
    <w:rsid w:val="4CC34BE4"/>
    <w:rsid w:val="4D0A45D5"/>
    <w:rsid w:val="4D0E00FB"/>
    <w:rsid w:val="4D176606"/>
    <w:rsid w:val="4DDE0A3A"/>
    <w:rsid w:val="4DEC4FB0"/>
    <w:rsid w:val="4E075D8A"/>
    <w:rsid w:val="4EC00FAD"/>
    <w:rsid w:val="4F614C5C"/>
    <w:rsid w:val="4F9843DC"/>
    <w:rsid w:val="4FC62A8C"/>
    <w:rsid w:val="4FE20F0D"/>
    <w:rsid w:val="4FE51552"/>
    <w:rsid w:val="50504C4B"/>
    <w:rsid w:val="508069C2"/>
    <w:rsid w:val="509C6E7C"/>
    <w:rsid w:val="5162104E"/>
    <w:rsid w:val="5397600A"/>
    <w:rsid w:val="53A039CC"/>
    <w:rsid w:val="53A1505A"/>
    <w:rsid w:val="54063E08"/>
    <w:rsid w:val="543437E8"/>
    <w:rsid w:val="54F73313"/>
    <w:rsid w:val="54F80955"/>
    <w:rsid w:val="555170A7"/>
    <w:rsid w:val="5587536D"/>
    <w:rsid w:val="559B174B"/>
    <w:rsid w:val="55CE0CF4"/>
    <w:rsid w:val="55EF01A3"/>
    <w:rsid w:val="56B22A9C"/>
    <w:rsid w:val="57B72A76"/>
    <w:rsid w:val="57C3426C"/>
    <w:rsid w:val="57CE1F93"/>
    <w:rsid w:val="588743D1"/>
    <w:rsid w:val="5887701A"/>
    <w:rsid w:val="59482027"/>
    <w:rsid w:val="59C0439F"/>
    <w:rsid w:val="5ABE2233"/>
    <w:rsid w:val="5BDF5D95"/>
    <w:rsid w:val="5BFE7528"/>
    <w:rsid w:val="5C0850B0"/>
    <w:rsid w:val="5DD50A65"/>
    <w:rsid w:val="5E2467F1"/>
    <w:rsid w:val="5F1A2B43"/>
    <w:rsid w:val="5FB837BB"/>
    <w:rsid w:val="60CC405A"/>
    <w:rsid w:val="61E215D8"/>
    <w:rsid w:val="621B3775"/>
    <w:rsid w:val="62364782"/>
    <w:rsid w:val="6394356A"/>
    <w:rsid w:val="63C61B2C"/>
    <w:rsid w:val="63D40BE9"/>
    <w:rsid w:val="64102431"/>
    <w:rsid w:val="64A5243A"/>
    <w:rsid w:val="64F531DE"/>
    <w:rsid w:val="65373578"/>
    <w:rsid w:val="65F55C80"/>
    <w:rsid w:val="671F124A"/>
    <w:rsid w:val="677A33C6"/>
    <w:rsid w:val="681369C5"/>
    <w:rsid w:val="681F6961"/>
    <w:rsid w:val="682D7802"/>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7B59CC"/>
    <w:rsid w:val="70856B87"/>
    <w:rsid w:val="70D527EE"/>
    <w:rsid w:val="715B5300"/>
    <w:rsid w:val="71D27F8A"/>
    <w:rsid w:val="72553024"/>
    <w:rsid w:val="73122968"/>
    <w:rsid w:val="731F5D5E"/>
    <w:rsid w:val="733D3814"/>
    <w:rsid w:val="73C51AD5"/>
    <w:rsid w:val="74132B5D"/>
    <w:rsid w:val="741E793C"/>
    <w:rsid w:val="745E3944"/>
    <w:rsid w:val="7635099D"/>
    <w:rsid w:val="770E7BD1"/>
    <w:rsid w:val="77762421"/>
    <w:rsid w:val="77B56B1F"/>
    <w:rsid w:val="780F09F4"/>
    <w:rsid w:val="78A90480"/>
    <w:rsid w:val="795A0B1B"/>
    <w:rsid w:val="79F05C47"/>
    <w:rsid w:val="7A364017"/>
    <w:rsid w:val="7A8265E1"/>
    <w:rsid w:val="7AAE401F"/>
    <w:rsid w:val="7B686D42"/>
    <w:rsid w:val="7B841746"/>
    <w:rsid w:val="7C6C5AC7"/>
    <w:rsid w:val="7CC6544B"/>
    <w:rsid w:val="7D0239FF"/>
    <w:rsid w:val="7D5E40CD"/>
    <w:rsid w:val="7DCD56F2"/>
    <w:rsid w:val="7EC62F7E"/>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99" w:semiHidden="0" w:name="Date"/>
    <w:lsdException w:qFormat="1" w:uiPriority="99"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iPriority="0" w:semiHidden="0" w:name="Body Text Indent 3" w:locked="1"/>
    <w:lsdException w:unhideWhenUsed="0" w:uiPriority="0" w:semiHidden="0" w:name="Block Text" w:locked="1"/>
    <w:lsdException w:unhideWhenUsed="0" w:uiPriority="0" w:semiHidden="0" w:name="Hyperlink" w:locked="1"/>
    <w:lsdException w:unhideWhenUsed="0"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59"/>
    <w:unhideWhenUsed/>
    <w:qFormat/>
    <w:locked/>
    <w:uiPriority w:val="9"/>
    <w:pPr>
      <w:keepNext/>
      <w:keepLines/>
      <w:spacing w:before="260" w:after="260" w:line="415" w:lineRule="auto"/>
      <w:outlineLvl w:val="1"/>
    </w:pPr>
    <w:rPr>
      <w:rFonts w:ascii="Cambria" w:hAnsi="Cambria" w:cs="宋体"/>
      <w:b/>
      <w:bCs/>
      <w:sz w:val="32"/>
      <w:szCs w:val="32"/>
    </w:rPr>
  </w:style>
  <w:style w:type="paragraph" w:styleId="5">
    <w:name w:val="heading 3"/>
    <w:basedOn w:val="1"/>
    <w:next w:val="1"/>
    <w:link w:val="60"/>
    <w:unhideWhenUsed/>
    <w:qFormat/>
    <w:locked/>
    <w:uiPriority w:val="9"/>
    <w:pPr>
      <w:keepNext/>
      <w:keepLines/>
      <w:spacing w:before="260" w:after="260" w:line="415" w:lineRule="auto"/>
      <w:outlineLvl w:val="2"/>
    </w:pPr>
    <w:rPr>
      <w:b/>
      <w:bCs/>
      <w:sz w:val="32"/>
      <w:szCs w:val="32"/>
    </w:rPr>
  </w:style>
  <w:style w:type="paragraph" w:styleId="6">
    <w:name w:val="heading 4"/>
    <w:basedOn w:val="1"/>
    <w:next w:val="1"/>
    <w:link w:val="61"/>
    <w:unhideWhenUsed/>
    <w:qFormat/>
    <w:locked/>
    <w:uiPriority w:val="0"/>
    <w:pPr>
      <w:keepNext/>
      <w:keepLines/>
      <w:widowControl/>
      <w:spacing w:line="360" w:lineRule="auto"/>
      <w:ind w:firstLine="640" w:firstLineChars="200"/>
      <w:outlineLvl w:val="3"/>
    </w:pPr>
    <w:rPr>
      <w:b/>
      <w:bCs/>
      <w:color w:val="00000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Default"/>
    <w:link w:val="5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link w:val="62"/>
    <w:unhideWhenUsed/>
    <w:qFormat/>
    <w:locked/>
    <w:uiPriority w:val="0"/>
    <w:pPr>
      <w:ind w:firstLine="420" w:firstLineChars="200"/>
    </w:pPr>
  </w:style>
  <w:style w:type="paragraph" w:styleId="8">
    <w:name w:val="Document Map"/>
    <w:basedOn w:val="1"/>
    <w:link w:val="45"/>
    <w:qFormat/>
    <w:locked/>
    <w:uiPriority w:val="99"/>
    <w:rPr>
      <w:rFonts w:ascii="宋体"/>
      <w:sz w:val="18"/>
      <w:szCs w:val="18"/>
    </w:rPr>
  </w:style>
  <w:style w:type="paragraph" w:styleId="9">
    <w:name w:val="annotation text"/>
    <w:basedOn w:val="1"/>
    <w:link w:val="34"/>
    <w:semiHidden/>
    <w:qFormat/>
    <w:uiPriority w:val="0"/>
    <w:pPr>
      <w:jc w:val="left"/>
    </w:pPr>
    <w:rPr>
      <w:kern w:val="0"/>
      <w:sz w:val="24"/>
      <w:szCs w:val="20"/>
    </w:rPr>
  </w:style>
  <w:style w:type="paragraph" w:styleId="10">
    <w:name w:val="Body Text"/>
    <w:basedOn w:val="1"/>
    <w:link w:val="33"/>
    <w:qFormat/>
    <w:uiPriority w:val="1"/>
    <w:pPr>
      <w:widowControl/>
      <w:snapToGrid w:val="0"/>
      <w:spacing w:before="60" w:after="160" w:line="259" w:lineRule="auto"/>
      <w:ind w:right="113"/>
    </w:pPr>
    <w:rPr>
      <w:kern w:val="0"/>
      <w:sz w:val="18"/>
      <w:szCs w:val="20"/>
    </w:rPr>
  </w:style>
  <w:style w:type="paragraph" w:styleId="11">
    <w:name w:val="Body Text Indent"/>
    <w:basedOn w:val="1"/>
    <w:link w:val="42"/>
    <w:qFormat/>
    <w:uiPriority w:val="0"/>
    <w:pPr>
      <w:spacing w:after="120"/>
      <w:ind w:left="420" w:leftChars="200"/>
    </w:pPr>
    <w:rPr>
      <w:kern w:val="0"/>
      <w:sz w:val="24"/>
      <w:szCs w:val="20"/>
    </w:rPr>
  </w:style>
  <w:style w:type="paragraph" w:styleId="12">
    <w:name w:val="Plain Text"/>
    <w:basedOn w:val="1"/>
    <w:link w:val="71"/>
    <w:unhideWhenUsed/>
    <w:qFormat/>
    <w:locked/>
    <w:uiPriority w:val="0"/>
    <w:rPr>
      <w:rFonts w:ascii="宋体" w:hAnsi="Courier New"/>
    </w:rPr>
  </w:style>
  <w:style w:type="paragraph" w:styleId="13">
    <w:name w:val="Date"/>
    <w:basedOn w:val="1"/>
    <w:next w:val="1"/>
    <w:link w:val="29"/>
    <w:qFormat/>
    <w:uiPriority w:val="99"/>
    <w:pPr>
      <w:ind w:left="100" w:leftChars="2500"/>
    </w:pPr>
    <w:rPr>
      <w:kern w:val="0"/>
      <w:sz w:val="24"/>
      <w:szCs w:val="20"/>
    </w:rPr>
  </w:style>
  <w:style w:type="paragraph" w:styleId="14">
    <w:name w:val="Body Text Indent 2"/>
    <w:basedOn w:val="1"/>
    <w:link w:val="67"/>
    <w:unhideWhenUsed/>
    <w:qFormat/>
    <w:locked/>
    <w:uiPriority w:val="0"/>
    <w:pPr>
      <w:spacing w:after="120" w:line="480" w:lineRule="auto"/>
      <w:ind w:left="420" w:leftChars="200"/>
    </w:pPr>
    <w:rPr>
      <w:rFonts w:ascii="Tahoma" w:hAnsi="Tahoma"/>
    </w:rPr>
  </w:style>
  <w:style w:type="paragraph" w:styleId="15">
    <w:name w:val="Balloon Text"/>
    <w:basedOn w:val="1"/>
    <w:link w:val="38"/>
    <w:semiHidden/>
    <w:qFormat/>
    <w:uiPriority w:val="99"/>
    <w:rPr>
      <w:kern w:val="0"/>
      <w:sz w:val="18"/>
      <w:szCs w:val="20"/>
    </w:rPr>
  </w:style>
  <w:style w:type="paragraph" w:styleId="16">
    <w:name w:val="footer"/>
    <w:basedOn w:val="1"/>
    <w:link w:val="28"/>
    <w:qFormat/>
    <w:uiPriority w:val="99"/>
    <w:pPr>
      <w:tabs>
        <w:tab w:val="center" w:pos="4153"/>
        <w:tab w:val="right" w:pos="8306"/>
      </w:tabs>
      <w:snapToGrid w:val="0"/>
      <w:jc w:val="left"/>
    </w:pPr>
    <w:rPr>
      <w:kern w:val="0"/>
      <w:sz w:val="18"/>
      <w:szCs w:val="20"/>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Body Text Indent 3"/>
    <w:basedOn w:val="1"/>
    <w:link w:val="69"/>
    <w:unhideWhenUsed/>
    <w:qFormat/>
    <w:locked/>
    <w:uiPriority w:val="0"/>
    <w:pPr>
      <w:spacing w:after="120"/>
      <w:ind w:left="420" w:leftChars="200"/>
    </w:pPr>
    <w:rPr>
      <w:sz w:val="16"/>
      <w:szCs w:val="16"/>
    </w:rPr>
  </w:style>
  <w:style w:type="paragraph" w:styleId="19">
    <w:name w:val="Normal (Web)"/>
    <w:basedOn w:val="1"/>
    <w:link w:val="31"/>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9"/>
    <w:next w:val="9"/>
    <w:link w:val="39"/>
    <w:semiHidden/>
    <w:qFormat/>
    <w:uiPriority w:val="99"/>
    <w:rPr>
      <w:b/>
      <w:kern w:val="2"/>
    </w:rPr>
  </w:style>
  <w:style w:type="paragraph" w:styleId="21">
    <w:name w:val="Body Text First Indent"/>
    <w:basedOn w:val="10"/>
    <w:link w:val="65"/>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locked/>
    <w:uiPriority w:val="0"/>
  </w:style>
  <w:style w:type="character" w:styleId="26">
    <w:name w:val="annotation reference"/>
    <w:semiHidden/>
    <w:qFormat/>
    <w:uiPriority w:val="99"/>
    <w:rPr>
      <w:sz w:val="21"/>
    </w:rPr>
  </w:style>
  <w:style w:type="character" w:customStyle="1" w:styleId="27">
    <w:name w:val="标题 1 Char"/>
    <w:basedOn w:val="24"/>
    <w:link w:val="3"/>
    <w:qFormat/>
    <w:uiPriority w:val="9"/>
    <w:rPr>
      <w:rFonts w:eastAsia="黑体"/>
      <w:b/>
      <w:bCs/>
      <w:color w:val="000000"/>
      <w:kern w:val="44"/>
      <w:sz w:val="30"/>
      <w:szCs w:val="30"/>
    </w:rPr>
  </w:style>
  <w:style w:type="character" w:customStyle="1" w:styleId="28">
    <w:name w:val="页脚 Char"/>
    <w:link w:val="16"/>
    <w:qFormat/>
    <w:locked/>
    <w:uiPriority w:val="99"/>
    <w:rPr>
      <w:sz w:val="18"/>
    </w:rPr>
  </w:style>
  <w:style w:type="character" w:customStyle="1" w:styleId="29">
    <w:name w:val="日期 Char"/>
    <w:link w:val="13"/>
    <w:qFormat/>
    <w:locked/>
    <w:uiPriority w:val="99"/>
    <w:rPr>
      <w:rFonts w:ascii="Times New Roman" w:hAnsi="Times New Roman" w:eastAsia="宋体"/>
      <w:sz w:val="24"/>
    </w:rPr>
  </w:style>
  <w:style w:type="character" w:customStyle="1" w:styleId="30">
    <w:name w:val="页脚 字符"/>
    <w:basedOn w:val="24"/>
    <w:qFormat/>
    <w:uiPriority w:val="99"/>
  </w:style>
  <w:style w:type="character" w:customStyle="1" w:styleId="31">
    <w:name w:val="普通(网站) Char"/>
    <w:link w:val="19"/>
    <w:qFormat/>
    <w:locked/>
    <w:uiPriority w:val="0"/>
    <w:rPr>
      <w:rFonts w:ascii="宋体" w:hAnsi="宋体" w:eastAsia="宋体"/>
      <w:sz w:val="24"/>
    </w:rPr>
  </w:style>
  <w:style w:type="character" w:customStyle="1" w:styleId="32">
    <w:name w:val="正文文本 字符1"/>
    <w:semiHidden/>
    <w:qFormat/>
    <w:uiPriority w:val="0"/>
    <w:rPr>
      <w:rFonts w:ascii="Times New Roman" w:hAnsi="Times New Roman" w:eastAsia="宋体"/>
      <w:sz w:val="24"/>
    </w:rPr>
  </w:style>
  <w:style w:type="character" w:customStyle="1" w:styleId="33">
    <w:name w:val="正文文本 Char"/>
    <w:link w:val="10"/>
    <w:qFormat/>
    <w:locked/>
    <w:uiPriority w:val="1"/>
    <w:rPr>
      <w:sz w:val="18"/>
    </w:rPr>
  </w:style>
  <w:style w:type="character" w:customStyle="1" w:styleId="34">
    <w:name w:val="批注文字 Char"/>
    <w:link w:val="9"/>
    <w:qFormat/>
    <w:locked/>
    <w:uiPriority w:val="0"/>
    <w:rPr>
      <w:rFonts w:ascii="Times New Roman" w:hAnsi="Times New Roman" w:eastAsia="宋体"/>
      <w:sz w:val="24"/>
    </w:rPr>
  </w:style>
  <w:style w:type="character" w:customStyle="1" w:styleId="35">
    <w:name w:val="表格 Char"/>
    <w:link w:val="36"/>
    <w:qFormat/>
    <w:locked/>
    <w:uiPriority w:val="0"/>
    <w:rPr>
      <w:rFonts w:ascii="宋体"/>
      <w:sz w:val="21"/>
    </w:rPr>
  </w:style>
  <w:style w:type="paragraph" w:customStyle="1" w:styleId="36">
    <w:name w:val="表格"/>
    <w:basedOn w:val="1"/>
    <w:next w:val="1"/>
    <w:link w:val="35"/>
    <w:qFormat/>
    <w:uiPriority w:val="0"/>
    <w:pPr>
      <w:adjustRightInd w:val="0"/>
      <w:snapToGrid w:val="0"/>
      <w:spacing w:beforeLines="10" w:afterLines="10" w:line="259" w:lineRule="auto"/>
      <w:jc w:val="center"/>
    </w:pPr>
    <w:rPr>
      <w:rFonts w:ascii="宋体"/>
      <w:kern w:val="0"/>
      <w:szCs w:val="20"/>
    </w:rPr>
  </w:style>
  <w:style w:type="character" w:customStyle="1" w:styleId="37">
    <w:name w:val="日期 字符"/>
    <w:semiHidden/>
    <w:qFormat/>
    <w:uiPriority w:val="0"/>
    <w:rPr>
      <w:rFonts w:ascii="Times New Roman" w:hAnsi="Times New Roman" w:eastAsia="宋体"/>
      <w:sz w:val="24"/>
    </w:rPr>
  </w:style>
  <w:style w:type="character" w:customStyle="1" w:styleId="38">
    <w:name w:val="批注框文本 Char"/>
    <w:link w:val="15"/>
    <w:semiHidden/>
    <w:qFormat/>
    <w:locked/>
    <w:uiPriority w:val="99"/>
    <w:rPr>
      <w:rFonts w:ascii="Times New Roman" w:hAnsi="Times New Roman" w:eastAsia="宋体"/>
      <w:sz w:val="18"/>
    </w:rPr>
  </w:style>
  <w:style w:type="character" w:customStyle="1" w:styleId="39">
    <w:name w:val="批注主题 Char"/>
    <w:link w:val="20"/>
    <w:semiHidden/>
    <w:qFormat/>
    <w:locked/>
    <w:uiPriority w:val="99"/>
    <w:rPr>
      <w:rFonts w:ascii="Times New Roman" w:hAnsi="Times New Roman" w:eastAsia="宋体"/>
      <w:b/>
      <w:kern w:val="2"/>
      <w:sz w:val="24"/>
    </w:rPr>
  </w:style>
  <w:style w:type="character" w:customStyle="1" w:styleId="40">
    <w:name w:val="页眉 Char"/>
    <w:link w:val="17"/>
    <w:qFormat/>
    <w:locked/>
    <w:uiPriority w:val="0"/>
    <w:rPr>
      <w:sz w:val="18"/>
    </w:rPr>
  </w:style>
  <w:style w:type="character" w:customStyle="1" w:styleId="41">
    <w:name w:val="批注文字 字符1"/>
    <w:semiHidden/>
    <w:qFormat/>
    <w:uiPriority w:val="0"/>
    <w:rPr>
      <w:rFonts w:ascii="Times New Roman" w:hAnsi="Times New Roman" w:eastAsia="宋体"/>
      <w:sz w:val="24"/>
    </w:rPr>
  </w:style>
  <w:style w:type="character" w:customStyle="1" w:styleId="42">
    <w:name w:val="正文文本缩进 Char"/>
    <w:link w:val="11"/>
    <w:semiHidden/>
    <w:qFormat/>
    <w:locked/>
    <w:uiPriority w:val="0"/>
    <w:rPr>
      <w:rFonts w:ascii="Times New Roman" w:hAnsi="Times New Roman" w:eastAsia="宋体"/>
      <w:sz w:val="24"/>
    </w:rPr>
  </w:style>
  <w:style w:type="paragraph" w:customStyle="1" w:styleId="4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5">
    <w:name w:val="文档结构图 Char"/>
    <w:basedOn w:val="24"/>
    <w:link w:val="8"/>
    <w:qFormat/>
    <w:uiPriority w:val="99"/>
    <w:rPr>
      <w:rFonts w:ascii="宋体"/>
      <w:kern w:val="2"/>
      <w:sz w:val="18"/>
      <w:szCs w:val="18"/>
    </w:rPr>
  </w:style>
  <w:style w:type="character" w:customStyle="1" w:styleId="46">
    <w:name w:val="正文-1 Char"/>
    <w:link w:val="47"/>
    <w:qFormat/>
    <w:locked/>
    <w:uiPriority w:val="0"/>
    <w:rPr>
      <w:rFonts w:ascii="宋体" w:hAnsi="宋体" w:cs="宋体"/>
      <w:kern w:val="2"/>
      <w:sz w:val="24"/>
      <w:lang w:val="en-US" w:eastAsia="zh-CN" w:bidi="ar-SA"/>
    </w:rPr>
  </w:style>
  <w:style w:type="paragraph" w:customStyle="1" w:styleId="47">
    <w:name w:val="正文-1"/>
    <w:link w:val="46"/>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48">
    <w:name w:val="正文新 字符"/>
    <w:link w:val="49"/>
    <w:qFormat/>
    <w:locked/>
    <w:uiPriority w:val="0"/>
    <w:rPr>
      <w:kern w:val="2"/>
      <w:sz w:val="24"/>
      <w:szCs w:val="24"/>
    </w:rPr>
  </w:style>
  <w:style w:type="paragraph" w:customStyle="1" w:styleId="49">
    <w:name w:val="正文新"/>
    <w:basedOn w:val="1"/>
    <w:link w:val="48"/>
    <w:qFormat/>
    <w:uiPriority w:val="0"/>
    <w:pPr>
      <w:spacing w:line="460" w:lineRule="exact"/>
      <w:ind w:firstLine="480" w:firstLineChars="200"/>
    </w:pPr>
    <w:rPr>
      <w:sz w:val="24"/>
    </w:rPr>
  </w:style>
  <w:style w:type="paragraph" w:customStyle="1" w:styleId="50">
    <w:name w:val="正文(首行缩进)"/>
    <w:basedOn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51">
    <w:name w:val="正文文本缩进1"/>
    <w:basedOn w:val="1"/>
    <w:qFormat/>
    <w:uiPriority w:val="99"/>
    <w:pPr>
      <w:spacing w:line="320" w:lineRule="exact"/>
      <w:ind w:firstLine="113"/>
      <w:jc w:val="center"/>
    </w:pPr>
    <w:rPr>
      <w:rFonts w:ascii="宋体" w:hAnsi="宋体"/>
      <w:bCs/>
      <w:color w:val="000000"/>
      <w:sz w:val="24"/>
      <w:szCs w:val="28"/>
    </w:rPr>
  </w:style>
  <w:style w:type="character" w:customStyle="1" w:styleId="52">
    <w:name w:val="表格内容1 字符"/>
    <w:link w:val="53"/>
    <w:qFormat/>
    <w:locked/>
    <w:uiPriority w:val="0"/>
    <w:rPr>
      <w:color w:val="000000"/>
      <w:sz w:val="21"/>
      <w:szCs w:val="21"/>
    </w:rPr>
  </w:style>
  <w:style w:type="paragraph" w:customStyle="1" w:styleId="53">
    <w:name w:val="表格内容1"/>
    <w:basedOn w:val="1"/>
    <w:link w:val="52"/>
    <w:qFormat/>
    <w:uiPriority w:val="0"/>
    <w:pPr>
      <w:widowControl/>
      <w:jc w:val="center"/>
    </w:pPr>
    <w:rPr>
      <w:color w:val="000000"/>
      <w:kern w:val="0"/>
      <w:szCs w:val="21"/>
    </w:rPr>
  </w:style>
  <w:style w:type="character" w:customStyle="1" w:styleId="54">
    <w:name w:val="表格内容 字符"/>
    <w:basedOn w:val="24"/>
    <w:link w:val="55"/>
    <w:qFormat/>
    <w:locked/>
    <w:uiPriority w:val="0"/>
    <w:rPr>
      <w:sz w:val="21"/>
      <w:szCs w:val="21"/>
      <w:lang w:eastAsia="en-US" w:bidi="en-US"/>
    </w:rPr>
  </w:style>
  <w:style w:type="paragraph" w:customStyle="1" w:styleId="55">
    <w:name w:val="表格内容"/>
    <w:basedOn w:val="1"/>
    <w:link w:val="54"/>
    <w:qFormat/>
    <w:uiPriority w:val="0"/>
    <w:pPr>
      <w:widowControl/>
      <w:spacing w:line="300" w:lineRule="exact"/>
      <w:jc w:val="center"/>
    </w:pPr>
    <w:rPr>
      <w:kern w:val="0"/>
      <w:szCs w:val="21"/>
      <w:lang w:eastAsia="en-US" w:bidi="en-US"/>
    </w:rPr>
  </w:style>
  <w:style w:type="character" w:customStyle="1" w:styleId="56">
    <w:name w:val="Default Char"/>
    <w:link w:val="2"/>
    <w:qFormat/>
    <w:locked/>
    <w:uiPriority w:val="0"/>
    <w:rPr>
      <w:rFonts w:ascii="宋体" w:cs="宋体"/>
      <w:color w:val="000000"/>
      <w:sz w:val="24"/>
      <w:szCs w:val="24"/>
    </w:rPr>
  </w:style>
  <w:style w:type="character" w:customStyle="1" w:styleId="57">
    <w:name w:val="表格新 字符"/>
    <w:link w:val="58"/>
    <w:qFormat/>
    <w:locked/>
    <w:uiPriority w:val="0"/>
    <w:rPr>
      <w:bCs/>
      <w:kern w:val="2"/>
      <w:sz w:val="21"/>
      <w:szCs w:val="21"/>
    </w:rPr>
  </w:style>
  <w:style w:type="paragraph" w:customStyle="1" w:styleId="58">
    <w:name w:val="表格新"/>
    <w:basedOn w:val="1"/>
    <w:link w:val="57"/>
    <w:qFormat/>
    <w:uiPriority w:val="0"/>
    <w:pPr>
      <w:jc w:val="center"/>
    </w:pPr>
    <w:rPr>
      <w:bCs/>
      <w:szCs w:val="21"/>
    </w:rPr>
  </w:style>
  <w:style w:type="character" w:customStyle="1" w:styleId="59">
    <w:name w:val="标题 2 Char"/>
    <w:basedOn w:val="24"/>
    <w:link w:val="4"/>
    <w:semiHidden/>
    <w:qFormat/>
    <w:uiPriority w:val="9"/>
    <w:rPr>
      <w:rFonts w:ascii="Cambria" w:hAnsi="Cambria" w:cs="宋体"/>
      <w:b/>
      <w:bCs/>
      <w:kern w:val="2"/>
      <w:sz w:val="32"/>
      <w:szCs w:val="32"/>
    </w:rPr>
  </w:style>
  <w:style w:type="character" w:customStyle="1" w:styleId="60">
    <w:name w:val="标题 3 Char"/>
    <w:basedOn w:val="24"/>
    <w:link w:val="5"/>
    <w:semiHidden/>
    <w:qFormat/>
    <w:uiPriority w:val="9"/>
    <w:rPr>
      <w:b/>
      <w:bCs/>
      <w:kern w:val="2"/>
      <w:sz w:val="32"/>
      <w:szCs w:val="32"/>
    </w:rPr>
  </w:style>
  <w:style w:type="character" w:customStyle="1" w:styleId="61">
    <w:name w:val="标题 4 Char"/>
    <w:basedOn w:val="24"/>
    <w:link w:val="6"/>
    <w:semiHidden/>
    <w:qFormat/>
    <w:uiPriority w:val="0"/>
    <w:rPr>
      <w:b/>
      <w:bCs/>
      <w:color w:val="000000"/>
      <w:kern w:val="2"/>
      <w:sz w:val="28"/>
      <w:szCs w:val="28"/>
    </w:rPr>
  </w:style>
  <w:style w:type="character" w:customStyle="1" w:styleId="62">
    <w:name w:val="正文缩进 Char"/>
    <w:link w:val="7"/>
    <w:qFormat/>
    <w:locked/>
    <w:uiPriority w:val="0"/>
    <w:rPr>
      <w:kern w:val="2"/>
      <w:sz w:val="21"/>
      <w:szCs w:val="24"/>
    </w:rPr>
  </w:style>
  <w:style w:type="character" w:customStyle="1" w:styleId="63">
    <w:name w:val="正文首行缩进 Char1"/>
    <w:basedOn w:val="64"/>
    <w:link w:val="21"/>
    <w:qFormat/>
    <w:locked/>
    <w:uiPriority w:val="99"/>
    <w:rPr>
      <w:kern w:val="2"/>
      <w:sz w:val="21"/>
      <w:szCs w:val="24"/>
    </w:rPr>
  </w:style>
  <w:style w:type="character" w:customStyle="1" w:styleId="64">
    <w:name w:val="正文文本 Char1"/>
    <w:basedOn w:val="24"/>
    <w:semiHidden/>
    <w:qFormat/>
    <w:locked/>
    <w:uiPriority w:val="1"/>
    <w:rPr>
      <w:rFonts w:ascii="仿宋" w:hAnsi="仿宋" w:eastAsia="仿宋"/>
      <w:sz w:val="32"/>
      <w:szCs w:val="32"/>
      <w:lang w:eastAsia="en-US"/>
    </w:rPr>
  </w:style>
  <w:style w:type="character" w:customStyle="1" w:styleId="65">
    <w:name w:val="正文首行缩进 Char"/>
    <w:basedOn w:val="33"/>
    <w:link w:val="21"/>
    <w:qFormat/>
    <w:uiPriority w:val="99"/>
    <w:rPr>
      <w:kern w:val="2"/>
      <w:sz w:val="21"/>
      <w:szCs w:val="24"/>
    </w:rPr>
  </w:style>
  <w:style w:type="character" w:customStyle="1" w:styleId="66">
    <w:name w:val="正文文本缩进 2 Char1"/>
    <w:basedOn w:val="24"/>
    <w:link w:val="14"/>
    <w:qFormat/>
    <w:locked/>
    <w:uiPriority w:val="0"/>
    <w:rPr>
      <w:rFonts w:ascii="Tahoma" w:hAnsi="Tahoma"/>
      <w:kern w:val="2"/>
      <w:sz w:val="21"/>
      <w:szCs w:val="24"/>
    </w:rPr>
  </w:style>
  <w:style w:type="character" w:customStyle="1" w:styleId="67">
    <w:name w:val="正文文本缩进 2 Char"/>
    <w:basedOn w:val="24"/>
    <w:link w:val="14"/>
    <w:qFormat/>
    <w:uiPriority w:val="0"/>
    <w:rPr>
      <w:kern w:val="2"/>
      <w:sz w:val="21"/>
      <w:szCs w:val="24"/>
    </w:rPr>
  </w:style>
  <w:style w:type="character" w:customStyle="1" w:styleId="68">
    <w:name w:val="正文文本缩进 3 Char1"/>
    <w:basedOn w:val="24"/>
    <w:link w:val="18"/>
    <w:qFormat/>
    <w:locked/>
    <w:uiPriority w:val="0"/>
    <w:rPr>
      <w:kern w:val="2"/>
      <w:sz w:val="16"/>
      <w:szCs w:val="16"/>
    </w:rPr>
  </w:style>
  <w:style w:type="character" w:customStyle="1" w:styleId="69">
    <w:name w:val="正文文本缩进 3 Char"/>
    <w:basedOn w:val="24"/>
    <w:link w:val="18"/>
    <w:qFormat/>
    <w:uiPriority w:val="0"/>
    <w:rPr>
      <w:kern w:val="2"/>
      <w:sz w:val="16"/>
      <w:szCs w:val="16"/>
    </w:rPr>
  </w:style>
  <w:style w:type="character" w:customStyle="1" w:styleId="70">
    <w:name w:val="纯文本 Char1"/>
    <w:basedOn w:val="24"/>
    <w:link w:val="12"/>
    <w:qFormat/>
    <w:locked/>
    <w:uiPriority w:val="0"/>
    <w:rPr>
      <w:rFonts w:ascii="宋体" w:hAnsi="Courier New"/>
      <w:kern w:val="2"/>
      <w:sz w:val="21"/>
      <w:szCs w:val="24"/>
    </w:rPr>
  </w:style>
  <w:style w:type="character" w:customStyle="1" w:styleId="71">
    <w:name w:val="纯文本 Char"/>
    <w:basedOn w:val="24"/>
    <w:link w:val="12"/>
    <w:qFormat/>
    <w:uiPriority w:val="0"/>
    <w:rPr>
      <w:rFonts w:ascii="宋体" w:hAnsi="Courier New" w:cs="Courier New"/>
      <w:kern w:val="2"/>
      <w:sz w:val="21"/>
      <w:szCs w:val="21"/>
    </w:rPr>
  </w:style>
  <w:style w:type="character" w:customStyle="1" w:styleId="72">
    <w:name w:val="表格文字 Char Char"/>
    <w:link w:val="73"/>
    <w:qFormat/>
    <w:locked/>
    <w:uiPriority w:val="0"/>
    <w:rPr>
      <w:kern w:val="2"/>
      <w:sz w:val="21"/>
      <w:szCs w:val="18"/>
    </w:rPr>
  </w:style>
  <w:style w:type="paragraph" w:customStyle="1" w:styleId="73">
    <w:name w:val="表格文字"/>
    <w:basedOn w:val="21"/>
    <w:link w:val="72"/>
    <w:qFormat/>
    <w:uiPriority w:val="0"/>
    <w:pPr>
      <w:overflowPunct w:val="0"/>
      <w:autoSpaceDE w:val="0"/>
      <w:autoSpaceDN w:val="0"/>
      <w:adjustRightInd w:val="0"/>
      <w:snapToGrid w:val="0"/>
      <w:spacing w:line="360" w:lineRule="auto"/>
      <w:ind w:firstLine="539" w:firstLineChars="0"/>
      <w:jc w:val="center"/>
    </w:pPr>
    <w:rPr>
      <w:rFonts w:ascii="Times New Roman" w:hAnsi="Times New Roman" w:eastAsia="宋体"/>
      <w:szCs w:val="18"/>
      <w:lang w:eastAsia="zh-CN"/>
    </w:rPr>
  </w:style>
  <w:style w:type="character" w:customStyle="1" w:styleId="74">
    <w:name w:val="表题 Char"/>
    <w:link w:val="75"/>
    <w:qFormat/>
    <w:locked/>
    <w:uiPriority w:val="0"/>
    <w:rPr>
      <w:rFonts w:ascii="宋体" w:hAnsi="宋体"/>
      <w:b/>
      <w:kern w:val="2"/>
      <w:sz w:val="21"/>
      <w:szCs w:val="24"/>
    </w:rPr>
  </w:style>
  <w:style w:type="paragraph" w:customStyle="1" w:styleId="75">
    <w:name w:val="表题"/>
    <w:link w:val="74"/>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76">
    <w:name w:val="表格题目1 字符"/>
    <w:basedOn w:val="24"/>
    <w:link w:val="77"/>
    <w:qFormat/>
    <w:locked/>
    <w:uiPriority w:val="0"/>
    <w:rPr>
      <w:rFonts w:ascii="黑体" w:hAnsi="黑体" w:eastAsia="黑体"/>
      <w:color w:val="000000"/>
      <w:kern w:val="2"/>
      <w:sz w:val="21"/>
      <w:szCs w:val="24"/>
    </w:rPr>
  </w:style>
  <w:style w:type="paragraph" w:customStyle="1" w:styleId="77">
    <w:name w:val="表格题目1"/>
    <w:basedOn w:val="78"/>
    <w:link w:val="76"/>
    <w:qFormat/>
    <w:uiPriority w:val="0"/>
    <w:pPr>
      <w:ind w:firstLine="525" w:firstLineChars="250"/>
      <w:jc w:val="left"/>
    </w:pPr>
    <w:rPr>
      <w:rFonts w:ascii="黑体" w:hAnsi="黑体" w:eastAsia="黑体"/>
      <w:color w:val="000000"/>
    </w:rPr>
  </w:style>
  <w:style w:type="paragraph" w:customStyle="1" w:styleId="78">
    <w:name w:val="表格题目2"/>
    <w:basedOn w:val="79"/>
    <w:qFormat/>
    <w:uiPriority w:val="0"/>
    <w:pPr>
      <w:jc w:val="both"/>
    </w:pPr>
  </w:style>
  <w:style w:type="paragraph" w:customStyle="1" w:styleId="79">
    <w:name w:val="表格题目新"/>
    <w:basedOn w:val="1"/>
    <w:link w:val="84"/>
    <w:qFormat/>
    <w:uiPriority w:val="0"/>
    <w:pPr>
      <w:autoSpaceDE w:val="0"/>
      <w:autoSpaceDN w:val="0"/>
      <w:spacing w:line="360" w:lineRule="exact"/>
      <w:ind w:firstLine="200" w:firstLineChars="200"/>
      <w:jc w:val="left"/>
    </w:pPr>
    <w:rPr>
      <w:rFonts w:ascii="黑体" w:hAnsi="黑体" w:eastAsia="黑体"/>
    </w:rPr>
  </w:style>
  <w:style w:type="character" w:customStyle="1" w:styleId="80">
    <w:name w:val="正文1 字符"/>
    <w:basedOn w:val="24"/>
    <w:link w:val="81"/>
    <w:qFormat/>
    <w:locked/>
    <w:uiPriority w:val="0"/>
    <w:rPr>
      <w:rFonts w:ascii="宋体" w:hAnsi="宋体" w:cs="宋体"/>
      <w:color w:val="000000"/>
      <w:sz w:val="24"/>
      <w:szCs w:val="26"/>
    </w:rPr>
  </w:style>
  <w:style w:type="paragraph" w:customStyle="1" w:styleId="81">
    <w:name w:val="正文1"/>
    <w:basedOn w:val="1"/>
    <w:link w:val="80"/>
    <w:qFormat/>
    <w:uiPriority w:val="0"/>
    <w:pPr>
      <w:widowControl/>
      <w:spacing w:line="460" w:lineRule="exact"/>
      <w:ind w:firstLine="480" w:firstLineChars="200"/>
    </w:pPr>
    <w:rPr>
      <w:rFonts w:ascii="宋体" w:hAnsi="宋体" w:cs="宋体"/>
      <w:color w:val="000000"/>
      <w:kern w:val="0"/>
      <w:sz w:val="24"/>
      <w:szCs w:val="26"/>
    </w:rPr>
  </w:style>
  <w:style w:type="character" w:customStyle="1" w:styleId="82">
    <w:name w:val="！正文 Char"/>
    <w:link w:val="83"/>
    <w:qFormat/>
    <w:locked/>
    <w:uiPriority w:val="0"/>
    <w:rPr>
      <w:sz w:val="24"/>
      <w:szCs w:val="24"/>
    </w:rPr>
  </w:style>
  <w:style w:type="paragraph" w:customStyle="1" w:styleId="83">
    <w:name w:val="！正文"/>
    <w:basedOn w:val="1"/>
    <w:link w:val="82"/>
    <w:qFormat/>
    <w:uiPriority w:val="0"/>
    <w:pPr>
      <w:spacing w:line="500" w:lineRule="exact"/>
      <w:ind w:firstLine="200" w:firstLineChars="200"/>
    </w:pPr>
    <w:rPr>
      <w:kern w:val="0"/>
      <w:sz w:val="24"/>
    </w:rPr>
  </w:style>
  <w:style w:type="character" w:customStyle="1" w:styleId="84">
    <w:name w:val="表格题目新 字符"/>
    <w:link w:val="79"/>
    <w:qFormat/>
    <w:locked/>
    <w:uiPriority w:val="0"/>
    <w:rPr>
      <w:rFonts w:ascii="黑体" w:hAnsi="黑体" w:eastAsia="黑体"/>
      <w:kern w:val="2"/>
      <w:sz w:val="21"/>
      <w:szCs w:val="24"/>
    </w:rPr>
  </w:style>
  <w:style w:type="character" w:customStyle="1" w:styleId="85">
    <w:name w:val="1正文段落 Char"/>
    <w:link w:val="86"/>
    <w:qFormat/>
    <w:locked/>
    <w:uiPriority w:val="0"/>
    <w:rPr>
      <w:rFonts w:ascii="宋体" w:hAnsi="宋体"/>
      <w:snapToGrid w:val="0"/>
      <w:sz w:val="24"/>
      <w:szCs w:val="24"/>
    </w:rPr>
  </w:style>
  <w:style w:type="paragraph" w:customStyle="1" w:styleId="86">
    <w:name w:val="1正文段落"/>
    <w:basedOn w:val="1"/>
    <w:link w:val="85"/>
    <w:qFormat/>
    <w:uiPriority w:val="0"/>
    <w:pPr>
      <w:snapToGrid w:val="0"/>
      <w:spacing w:line="360" w:lineRule="auto"/>
      <w:ind w:firstLine="480" w:firstLineChars="200"/>
      <w:jc w:val="left"/>
    </w:pPr>
    <w:rPr>
      <w:rFonts w:ascii="宋体" w:hAnsi="宋体"/>
      <w:snapToGrid w:val="0"/>
      <w:kern w:val="0"/>
      <w:sz w:val="24"/>
    </w:rPr>
  </w:style>
  <w:style w:type="character" w:customStyle="1" w:styleId="87">
    <w:name w:val="表体 Char"/>
    <w:basedOn w:val="24"/>
    <w:link w:val="88"/>
    <w:qFormat/>
    <w:locked/>
    <w:uiPriority w:val="0"/>
    <w:rPr>
      <w:rFonts w:ascii="宋体" w:hAnsi="宋体" w:cs="宋体"/>
      <w:color w:val="000080"/>
      <w:sz w:val="24"/>
      <w:szCs w:val="24"/>
    </w:rPr>
  </w:style>
  <w:style w:type="paragraph" w:customStyle="1" w:styleId="88">
    <w:name w:val="表体"/>
    <w:link w:val="87"/>
    <w:qFormat/>
    <w:uiPriority w:val="0"/>
    <w:pPr>
      <w:spacing w:before="40" w:after="40"/>
      <w:jc w:val="center"/>
    </w:pPr>
    <w:rPr>
      <w:rFonts w:ascii="宋体" w:hAnsi="宋体" w:eastAsia="宋体" w:cs="宋体"/>
      <w:color w:val="000080"/>
      <w:sz w:val="24"/>
      <w:szCs w:val="24"/>
      <w:lang w:val="en-US" w:eastAsia="zh-CN" w:bidi="ar-SA"/>
    </w:rPr>
  </w:style>
  <w:style w:type="paragraph" w:customStyle="1" w:styleId="89">
    <w:name w:val="-表格"/>
    <w:basedOn w:val="1"/>
    <w:link w:val="90"/>
    <w:qFormat/>
    <w:uiPriority w:val="0"/>
  </w:style>
  <w:style w:type="character" w:customStyle="1" w:styleId="90">
    <w:name w:val="-表格 Char"/>
    <w:link w:val="89"/>
    <w:qFormat/>
    <w:locked/>
    <w:uiPriority w:val="0"/>
    <w:rPr>
      <w:kern w:val="2"/>
      <w:sz w:val="21"/>
      <w:szCs w:val="24"/>
    </w:rPr>
  </w:style>
  <w:style w:type="paragraph" w:customStyle="1" w:styleId="91">
    <w:name w:val="表头1"/>
    <w:basedOn w:val="1"/>
    <w:link w:val="92"/>
    <w:qFormat/>
    <w:uiPriority w:val="0"/>
  </w:style>
  <w:style w:type="character" w:customStyle="1" w:styleId="92">
    <w:name w:val="表头1 字符"/>
    <w:link w:val="91"/>
    <w:qFormat/>
    <w:locked/>
    <w:uiPriority w:val="0"/>
    <w:rPr>
      <w:kern w:val="2"/>
      <w:sz w:val="21"/>
      <w:szCs w:val="24"/>
    </w:rPr>
  </w:style>
  <w:style w:type="paragraph" w:customStyle="1" w:styleId="93">
    <w:name w:val="Char"/>
    <w:basedOn w:val="1"/>
    <w:qFormat/>
    <w:uiPriority w:val="0"/>
    <w:pPr>
      <w:spacing w:line="360" w:lineRule="auto"/>
      <w:ind w:firstLine="200" w:firstLineChars="200"/>
    </w:pPr>
    <w:rPr>
      <w:szCs w:val="20"/>
    </w:rPr>
  </w:style>
  <w:style w:type="paragraph" w:customStyle="1" w:styleId="94">
    <w:name w:val="表头，alt+D"/>
    <w:basedOn w:val="1"/>
    <w:qFormat/>
    <w:uiPriority w:val="0"/>
    <w:pPr>
      <w:spacing w:before="60" w:after="60" w:line="240" w:lineRule="atLeast"/>
      <w:ind w:left="-113" w:right="-113"/>
      <w:jc w:val="center"/>
    </w:pPr>
    <w:rPr>
      <w:color w:val="808000"/>
      <w:sz w:val="24"/>
      <w:szCs w:val="20"/>
    </w:rPr>
  </w:style>
  <w:style w:type="paragraph" w:customStyle="1" w:styleId="95">
    <w:name w:val="Table Paragraph"/>
    <w:basedOn w:val="1"/>
    <w:qFormat/>
    <w:uiPriority w:val="1"/>
    <w:pPr>
      <w:jc w:val="left"/>
    </w:pPr>
    <w:rPr>
      <w:rFonts w:ascii="Calibri" w:hAnsi="Calibri"/>
      <w:kern w:val="0"/>
      <w:sz w:val="22"/>
      <w:szCs w:val="22"/>
      <w:lang w:eastAsia="en-US"/>
    </w:rPr>
  </w:style>
  <w:style w:type="paragraph" w:customStyle="1" w:styleId="96">
    <w:name w:val="。。表头"/>
    <w:basedOn w:val="1"/>
    <w:qFormat/>
    <w:uiPriority w:val="0"/>
    <w:pPr>
      <w:spacing w:line="360" w:lineRule="auto"/>
      <w:ind w:firstLine="602" w:firstLineChars="200"/>
      <w:jc w:val="center"/>
    </w:pPr>
    <w:rPr>
      <w:b/>
      <w:bCs/>
      <w:sz w:val="24"/>
    </w:rPr>
  </w:style>
  <w:style w:type="paragraph" w:customStyle="1" w:styleId="97">
    <w:name w:val="表格后文字"/>
    <w:basedOn w:val="81"/>
    <w:qFormat/>
    <w:uiPriority w:val="0"/>
    <w:pPr>
      <w:spacing w:beforeLines="100"/>
      <w:ind w:firstLine="200"/>
    </w:pPr>
    <w:rPr>
      <w:rFonts w:ascii="仿宋_GB2312)" w:eastAsia="仿宋_GB2312" w:cs="宋体"/>
    </w:rPr>
  </w:style>
  <w:style w:type="paragraph" w:customStyle="1" w:styleId="98">
    <w:name w:val="表头"/>
    <w:basedOn w:val="1"/>
    <w:next w:val="1"/>
    <w:qFormat/>
    <w:uiPriority w:val="0"/>
    <w:pPr>
      <w:tabs>
        <w:tab w:val="left" w:pos="360"/>
        <w:tab w:val="left" w:pos="1620"/>
      </w:tabs>
      <w:spacing w:line="240" w:lineRule="auto"/>
      <w:ind w:firstLine="0" w:firstLineChars="0"/>
      <w:jc w:val="center"/>
    </w:pPr>
    <w:rPr>
      <w:rFonts w:ascii="黑体" w:hAnsi="宋体" w:eastAsia="黑体"/>
    </w:rPr>
  </w:style>
  <w:style w:type="paragraph" w:customStyle="1" w:styleId="99">
    <w:name w:val="正文2"/>
    <w:basedOn w:val="100"/>
    <w:qFormat/>
    <w:uiPriority w:val="99"/>
    <w:pPr>
      <w:adjustRightInd w:val="0"/>
      <w:spacing w:line="360" w:lineRule="auto"/>
      <w:ind w:firstLine="480"/>
      <w:jc w:val="left"/>
    </w:pPr>
    <w:rPr>
      <w:rFonts w:ascii="Times New Roman" w:hAnsi="宋体" w:eastAsia="宋体" w:cs="Times New Roman"/>
      <w:color w:val="000000"/>
      <w:sz w:val="24"/>
      <w:szCs w:val="24"/>
    </w:rPr>
  </w:style>
  <w:style w:type="paragraph" w:customStyle="1" w:styleId="100">
    <w:name w:val="样式 首行缩进:  2 字符"/>
    <w:basedOn w:val="1"/>
    <w:qFormat/>
    <w:uiPriority w:val="99"/>
    <w:pPr>
      <w:ind w:firstLine="200" w:firstLineChars="200"/>
    </w:pPr>
    <w:rPr>
      <w:rFonts w:ascii="仿宋_GB2312)" w:eastAsia="Times New Roman" w:cs="仿宋_GB2312)"/>
      <w:sz w:val="28"/>
      <w:szCs w:val="28"/>
    </w:rPr>
  </w:style>
  <w:style w:type="paragraph" w:customStyle="1" w:styleId="101">
    <w:name w:val="新标题样式"/>
    <w:basedOn w:val="1"/>
    <w:qFormat/>
    <w:uiPriority w:val="0"/>
    <w:pPr>
      <w:tabs>
        <w:tab w:val="left" w:pos="567"/>
      </w:tabs>
      <w:spacing w:line="360" w:lineRule="auto"/>
    </w:pPr>
    <w:rPr>
      <w:rFonts w:ascii="Times New Roman" w:hAnsi="Times New Roman" w:eastAsia="黑体"/>
      <w:b/>
      <w:spacing w:val="20"/>
      <w:sz w:val="24"/>
      <w:szCs w:val="20"/>
    </w:rPr>
  </w:style>
  <w:style w:type="paragraph" w:customStyle="1" w:styleId="102">
    <w:name w:val="Char31"/>
    <w:basedOn w:val="1"/>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2.jpeg"/><Relationship Id="rId44" Type="http://schemas.openxmlformats.org/officeDocument/2006/relationships/image" Target="media/image21.png"/><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footer" Target="footer2.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jpeg"/><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emf"/><Relationship Id="rId23" Type="http://schemas.openxmlformats.org/officeDocument/2006/relationships/oleObject" Target="embeddings/oleObject9.bin"/><Relationship Id="rId22" Type="http://schemas.openxmlformats.org/officeDocument/2006/relationships/image" Target="media/image9.emf"/><Relationship Id="rId21" Type="http://schemas.openxmlformats.org/officeDocument/2006/relationships/oleObject" Target="embeddings/oleObject8.bin"/><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71</Pages>
  <Words>14299</Words>
  <Characters>17397</Characters>
  <Lines>392</Lines>
  <Paragraphs>110</Paragraphs>
  <TotalTime>0</TotalTime>
  <ScaleCrop>false</ScaleCrop>
  <LinksUpToDate>false</LinksUpToDate>
  <CharactersWithSpaces>17860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2021-03-08T04:12:00Z</dcterms:created>
  <dc:creator>lhj</dc:creator>
  <cp:lastModifiedBy>小麦啾</cp:lastModifiedBy>
  <cp:lastPrinted>2021-04-21T04:48:00Z</cp:lastPrinted>
  <dcterms:modified xsi:type="dcterms:W3CDTF">2026-01-22T03:58:29Z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705D1D3BF0884EE09F20A84126E98668</vt:lpwstr>
  </property>
  <property fmtid="{D5CDD505-2E9C-101B-9397-08002B2CF9AE}" pid="4" name="KSOTemplateDocerSaveRecord">
    <vt:lpwstr>eyJoZGlkIjoiM2Q5NDlmNDc3N2ZkYzk3ZGJmOTUwNTM0Mzc5MTVlNDMiLCJ1c2VySWQiOiIzMjQ5NjUzODcifQ==</vt:lpwstr>
  </property>
</Properties>
</file>