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0B52">
      <w:pPr>
        <w:spacing w:line="360" w:lineRule="auto"/>
        <w:ind w:firstLine="720" w:firstLineChars="200"/>
        <w:jc w:val="both"/>
        <w:rPr>
          <w:rFonts w:hint="eastAsia" w:eastAsia="仿宋_GB2312"/>
          <w:color w:val="000000"/>
          <w:sz w:val="36"/>
          <w:szCs w:val="36"/>
          <w:highlight w:val="none"/>
        </w:rPr>
      </w:pPr>
      <w:bookmarkStart w:id="0" w:name="_Hlk57883707"/>
    </w:p>
    <w:p w14:paraId="5F074451">
      <w:pPr>
        <w:spacing w:line="360" w:lineRule="auto"/>
        <w:ind w:firstLine="720" w:firstLineChars="200"/>
        <w:jc w:val="both"/>
        <w:rPr>
          <w:rFonts w:eastAsia="仿宋_GB2312"/>
          <w:color w:val="000000"/>
          <w:sz w:val="36"/>
          <w:szCs w:val="36"/>
          <w:highlight w:val="none"/>
        </w:rPr>
      </w:pPr>
    </w:p>
    <w:p w14:paraId="06915925">
      <w:pPr>
        <w:spacing w:line="360" w:lineRule="auto"/>
        <w:ind w:firstLine="720" w:firstLineChars="200"/>
        <w:jc w:val="both"/>
        <w:rPr>
          <w:rFonts w:eastAsia="仿宋_GB2312"/>
          <w:color w:val="000000"/>
          <w:sz w:val="36"/>
          <w:szCs w:val="36"/>
          <w:highlight w:val="none"/>
        </w:rPr>
      </w:pPr>
      <w:bookmarkStart w:id="40" w:name="_GoBack"/>
      <w:bookmarkEnd w:id="40"/>
    </w:p>
    <w:p w14:paraId="52F5F140">
      <w:pPr>
        <w:spacing w:line="360" w:lineRule="auto"/>
        <w:ind w:firstLine="720" w:firstLineChars="200"/>
        <w:jc w:val="both"/>
        <w:rPr>
          <w:rFonts w:eastAsia="仿宋_GB2312"/>
          <w:color w:val="000000"/>
          <w:sz w:val="36"/>
          <w:szCs w:val="36"/>
          <w:highlight w:val="none"/>
        </w:rPr>
      </w:pPr>
    </w:p>
    <w:bookmarkEnd w:id="0"/>
    <w:p w14:paraId="0874E562">
      <w:pPr>
        <w:spacing w:line="360" w:lineRule="auto"/>
        <w:outlineLvl w:val="0"/>
        <w:rPr>
          <w:rFonts w:eastAsia="方正小标宋_GBK"/>
          <w:bCs/>
          <w:color w:val="000000"/>
          <w:sz w:val="72"/>
          <w:szCs w:val="72"/>
          <w:highlight w:val="none"/>
        </w:rPr>
      </w:pPr>
      <w:bookmarkStart w:id="1" w:name="_Toc6624"/>
      <w:r>
        <w:rPr>
          <w:rFonts w:eastAsia="方正小标宋_GBK"/>
          <w:bCs/>
          <w:color w:val="000000"/>
          <w:sz w:val="72"/>
          <w:szCs w:val="72"/>
          <w:highlight w:val="none"/>
        </w:rPr>
        <w:t>建设项目环境影响报告表</w:t>
      </w:r>
      <w:bookmarkEnd w:id="1"/>
    </w:p>
    <w:p w14:paraId="031C6743">
      <w:pPr>
        <w:spacing w:before="192" w:beforeLines="80" w:line="360" w:lineRule="auto"/>
        <w:jc w:val="center"/>
        <w:rPr>
          <w:rFonts w:eastAsia="楷体_GB2312"/>
          <w:bCs/>
          <w:color w:val="000000"/>
          <w:sz w:val="48"/>
          <w:szCs w:val="48"/>
          <w:highlight w:val="none"/>
        </w:rPr>
      </w:pPr>
      <w:r>
        <w:rPr>
          <w:rFonts w:eastAsia="楷体_GB2312"/>
          <w:bCs/>
          <w:color w:val="000000"/>
          <w:sz w:val="48"/>
          <w:szCs w:val="48"/>
          <w:highlight w:val="none"/>
        </w:rPr>
        <w:t>（生态影响类）</w:t>
      </w:r>
    </w:p>
    <w:p w14:paraId="04B8002B">
      <w:pPr>
        <w:spacing w:line="360" w:lineRule="auto"/>
        <w:jc w:val="center"/>
        <w:rPr>
          <w:rFonts w:hint="eastAsia" w:eastAsia="仿宋"/>
          <w:color w:val="000000"/>
          <w:sz w:val="44"/>
          <w:szCs w:val="44"/>
          <w:highlight w:val="none"/>
          <w:lang w:eastAsia="zh-CN"/>
        </w:rPr>
      </w:pPr>
      <w:bookmarkStart w:id="2" w:name="_Hlk57883728"/>
      <w:r>
        <w:rPr>
          <w:rFonts w:hint="eastAsia" w:eastAsia="仿宋"/>
          <w:color w:val="000000"/>
          <w:sz w:val="44"/>
          <w:szCs w:val="44"/>
          <w:highlight w:val="none"/>
          <w:lang w:eastAsia="zh-CN"/>
        </w:rPr>
        <w:t>（</w:t>
      </w:r>
      <w:r>
        <w:rPr>
          <w:rFonts w:hint="eastAsia" w:eastAsia="仿宋"/>
          <w:color w:val="000000"/>
          <w:sz w:val="44"/>
          <w:szCs w:val="44"/>
          <w:highlight w:val="none"/>
          <w:lang w:val="en-US" w:eastAsia="zh-CN"/>
        </w:rPr>
        <w:t>送审稿</w:t>
      </w:r>
      <w:r>
        <w:rPr>
          <w:rFonts w:hint="eastAsia" w:eastAsia="仿宋"/>
          <w:color w:val="000000"/>
          <w:sz w:val="44"/>
          <w:szCs w:val="44"/>
          <w:highlight w:val="none"/>
          <w:lang w:eastAsia="zh-CN"/>
        </w:rPr>
        <w:t>）</w:t>
      </w:r>
    </w:p>
    <w:p w14:paraId="456A1B02">
      <w:pPr>
        <w:pStyle w:val="4"/>
        <w:rPr>
          <w:color w:val="000000"/>
          <w:highlight w:val="none"/>
        </w:rPr>
      </w:pPr>
    </w:p>
    <w:p w14:paraId="42CFCF34">
      <w:pPr>
        <w:spacing w:line="360" w:lineRule="auto"/>
        <w:ind w:firstLine="880" w:firstLineChars="200"/>
        <w:jc w:val="both"/>
        <w:rPr>
          <w:rFonts w:eastAsia="仿宋"/>
          <w:color w:val="000000"/>
          <w:sz w:val="44"/>
          <w:szCs w:val="44"/>
          <w:highlight w:val="none"/>
        </w:rPr>
      </w:pPr>
    </w:p>
    <w:p w14:paraId="45924691">
      <w:pPr>
        <w:spacing w:line="360" w:lineRule="auto"/>
        <w:ind w:firstLine="880" w:firstLineChars="200"/>
        <w:jc w:val="both"/>
        <w:rPr>
          <w:rFonts w:eastAsia="仿宋"/>
          <w:color w:val="000000"/>
          <w:sz w:val="44"/>
          <w:szCs w:val="44"/>
          <w:highlight w:val="none"/>
        </w:rPr>
      </w:pPr>
    </w:p>
    <w:bookmarkEnd w:id="2"/>
    <w:p w14:paraId="1D30C277">
      <w:pPr>
        <w:spacing w:line="288" w:lineRule="auto"/>
        <w:ind w:left="1800" w:hanging="1800" w:hangingChars="500"/>
        <w:jc w:val="both"/>
        <w:rPr>
          <w:rFonts w:eastAsia="仿宋_GB2312"/>
          <w:color w:val="000000"/>
          <w:sz w:val="36"/>
          <w:szCs w:val="36"/>
          <w:highlight w:val="none"/>
          <w:u w:val="single"/>
        </w:rPr>
      </w:pPr>
      <w:r>
        <w:rPr>
          <w:rFonts w:eastAsia="仿宋_GB2312"/>
          <w:color w:val="000000"/>
          <w:sz w:val="36"/>
          <w:szCs w:val="36"/>
          <w:highlight w:val="none"/>
        </w:rPr>
        <w:t>项目名称：</w:t>
      </w:r>
      <w:r>
        <w:rPr>
          <w:rFonts w:hint="eastAsia" w:eastAsia="仿宋_GB2312"/>
          <w:color w:val="000000"/>
          <w:w w:val="95"/>
          <w:sz w:val="36"/>
          <w:szCs w:val="36"/>
          <w:highlight w:val="none"/>
          <w:u w:val="single"/>
        </w:rPr>
        <w:t xml:space="preserve"> </w:t>
      </w:r>
      <w:r>
        <w:rPr>
          <w:rFonts w:eastAsia="仿宋_GB2312"/>
          <w:color w:val="000000"/>
          <w:w w:val="95"/>
          <w:sz w:val="36"/>
          <w:szCs w:val="36"/>
          <w:highlight w:val="none"/>
          <w:u w:val="single"/>
        </w:rPr>
        <w:t xml:space="preserve">  </w:t>
      </w:r>
      <w:r>
        <w:rPr>
          <w:rFonts w:eastAsia="仿宋_GB2312"/>
          <w:color w:val="000000"/>
          <w:sz w:val="36"/>
          <w:szCs w:val="36"/>
          <w:highlight w:val="none"/>
          <w:u w:val="single"/>
        </w:rPr>
        <w:t xml:space="preserve">  </w:t>
      </w:r>
      <w:r>
        <w:rPr>
          <w:rFonts w:hint="eastAsia" w:eastAsia="仿宋_GB2312"/>
          <w:color w:val="000000"/>
          <w:sz w:val="36"/>
          <w:szCs w:val="36"/>
          <w:highlight w:val="none"/>
          <w:u w:val="single"/>
        </w:rPr>
        <w:t xml:space="preserve">    </w:t>
      </w:r>
      <w:r>
        <w:rPr>
          <w:rFonts w:hint="eastAsia" w:eastAsia="仿宋_GB2312"/>
          <w:color w:val="000000"/>
          <w:w w:val="95"/>
          <w:sz w:val="36"/>
          <w:szCs w:val="36"/>
          <w:highlight w:val="none"/>
          <w:u w:val="single"/>
        </w:rPr>
        <w:t>盆10区块评价井工程</w:t>
      </w:r>
      <w:r>
        <w:rPr>
          <w:rFonts w:hint="eastAsia" w:eastAsia="仿宋_GB2312"/>
          <w:color w:val="000000"/>
          <w:sz w:val="36"/>
          <w:szCs w:val="36"/>
          <w:highlight w:val="none"/>
          <w:u w:val="single"/>
        </w:rPr>
        <w:t xml:space="preserve">             </w:t>
      </w:r>
    </w:p>
    <w:p w14:paraId="631D1595">
      <w:pPr>
        <w:spacing w:line="540" w:lineRule="exact"/>
        <w:jc w:val="both"/>
        <w:rPr>
          <w:rFonts w:eastAsia="仿宋_GB2312"/>
          <w:color w:val="000000"/>
          <w:w w:val="95"/>
          <w:sz w:val="36"/>
          <w:szCs w:val="36"/>
          <w:highlight w:val="none"/>
          <w:u w:val="single"/>
        </w:rPr>
      </w:pPr>
      <w:r>
        <w:rPr>
          <w:rFonts w:eastAsia="仿宋_GB2312"/>
          <w:color w:val="000000"/>
          <w:w w:val="95"/>
          <w:sz w:val="36"/>
          <w:szCs w:val="36"/>
          <w:highlight w:val="none"/>
        </w:rPr>
        <w:t>建设单位（盖章）：</w:t>
      </w:r>
      <w:r>
        <w:rPr>
          <w:rFonts w:eastAsia="仿宋_GB2312"/>
          <w:color w:val="000000"/>
          <w:w w:val="95"/>
          <w:sz w:val="36"/>
          <w:szCs w:val="36"/>
          <w:highlight w:val="none"/>
          <w:u w:val="single"/>
        </w:rPr>
        <w:t>中国石油新疆油田分公司开发公司</w:t>
      </w:r>
      <w:r>
        <w:rPr>
          <w:rFonts w:hint="eastAsia" w:eastAsia="仿宋_GB2312"/>
          <w:color w:val="000000"/>
          <w:w w:val="95"/>
          <w:sz w:val="36"/>
          <w:szCs w:val="36"/>
          <w:highlight w:val="none"/>
          <w:u w:val="single"/>
        </w:rPr>
        <w:t xml:space="preserve">    </w:t>
      </w:r>
    </w:p>
    <w:p w14:paraId="16AFB61E">
      <w:pPr>
        <w:spacing w:line="288" w:lineRule="auto"/>
        <w:jc w:val="both"/>
        <w:rPr>
          <w:rFonts w:eastAsia="仿宋_GB2312"/>
          <w:color w:val="000000"/>
          <w:sz w:val="36"/>
          <w:szCs w:val="36"/>
          <w:highlight w:val="none"/>
          <w:u w:val="single"/>
        </w:rPr>
      </w:pPr>
      <w:r>
        <w:rPr>
          <w:rFonts w:eastAsia="仿宋_GB2312"/>
          <w:color w:val="000000"/>
          <w:sz w:val="36"/>
          <w:szCs w:val="36"/>
          <w:highlight w:val="none"/>
        </w:rPr>
        <w:t>编制日期：</w:t>
      </w:r>
      <w:r>
        <w:rPr>
          <w:rFonts w:eastAsia="仿宋_GB2312"/>
          <w:color w:val="000000"/>
          <w:sz w:val="36"/>
          <w:szCs w:val="36"/>
          <w:highlight w:val="none"/>
          <w:u w:val="single"/>
        </w:rPr>
        <w:t xml:space="preserve">             202</w:t>
      </w:r>
      <w:r>
        <w:rPr>
          <w:rFonts w:hint="eastAsia" w:eastAsia="仿宋_GB2312"/>
          <w:color w:val="000000"/>
          <w:sz w:val="36"/>
          <w:szCs w:val="36"/>
          <w:highlight w:val="none"/>
          <w:u w:val="single"/>
        </w:rPr>
        <w:t>5</w:t>
      </w:r>
      <w:r>
        <w:rPr>
          <w:rFonts w:eastAsia="仿宋_GB2312"/>
          <w:color w:val="000000"/>
          <w:sz w:val="36"/>
          <w:szCs w:val="36"/>
          <w:highlight w:val="none"/>
          <w:u w:val="single"/>
        </w:rPr>
        <w:t>年</w:t>
      </w:r>
      <w:r>
        <w:rPr>
          <w:rFonts w:hint="eastAsia" w:eastAsia="仿宋_GB2312"/>
          <w:color w:val="000000"/>
          <w:sz w:val="36"/>
          <w:szCs w:val="36"/>
          <w:highlight w:val="none"/>
          <w:u w:val="single"/>
          <w:lang w:val="en-US" w:eastAsia="zh-CN"/>
        </w:rPr>
        <w:t>10</w:t>
      </w:r>
      <w:r>
        <w:rPr>
          <w:rFonts w:eastAsia="仿宋_GB2312"/>
          <w:color w:val="000000"/>
          <w:sz w:val="36"/>
          <w:szCs w:val="36"/>
          <w:highlight w:val="none"/>
          <w:u w:val="single"/>
        </w:rPr>
        <w:t xml:space="preserve">月        </w:t>
      </w:r>
      <w:r>
        <w:rPr>
          <w:rFonts w:hint="eastAsia" w:eastAsia="仿宋_GB2312"/>
          <w:color w:val="000000"/>
          <w:sz w:val="36"/>
          <w:szCs w:val="36"/>
          <w:highlight w:val="none"/>
          <w:u w:val="single"/>
        </w:rPr>
        <w:t xml:space="preserve">   </w:t>
      </w:r>
      <w:r>
        <w:rPr>
          <w:rFonts w:eastAsia="仿宋_GB2312"/>
          <w:color w:val="000000"/>
          <w:sz w:val="36"/>
          <w:szCs w:val="36"/>
          <w:highlight w:val="none"/>
          <w:u w:val="single"/>
        </w:rPr>
        <w:t xml:space="preserve">     </w:t>
      </w:r>
    </w:p>
    <w:p w14:paraId="004DCAEF">
      <w:pPr>
        <w:spacing w:line="288" w:lineRule="auto"/>
        <w:ind w:firstLine="720" w:firstLineChars="200"/>
        <w:jc w:val="both"/>
        <w:rPr>
          <w:rFonts w:eastAsia="仿宋_GB2312"/>
          <w:color w:val="000000"/>
          <w:sz w:val="36"/>
          <w:szCs w:val="36"/>
          <w:highlight w:val="none"/>
          <w:u w:val="single"/>
        </w:rPr>
      </w:pPr>
    </w:p>
    <w:p w14:paraId="21389FCF">
      <w:pPr>
        <w:spacing w:line="288" w:lineRule="auto"/>
        <w:jc w:val="both"/>
        <w:rPr>
          <w:rFonts w:eastAsia="仿宋_GB2312"/>
          <w:color w:val="000000"/>
          <w:sz w:val="36"/>
          <w:szCs w:val="36"/>
          <w:highlight w:val="none"/>
        </w:rPr>
      </w:pPr>
    </w:p>
    <w:p w14:paraId="4F998862">
      <w:pPr>
        <w:spacing w:line="288" w:lineRule="auto"/>
        <w:ind w:firstLine="720" w:firstLineChars="200"/>
        <w:jc w:val="both"/>
        <w:rPr>
          <w:rFonts w:eastAsia="仿宋_GB2312"/>
          <w:color w:val="000000"/>
          <w:sz w:val="36"/>
          <w:szCs w:val="36"/>
          <w:highlight w:val="none"/>
        </w:rPr>
      </w:pPr>
    </w:p>
    <w:p w14:paraId="1047EDA6">
      <w:pPr>
        <w:pStyle w:val="14"/>
        <w:jc w:val="center"/>
        <w:outlineLvl w:val="0"/>
        <w:rPr>
          <w:color w:val="000000"/>
          <w:highlight w:val="none"/>
        </w:rPr>
      </w:pPr>
      <w:r>
        <w:rPr>
          <w:rFonts w:ascii="Times New Roman" w:hAnsi="Times New Roman" w:eastAsia="楷体_GB2312"/>
          <w:color w:val="000000"/>
          <w:sz w:val="36"/>
          <w:szCs w:val="36"/>
          <w:highlight w:val="none"/>
        </w:rPr>
        <w:t>中华人民共和国生态环境部</w:t>
      </w:r>
    </w:p>
    <w:p w14:paraId="4A49A63D">
      <w:pPr>
        <w:pStyle w:val="14"/>
        <w:jc w:val="center"/>
        <w:outlineLvl w:val="0"/>
        <w:rPr>
          <w:rFonts w:hint="eastAsia" w:ascii="Times New Roman" w:hAnsi="Times New Roman" w:eastAsia="楷体_GB2312"/>
          <w:color w:val="000000"/>
          <w:sz w:val="36"/>
          <w:szCs w:val="36"/>
          <w:highlight w:val="none"/>
        </w:rPr>
        <w:sectPr>
          <w:footerReference r:id="rId3" w:type="default"/>
          <w:pgSz w:w="11906" w:h="16838"/>
          <w:pgMar w:top="1701" w:right="1531" w:bottom="1701" w:left="1531" w:header="851" w:footer="1077" w:gutter="0"/>
          <w:pgNumType w:start="1"/>
          <w:cols w:space="720" w:num="1"/>
          <w:docGrid w:linePitch="312" w:charSpace="0"/>
        </w:sectPr>
      </w:pPr>
    </w:p>
    <w:p w14:paraId="5258AEF1">
      <w:pPr>
        <w:pStyle w:val="14"/>
        <w:adjustRightInd/>
        <w:snapToGrid/>
        <w:jc w:val="center"/>
        <w:outlineLvl w:val="0"/>
        <w:rPr>
          <w:rFonts w:hint="eastAsia" w:ascii="Times New Roman" w:hAnsi="Times New Roman" w:eastAsia="黑体"/>
          <w:snapToGrid w:val="0"/>
          <w:color w:val="000000"/>
          <w:sz w:val="30"/>
          <w:szCs w:val="30"/>
          <w:highlight w:val="none"/>
        </w:rPr>
        <w:sectPr>
          <w:footerReference r:id="rId4" w:type="default"/>
          <w:pgSz w:w="11906" w:h="16838"/>
          <w:pgMar w:top="1701" w:right="1531" w:bottom="1701" w:left="1531" w:header="851" w:footer="1077" w:gutter="0"/>
          <w:cols w:space="720" w:num="1"/>
          <w:docGrid w:linePitch="312" w:charSpace="0"/>
        </w:sectPr>
      </w:pPr>
    </w:p>
    <w:p w14:paraId="57D4AF51">
      <w:pPr>
        <w:pStyle w:val="14"/>
        <w:adjustRightInd/>
        <w:snapToGrid/>
        <w:jc w:val="center"/>
        <w:outlineLvl w:val="0"/>
        <w:rPr>
          <w:rFonts w:ascii="Times New Roman" w:hAnsi="Times New Roman" w:eastAsia="黑体"/>
          <w:snapToGrid w:val="0"/>
          <w:color w:val="000000"/>
          <w:sz w:val="30"/>
          <w:szCs w:val="30"/>
          <w:highlight w:val="none"/>
        </w:rPr>
      </w:pPr>
      <w:r>
        <w:rPr>
          <w:rFonts w:ascii="Times New Roman" w:hAnsi="Times New Roman" w:eastAsia="黑体"/>
          <w:snapToGrid w:val="0"/>
          <w:color w:val="000000"/>
          <w:sz w:val="30"/>
          <w:szCs w:val="30"/>
          <w:highlight w:val="none"/>
        </w:rPr>
        <w:t>一、建设项目基本情况</w:t>
      </w:r>
    </w:p>
    <w:tbl>
      <w:tblPr>
        <w:tblStyle w:val="16"/>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7"/>
        <w:gridCol w:w="955"/>
        <w:gridCol w:w="2583"/>
        <w:gridCol w:w="1988"/>
        <w:gridCol w:w="2656"/>
      </w:tblGrid>
      <w:tr w14:paraId="2BFBF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812" w:type="dxa"/>
            <w:gridSpan w:val="2"/>
            <w:noWrap w:val="0"/>
            <w:tcMar>
              <w:top w:w="16" w:type="dxa"/>
              <w:left w:w="16" w:type="dxa"/>
              <w:right w:w="16" w:type="dxa"/>
            </w:tcMar>
            <w:vAlign w:val="center"/>
          </w:tcPr>
          <w:p w14:paraId="0747A293">
            <w:pPr>
              <w:rPr>
                <w:color w:val="000000"/>
                <w:highlight w:val="none"/>
              </w:rPr>
            </w:pPr>
            <w:r>
              <w:rPr>
                <w:color w:val="000000"/>
                <w:highlight w:val="none"/>
              </w:rPr>
              <w:t>建设项目名称</w:t>
            </w:r>
          </w:p>
        </w:tc>
        <w:tc>
          <w:tcPr>
            <w:tcW w:w="7227" w:type="dxa"/>
            <w:gridSpan w:val="3"/>
            <w:noWrap w:val="0"/>
            <w:vAlign w:val="center"/>
          </w:tcPr>
          <w:p w14:paraId="08FC3E4F">
            <w:pPr>
              <w:rPr>
                <w:color w:val="000000"/>
                <w:highlight w:val="none"/>
              </w:rPr>
            </w:pPr>
            <w:r>
              <w:rPr>
                <w:rFonts w:hint="eastAsia"/>
                <w:color w:val="000000"/>
                <w:highlight w:val="none"/>
              </w:rPr>
              <w:t>盆10区块评价井工程</w:t>
            </w:r>
          </w:p>
        </w:tc>
      </w:tr>
      <w:tr w14:paraId="182F1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12" w:type="dxa"/>
            <w:gridSpan w:val="2"/>
            <w:noWrap w:val="0"/>
            <w:tcMar>
              <w:top w:w="16" w:type="dxa"/>
              <w:left w:w="16" w:type="dxa"/>
              <w:right w:w="16" w:type="dxa"/>
            </w:tcMar>
            <w:vAlign w:val="center"/>
          </w:tcPr>
          <w:p w14:paraId="112A924A">
            <w:pPr>
              <w:rPr>
                <w:color w:val="000000"/>
                <w:highlight w:val="none"/>
              </w:rPr>
            </w:pPr>
            <w:r>
              <w:rPr>
                <w:color w:val="000000"/>
                <w:highlight w:val="none"/>
              </w:rPr>
              <w:t>项目代码</w:t>
            </w:r>
          </w:p>
        </w:tc>
        <w:tc>
          <w:tcPr>
            <w:tcW w:w="7227" w:type="dxa"/>
            <w:gridSpan w:val="3"/>
            <w:noWrap w:val="0"/>
            <w:vAlign w:val="center"/>
          </w:tcPr>
          <w:p w14:paraId="79017B24">
            <w:pPr>
              <w:rPr>
                <w:color w:val="000000"/>
                <w:highlight w:val="none"/>
              </w:rPr>
            </w:pPr>
            <w:r>
              <w:rPr>
                <w:color w:val="000000"/>
                <w:highlight w:val="none"/>
              </w:rPr>
              <w:t>无</w:t>
            </w:r>
          </w:p>
        </w:tc>
      </w:tr>
      <w:tr w14:paraId="45321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812" w:type="dxa"/>
            <w:gridSpan w:val="2"/>
            <w:noWrap w:val="0"/>
            <w:tcMar>
              <w:top w:w="16" w:type="dxa"/>
              <w:left w:w="16" w:type="dxa"/>
              <w:right w:w="16" w:type="dxa"/>
            </w:tcMar>
            <w:vAlign w:val="center"/>
          </w:tcPr>
          <w:p w14:paraId="751375DF">
            <w:pPr>
              <w:rPr>
                <w:color w:val="000000"/>
                <w:highlight w:val="none"/>
              </w:rPr>
            </w:pPr>
            <w:r>
              <w:rPr>
                <w:color w:val="000000"/>
                <w:highlight w:val="none"/>
              </w:rPr>
              <w:t>建设单位联系人</w:t>
            </w:r>
          </w:p>
        </w:tc>
        <w:tc>
          <w:tcPr>
            <w:tcW w:w="2583" w:type="dxa"/>
            <w:noWrap w:val="0"/>
            <w:vAlign w:val="center"/>
          </w:tcPr>
          <w:p w14:paraId="650CCDEF">
            <w:pPr>
              <w:rPr>
                <w:color w:val="000000"/>
                <w:highlight w:val="none"/>
              </w:rPr>
            </w:pPr>
            <w:r>
              <w:rPr>
                <w:rFonts w:hint="eastAsia"/>
                <w:color w:val="000000"/>
                <w:highlight w:val="none"/>
                <w:lang w:val="en-US" w:eastAsia="zh-CN"/>
              </w:rPr>
              <w:t>***</w:t>
            </w:r>
          </w:p>
        </w:tc>
        <w:tc>
          <w:tcPr>
            <w:tcW w:w="1988" w:type="dxa"/>
            <w:noWrap w:val="0"/>
            <w:vAlign w:val="center"/>
          </w:tcPr>
          <w:p w14:paraId="2C09C129">
            <w:pPr>
              <w:rPr>
                <w:color w:val="000000"/>
                <w:highlight w:val="none"/>
              </w:rPr>
            </w:pPr>
            <w:r>
              <w:rPr>
                <w:color w:val="000000"/>
                <w:highlight w:val="none"/>
              </w:rPr>
              <w:t>联系方式</w:t>
            </w:r>
          </w:p>
        </w:tc>
        <w:tc>
          <w:tcPr>
            <w:tcW w:w="2656" w:type="dxa"/>
            <w:noWrap w:val="0"/>
            <w:vAlign w:val="center"/>
          </w:tcPr>
          <w:p w14:paraId="7A67148B">
            <w:pPr>
              <w:rPr>
                <w:color w:val="000000"/>
                <w:highlight w:val="none"/>
              </w:rPr>
            </w:pPr>
            <w:r>
              <w:rPr>
                <w:rFonts w:hint="eastAsia"/>
                <w:color w:val="000000"/>
                <w:highlight w:val="none"/>
                <w:lang w:val="en-US" w:eastAsia="zh-CN"/>
              </w:rPr>
              <w:t>***</w:t>
            </w:r>
          </w:p>
        </w:tc>
      </w:tr>
      <w:tr w14:paraId="51CBB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1812" w:type="dxa"/>
            <w:gridSpan w:val="2"/>
            <w:noWrap w:val="0"/>
            <w:tcMar>
              <w:top w:w="16" w:type="dxa"/>
              <w:left w:w="16" w:type="dxa"/>
              <w:right w:w="16" w:type="dxa"/>
            </w:tcMar>
            <w:vAlign w:val="center"/>
          </w:tcPr>
          <w:p w14:paraId="48AC3E30">
            <w:pPr>
              <w:rPr>
                <w:color w:val="000000"/>
                <w:highlight w:val="none"/>
              </w:rPr>
            </w:pPr>
            <w:r>
              <w:rPr>
                <w:color w:val="000000"/>
                <w:highlight w:val="none"/>
              </w:rPr>
              <w:t>建设地点</w:t>
            </w:r>
          </w:p>
        </w:tc>
        <w:tc>
          <w:tcPr>
            <w:tcW w:w="7227" w:type="dxa"/>
            <w:gridSpan w:val="3"/>
            <w:noWrap w:val="0"/>
            <w:vAlign w:val="center"/>
          </w:tcPr>
          <w:p w14:paraId="79E05B38">
            <w:pPr>
              <w:rPr>
                <w:color w:val="000000"/>
                <w:highlight w:val="none"/>
              </w:rPr>
            </w:pPr>
            <w:r>
              <w:rPr>
                <w:color w:val="000000"/>
                <w:highlight w:val="none"/>
              </w:rPr>
              <w:t>新疆维吾尔自治区</w:t>
            </w:r>
            <w:r>
              <w:rPr>
                <w:rFonts w:hint="eastAsia"/>
                <w:color w:val="000000"/>
                <w:highlight w:val="none"/>
              </w:rPr>
              <w:t>昌吉回族自治州玛纳斯县</w:t>
            </w:r>
          </w:p>
        </w:tc>
      </w:tr>
      <w:tr w14:paraId="585C0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12" w:type="dxa"/>
            <w:gridSpan w:val="2"/>
            <w:noWrap w:val="0"/>
            <w:tcMar>
              <w:top w:w="16" w:type="dxa"/>
              <w:left w:w="16" w:type="dxa"/>
              <w:right w:w="16" w:type="dxa"/>
            </w:tcMar>
            <w:vAlign w:val="center"/>
          </w:tcPr>
          <w:p w14:paraId="42572B82">
            <w:pPr>
              <w:rPr>
                <w:color w:val="000000"/>
                <w:highlight w:val="none"/>
              </w:rPr>
            </w:pPr>
            <w:r>
              <w:rPr>
                <w:color w:val="000000"/>
                <w:highlight w:val="none"/>
              </w:rPr>
              <w:t>地理坐标</w:t>
            </w:r>
          </w:p>
        </w:tc>
        <w:tc>
          <w:tcPr>
            <w:tcW w:w="7227" w:type="dxa"/>
            <w:gridSpan w:val="3"/>
            <w:noWrap w:val="0"/>
            <w:vAlign w:val="center"/>
          </w:tcPr>
          <w:p w14:paraId="49C3DDB2">
            <w:pPr>
              <w:jc w:val="center"/>
              <w:rPr>
                <w:rFonts w:hint="default"/>
                <w:color w:val="000000"/>
                <w:highlight w:val="none"/>
                <w:lang w:val="en-US"/>
              </w:rPr>
            </w:pPr>
            <w:r>
              <w:rPr>
                <w:color w:val="000000"/>
                <w:highlight w:val="none"/>
              </w:rPr>
              <w:t>莫173井</w:t>
            </w:r>
            <w:r>
              <w:rPr>
                <w:rFonts w:hint="eastAsia"/>
                <w:color w:val="000000"/>
                <w:highlight w:val="none"/>
              </w:rPr>
              <w:t>：</w:t>
            </w:r>
            <w:r>
              <w:rPr>
                <w:rFonts w:hint="eastAsia"/>
                <w:color w:val="000000"/>
                <w:highlight w:val="none"/>
                <w:lang w:val="en-US" w:eastAsia="zh-CN"/>
              </w:rPr>
              <w:t>***</w:t>
            </w:r>
          </w:p>
          <w:p w14:paraId="1661B4D7">
            <w:pPr>
              <w:rPr>
                <w:rFonts w:hint="default" w:eastAsia="宋体"/>
                <w:color w:val="000000"/>
                <w:highlight w:val="none"/>
                <w:lang w:val="en-US" w:eastAsia="zh-CN"/>
              </w:rPr>
            </w:pPr>
            <w:r>
              <w:rPr>
                <w:rFonts w:hint="eastAsia"/>
                <w:color w:val="000000"/>
                <w:sz w:val="24"/>
                <w:szCs w:val="24"/>
                <w:highlight w:val="none"/>
              </w:rPr>
              <w:t>莫174H</w:t>
            </w:r>
            <w:r>
              <w:rPr>
                <w:color w:val="000000"/>
                <w:sz w:val="24"/>
                <w:szCs w:val="24"/>
                <w:highlight w:val="none"/>
              </w:rPr>
              <w:t>井</w:t>
            </w:r>
            <w:r>
              <w:rPr>
                <w:rFonts w:hint="eastAsia"/>
                <w:color w:val="000000"/>
                <w:sz w:val="24"/>
                <w:szCs w:val="24"/>
                <w:highlight w:val="none"/>
              </w:rPr>
              <w:t>：</w:t>
            </w:r>
            <w:r>
              <w:rPr>
                <w:rFonts w:hint="eastAsia"/>
                <w:color w:val="000000"/>
                <w:sz w:val="24"/>
                <w:szCs w:val="24"/>
                <w:highlight w:val="none"/>
                <w:lang w:val="en-US" w:eastAsia="zh-CN"/>
              </w:rPr>
              <w:t>***</w:t>
            </w:r>
          </w:p>
        </w:tc>
      </w:tr>
      <w:tr w14:paraId="721E0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812" w:type="dxa"/>
            <w:gridSpan w:val="2"/>
            <w:noWrap w:val="0"/>
            <w:tcMar>
              <w:top w:w="16" w:type="dxa"/>
              <w:left w:w="16" w:type="dxa"/>
              <w:right w:w="16" w:type="dxa"/>
            </w:tcMar>
            <w:vAlign w:val="center"/>
          </w:tcPr>
          <w:p w14:paraId="6E0CA9B7">
            <w:pPr>
              <w:rPr>
                <w:color w:val="000000"/>
                <w:highlight w:val="none"/>
              </w:rPr>
            </w:pPr>
            <w:r>
              <w:rPr>
                <w:color w:val="000000"/>
                <w:highlight w:val="none"/>
              </w:rPr>
              <w:t>建设项目</w:t>
            </w:r>
          </w:p>
          <w:p w14:paraId="7362CEF2">
            <w:pPr>
              <w:rPr>
                <w:color w:val="000000"/>
                <w:highlight w:val="none"/>
              </w:rPr>
            </w:pPr>
            <w:r>
              <w:rPr>
                <w:color w:val="000000"/>
                <w:highlight w:val="none"/>
              </w:rPr>
              <w:t>行业类别</w:t>
            </w:r>
          </w:p>
        </w:tc>
        <w:tc>
          <w:tcPr>
            <w:tcW w:w="2583" w:type="dxa"/>
            <w:noWrap w:val="0"/>
            <w:vAlign w:val="center"/>
          </w:tcPr>
          <w:p w14:paraId="2364123B">
            <w:pPr>
              <w:rPr>
                <w:color w:val="000000"/>
                <w:highlight w:val="none"/>
              </w:rPr>
            </w:pPr>
            <w:r>
              <w:rPr>
                <w:color w:val="000000"/>
                <w:highlight w:val="none"/>
              </w:rPr>
              <w:t>四十六、专业技术服务业99陆地矿产资源地质勘查（含油气资源勘探）；二氧化碳地质封存</w:t>
            </w:r>
          </w:p>
        </w:tc>
        <w:tc>
          <w:tcPr>
            <w:tcW w:w="1988" w:type="dxa"/>
            <w:noWrap w:val="0"/>
            <w:vAlign w:val="center"/>
          </w:tcPr>
          <w:p w14:paraId="4CE710EE">
            <w:pPr>
              <w:rPr>
                <w:color w:val="000000"/>
                <w:highlight w:val="none"/>
              </w:rPr>
            </w:pPr>
            <w:r>
              <w:rPr>
                <w:color w:val="000000"/>
                <w:highlight w:val="none"/>
              </w:rPr>
              <w:t>用地（用海）面积（m</w:t>
            </w:r>
            <w:r>
              <w:rPr>
                <w:color w:val="000000"/>
                <w:highlight w:val="none"/>
                <w:vertAlign w:val="superscript"/>
              </w:rPr>
              <w:t>2</w:t>
            </w:r>
            <w:r>
              <w:rPr>
                <w:color w:val="000000"/>
                <w:highlight w:val="none"/>
              </w:rPr>
              <w:t>）/长度（km）</w:t>
            </w:r>
          </w:p>
        </w:tc>
        <w:tc>
          <w:tcPr>
            <w:tcW w:w="2656" w:type="dxa"/>
            <w:noWrap w:val="0"/>
            <w:vAlign w:val="center"/>
          </w:tcPr>
          <w:p w14:paraId="23AF8CC8">
            <w:pPr>
              <w:rPr>
                <w:color w:val="000000"/>
                <w:highlight w:val="none"/>
              </w:rPr>
            </w:pPr>
            <w:r>
              <w:rPr>
                <w:color w:val="000000"/>
                <w:highlight w:val="none"/>
              </w:rPr>
              <w:t>临时用地</w:t>
            </w:r>
            <w:r>
              <w:rPr>
                <w:rFonts w:hint="eastAsia"/>
                <w:color w:val="000000"/>
                <w:highlight w:val="none"/>
              </w:rPr>
              <w:t>113337</w:t>
            </w:r>
            <w:r>
              <w:rPr>
                <w:color w:val="000000"/>
                <w:highlight w:val="none"/>
              </w:rPr>
              <w:t>m</w:t>
            </w:r>
            <w:r>
              <w:rPr>
                <w:color w:val="000000"/>
                <w:highlight w:val="none"/>
                <w:vertAlign w:val="superscript"/>
              </w:rPr>
              <w:t>2</w:t>
            </w:r>
          </w:p>
        </w:tc>
      </w:tr>
      <w:tr w14:paraId="44BEA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812" w:type="dxa"/>
            <w:gridSpan w:val="2"/>
            <w:noWrap w:val="0"/>
            <w:tcMar>
              <w:top w:w="16" w:type="dxa"/>
              <w:left w:w="16" w:type="dxa"/>
              <w:right w:w="16" w:type="dxa"/>
            </w:tcMar>
            <w:vAlign w:val="center"/>
          </w:tcPr>
          <w:p w14:paraId="5DB1E46D">
            <w:pPr>
              <w:rPr>
                <w:color w:val="000000"/>
                <w:highlight w:val="none"/>
              </w:rPr>
            </w:pPr>
            <w:r>
              <w:rPr>
                <w:color w:val="000000"/>
                <w:highlight w:val="none"/>
              </w:rPr>
              <w:t>建设性质</w:t>
            </w:r>
          </w:p>
        </w:tc>
        <w:tc>
          <w:tcPr>
            <w:tcW w:w="2583" w:type="dxa"/>
            <w:noWrap w:val="0"/>
            <w:vAlign w:val="center"/>
          </w:tcPr>
          <w:p w14:paraId="1F1AF52F">
            <w:pPr>
              <w:jc w:val="left"/>
              <w:rPr>
                <w:color w:val="000000"/>
                <w:highlight w:val="none"/>
              </w:rPr>
            </w:pPr>
            <w:r>
              <w:rPr>
                <w:color w:val="000000"/>
                <w:highlight w:val="none"/>
              </w:rPr>
              <w:t>☑新建（迁建）</w:t>
            </w:r>
          </w:p>
          <w:p w14:paraId="61DBA048">
            <w:pPr>
              <w:jc w:val="left"/>
              <w:rPr>
                <w:color w:val="000000"/>
                <w:highlight w:val="none"/>
              </w:rPr>
            </w:pPr>
            <w:r>
              <w:rPr>
                <w:color w:val="000000"/>
                <w:highlight w:val="none"/>
              </w:rPr>
              <w:t>□改建</w:t>
            </w:r>
          </w:p>
          <w:p w14:paraId="7A22C8BB">
            <w:pPr>
              <w:jc w:val="left"/>
              <w:rPr>
                <w:color w:val="000000"/>
                <w:highlight w:val="none"/>
              </w:rPr>
            </w:pPr>
            <w:r>
              <w:rPr>
                <w:color w:val="000000"/>
                <w:highlight w:val="none"/>
              </w:rPr>
              <w:t>□扩建</w:t>
            </w:r>
          </w:p>
          <w:p w14:paraId="4DC1003C">
            <w:pPr>
              <w:jc w:val="left"/>
              <w:rPr>
                <w:color w:val="000000"/>
                <w:highlight w:val="none"/>
              </w:rPr>
            </w:pPr>
            <w:r>
              <w:rPr>
                <w:color w:val="000000"/>
                <w:highlight w:val="none"/>
              </w:rPr>
              <w:t>□技术改造</w:t>
            </w:r>
          </w:p>
        </w:tc>
        <w:tc>
          <w:tcPr>
            <w:tcW w:w="1988" w:type="dxa"/>
            <w:noWrap w:val="0"/>
            <w:vAlign w:val="center"/>
          </w:tcPr>
          <w:p w14:paraId="6718564F">
            <w:pPr>
              <w:rPr>
                <w:color w:val="000000"/>
                <w:highlight w:val="none"/>
              </w:rPr>
            </w:pPr>
            <w:r>
              <w:rPr>
                <w:color w:val="000000"/>
                <w:highlight w:val="none"/>
              </w:rPr>
              <w:t>建设项目</w:t>
            </w:r>
          </w:p>
          <w:p w14:paraId="710868E2">
            <w:pPr>
              <w:rPr>
                <w:color w:val="000000"/>
                <w:highlight w:val="none"/>
              </w:rPr>
            </w:pPr>
            <w:r>
              <w:rPr>
                <w:color w:val="000000"/>
                <w:highlight w:val="none"/>
              </w:rPr>
              <w:t>申报情形</w:t>
            </w:r>
          </w:p>
        </w:tc>
        <w:tc>
          <w:tcPr>
            <w:tcW w:w="2656" w:type="dxa"/>
            <w:noWrap w:val="0"/>
            <w:vAlign w:val="center"/>
          </w:tcPr>
          <w:p w14:paraId="06429715">
            <w:pPr>
              <w:jc w:val="left"/>
              <w:rPr>
                <w:color w:val="000000"/>
                <w:highlight w:val="none"/>
              </w:rPr>
            </w:pPr>
            <w:r>
              <w:rPr>
                <w:color w:val="000000"/>
                <w:highlight w:val="none"/>
              </w:rPr>
              <w:t>☑首次申报项目</w:t>
            </w:r>
          </w:p>
          <w:p w14:paraId="4C67BE8F">
            <w:pPr>
              <w:jc w:val="left"/>
              <w:rPr>
                <w:color w:val="000000"/>
                <w:highlight w:val="none"/>
              </w:rPr>
            </w:pPr>
            <w:r>
              <w:rPr>
                <w:color w:val="000000"/>
                <w:highlight w:val="none"/>
              </w:rPr>
              <w:t>□不予批准后再次申报项目</w:t>
            </w:r>
          </w:p>
          <w:p w14:paraId="3754586D">
            <w:pPr>
              <w:jc w:val="left"/>
              <w:rPr>
                <w:color w:val="000000"/>
                <w:highlight w:val="none"/>
              </w:rPr>
            </w:pPr>
            <w:r>
              <w:rPr>
                <w:color w:val="000000"/>
                <w:highlight w:val="none"/>
              </w:rPr>
              <w:t>□超五年重新审核项目</w:t>
            </w:r>
          </w:p>
          <w:p w14:paraId="3994611A">
            <w:pPr>
              <w:jc w:val="left"/>
              <w:rPr>
                <w:color w:val="000000"/>
                <w:highlight w:val="none"/>
              </w:rPr>
            </w:pPr>
            <w:r>
              <w:rPr>
                <w:color w:val="000000"/>
                <w:highlight w:val="none"/>
              </w:rPr>
              <w:t>□重大变动重新报批项目</w:t>
            </w:r>
          </w:p>
        </w:tc>
      </w:tr>
      <w:tr w14:paraId="3078C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812" w:type="dxa"/>
            <w:gridSpan w:val="2"/>
            <w:noWrap w:val="0"/>
            <w:tcMar>
              <w:top w:w="16" w:type="dxa"/>
              <w:left w:w="16" w:type="dxa"/>
              <w:right w:w="16" w:type="dxa"/>
            </w:tcMar>
            <w:vAlign w:val="center"/>
          </w:tcPr>
          <w:p w14:paraId="20FE97B8">
            <w:pPr>
              <w:rPr>
                <w:color w:val="000000"/>
                <w:highlight w:val="none"/>
              </w:rPr>
            </w:pPr>
            <w:r>
              <w:rPr>
                <w:color w:val="000000"/>
                <w:highlight w:val="none"/>
              </w:rPr>
              <w:t>项目审批（核准/</w:t>
            </w:r>
          </w:p>
          <w:p w14:paraId="03713350">
            <w:pPr>
              <w:rPr>
                <w:color w:val="000000"/>
                <w:highlight w:val="none"/>
              </w:rPr>
            </w:pPr>
            <w:r>
              <w:rPr>
                <w:color w:val="000000"/>
                <w:highlight w:val="none"/>
              </w:rPr>
              <w:t>备案）部门（选填）</w:t>
            </w:r>
          </w:p>
        </w:tc>
        <w:tc>
          <w:tcPr>
            <w:tcW w:w="2583" w:type="dxa"/>
            <w:noWrap w:val="0"/>
            <w:vAlign w:val="center"/>
          </w:tcPr>
          <w:p w14:paraId="0EFF2854">
            <w:pPr>
              <w:rPr>
                <w:color w:val="000000"/>
                <w:highlight w:val="none"/>
              </w:rPr>
            </w:pPr>
            <w:r>
              <w:rPr>
                <w:color w:val="000000"/>
                <w:highlight w:val="none"/>
              </w:rPr>
              <w:t>/</w:t>
            </w:r>
          </w:p>
        </w:tc>
        <w:tc>
          <w:tcPr>
            <w:tcW w:w="1988" w:type="dxa"/>
            <w:noWrap w:val="0"/>
            <w:vAlign w:val="center"/>
          </w:tcPr>
          <w:p w14:paraId="45AA45CC">
            <w:pPr>
              <w:rPr>
                <w:color w:val="000000"/>
                <w:highlight w:val="none"/>
              </w:rPr>
            </w:pPr>
            <w:r>
              <w:rPr>
                <w:color w:val="000000"/>
                <w:highlight w:val="none"/>
              </w:rPr>
              <w:t>项目审批（核准/</w:t>
            </w:r>
          </w:p>
          <w:p w14:paraId="618D70F9">
            <w:pPr>
              <w:rPr>
                <w:color w:val="000000"/>
                <w:highlight w:val="none"/>
              </w:rPr>
            </w:pPr>
            <w:r>
              <w:rPr>
                <w:color w:val="000000"/>
                <w:highlight w:val="none"/>
              </w:rPr>
              <w:t>备案）文号（选填）</w:t>
            </w:r>
          </w:p>
        </w:tc>
        <w:tc>
          <w:tcPr>
            <w:tcW w:w="2656" w:type="dxa"/>
            <w:noWrap w:val="0"/>
            <w:vAlign w:val="center"/>
          </w:tcPr>
          <w:p w14:paraId="6066ED3D">
            <w:pPr>
              <w:rPr>
                <w:color w:val="000000"/>
                <w:highlight w:val="none"/>
              </w:rPr>
            </w:pPr>
            <w:r>
              <w:rPr>
                <w:color w:val="000000"/>
                <w:highlight w:val="none"/>
              </w:rPr>
              <w:t>/</w:t>
            </w:r>
          </w:p>
        </w:tc>
      </w:tr>
      <w:tr w14:paraId="6C37C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812" w:type="dxa"/>
            <w:gridSpan w:val="2"/>
            <w:noWrap w:val="0"/>
            <w:tcMar>
              <w:top w:w="16" w:type="dxa"/>
              <w:left w:w="16" w:type="dxa"/>
              <w:right w:w="16" w:type="dxa"/>
            </w:tcMar>
            <w:vAlign w:val="center"/>
          </w:tcPr>
          <w:p w14:paraId="56677DF3">
            <w:pPr>
              <w:rPr>
                <w:color w:val="000000"/>
                <w:highlight w:val="none"/>
              </w:rPr>
            </w:pPr>
            <w:r>
              <w:rPr>
                <w:color w:val="000000"/>
                <w:highlight w:val="none"/>
              </w:rPr>
              <w:t>总投资（万元）</w:t>
            </w:r>
          </w:p>
        </w:tc>
        <w:tc>
          <w:tcPr>
            <w:tcW w:w="2583" w:type="dxa"/>
            <w:noWrap w:val="0"/>
            <w:vAlign w:val="center"/>
          </w:tcPr>
          <w:p w14:paraId="7877A0EA">
            <w:pPr>
              <w:rPr>
                <w:color w:val="000000"/>
                <w:highlight w:val="none"/>
              </w:rPr>
            </w:pPr>
            <w:r>
              <w:rPr>
                <w:rFonts w:hint="eastAsia"/>
                <w:color w:val="000000"/>
                <w:highlight w:val="none"/>
              </w:rPr>
              <w:t>1294.8</w:t>
            </w:r>
          </w:p>
        </w:tc>
        <w:tc>
          <w:tcPr>
            <w:tcW w:w="1988" w:type="dxa"/>
            <w:noWrap w:val="0"/>
            <w:tcMar>
              <w:top w:w="16" w:type="dxa"/>
              <w:left w:w="16" w:type="dxa"/>
              <w:right w:w="16" w:type="dxa"/>
            </w:tcMar>
            <w:vAlign w:val="center"/>
          </w:tcPr>
          <w:p w14:paraId="23D18053">
            <w:pPr>
              <w:rPr>
                <w:color w:val="000000"/>
                <w:highlight w:val="none"/>
              </w:rPr>
            </w:pPr>
            <w:r>
              <w:rPr>
                <w:color w:val="000000"/>
                <w:highlight w:val="none"/>
              </w:rPr>
              <w:t>环保投资（万元）</w:t>
            </w:r>
          </w:p>
        </w:tc>
        <w:tc>
          <w:tcPr>
            <w:tcW w:w="2656" w:type="dxa"/>
            <w:noWrap w:val="0"/>
            <w:vAlign w:val="center"/>
          </w:tcPr>
          <w:p w14:paraId="23B49E19">
            <w:pPr>
              <w:rPr>
                <w:color w:val="000000"/>
                <w:highlight w:val="none"/>
              </w:rPr>
            </w:pPr>
            <w:r>
              <w:rPr>
                <w:rFonts w:hint="eastAsia"/>
                <w:color w:val="000000"/>
                <w:highlight w:val="none"/>
              </w:rPr>
              <w:t>138</w:t>
            </w:r>
          </w:p>
        </w:tc>
      </w:tr>
      <w:tr w14:paraId="6D6B9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812" w:type="dxa"/>
            <w:gridSpan w:val="2"/>
            <w:noWrap w:val="0"/>
            <w:tcMar>
              <w:top w:w="16" w:type="dxa"/>
              <w:left w:w="16" w:type="dxa"/>
              <w:right w:w="16" w:type="dxa"/>
            </w:tcMar>
            <w:vAlign w:val="center"/>
          </w:tcPr>
          <w:p w14:paraId="10A487A0">
            <w:pPr>
              <w:rPr>
                <w:color w:val="000000"/>
                <w:highlight w:val="none"/>
              </w:rPr>
            </w:pPr>
            <w:r>
              <w:rPr>
                <w:color w:val="000000"/>
                <w:highlight w:val="none"/>
              </w:rPr>
              <w:t>环保投资占比（%）</w:t>
            </w:r>
          </w:p>
        </w:tc>
        <w:tc>
          <w:tcPr>
            <w:tcW w:w="2583" w:type="dxa"/>
            <w:noWrap w:val="0"/>
            <w:vAlign w:val="center"/>
          </w:tcPr>
          <w:p w14:paraId="2887303D">
            <w:pPr>
              <w:rPr>
                <w:color w:val="000000"/>
                <w:highlight w:val="none"/>
              </w:rPr>
            </w:pPr>
            <w:r>
              <w:rPr>
                <w:rFonts w:hint="eastAsia"/>
                <w:color w:val="000000"/>
                <w:highlight w:val="none"/>
              </w:rPr>
              <w:t>10.6</w:t>
            </w:r>
          </w:p>
        </w:tc>
        <w:tc>
          <w:tcPr>
            <w:tcW w:w="1988" w:type="dxa"/>
            <w:noWrap w:val="0"/>
            <w:tcMar>
              <w:top w:w="16" w:type="dxa"/>
              <w:left w:w="16" w:type="dxa"/>
              <w:right w:w="16" w:type="dxa"/>
            </w:tcMar>
            <w:vAlign w:val="center"/>
          </w:tcPr>
          <w:p w14:paraId="513FDAB3">
            <w:pPr>
              <w:rPr>
                <w:color w:val="000000"/>
                <w:highlight w:val="none"/>
              </w:rPr>
            </w:pPr>
            <w:r>
              <w:rPr>
                <w:color w:val="000000"/>
                <w:highlight w:val="none"/>
              </w:rPr>
              <w:t>施工工期</w:t>
            </w:r>
          </w:p>
        </w:tc>
        <w:tc>
          <w:tcPr>
            <w:tcW w:w="2656" w:type="dxa"/>
            <w:noWrap w:val="0"/>
            <w:vAlign w:val="center"/>
          </w:tcPr>
          <w:p w14:paraId="3B9B6446">
            <w:pPr>
              <w:jc w:val="both"/>
              <w:rPr>
                <w:rFonts w:hint="eastAsia"/>
                <w:color w:val="000000"/>
                <w:highlight w:val="none"/>
              </w:rPr>
            </w:pPr>
            <w:r>
              <w:rPr>
                <w:color w:val="000000"/>
                <w:highlight w:val="none"/>
              </w:rPr>
              <w:t>单井钻井周期：</w:t>
            </w:r>
            <w:r>
              <w:rPr>
                <w:rFonts w:hint="eastAsia"/>
                <w:color w:val="000000"/>
                <w:highlight w:val="none"/>
              </w:rPr>
              <w:t>莫173井65</w:t>
            </w:r>
            <w:r>
              <w:rPr>
                <w:color w:val="000000"/>
                <w:highlight w:val="none"/>
              </w:rPr>
              <w:t>天</w:t>
            </w:r>
            <w:r>
              <w:rPr>
                <w:rFonts w:hint="eastAsia"/>
                <w:color w:val="000000"/>
                <w:highlight w:val="none"/>
              </w:rPr>
              <w:t>；莫174H井60</w:t>
            </w:r>
            <w:r>
              <w:rPr>
                <w:color w:val="000000"/>
                <w:highlight w:val="none"/>
              </w:rPr>
              <w:t>天</w:t>
            </w:r>
            <w:r>
              <w:rPr>
                <w:rFonts w:hint="eastAsia"/>
                <w:color w:val="000000"/>
                <w:highlight w:val="none"/>
              </w:rPr>
              <w:t>；</w:t>
            </w:r>
          </w:p>
          <w:p w14:paraId="74BDA031">
            <w:pPr>
              <w:jc w:val="both"/>
              <w:rPr>
                <w:color w:val="000000"/>
                <w:highlight w:val="none"/>
              </w:rPr>
            </w:pPr>
            <w:r>
              <w:rPr>
                <w:color w:val="000000"/>
                <w:highlight w:val="none"/>
              </w:rPr>
              <w:t>单井试油周期：</w:t>
            </w:r>
            <w:r>
              <w:rPr>
                <w:rFonts w:hint="eastAsia"/>
                <w:color w:val="000000"/>
                <w:highlight w:val="none"/>
              </w:rPr>
              <w:t>180</w:t>
            </w:r>
            <w:r>
              <w:rPr>
                <w:color w:val="000000"/>
                <w:highlight w:val="none"/>
              </w:rPr>
              <w:t>天</w:t>
            </w:r>
          </w:p>
        </w:tc>
      </w:tr>
      <w:tr w14:paraId="783D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812" w:type="dxa"/>
            <w:gridSpan w:val="2"/>
            <w:noWrap w:val="0"/>
            <w:tcMar>
              <w:top w:w="16" w:type="dxa"/>
              <w:left w:w="16" w:type="dxa"/>
              <w:right w:w="16" w:type="dxa"/>
            </w:tcMar>
            <w:vAlign w:val="center"/>
          </w:tcPr>
          <w:p w14:paraId="69E63D5D">
            <w:pPr>
              <w:rPr>
                <w:color w:val="000000"/>
                <w:highlight w:val="none"/>
              </w:rPr>
            </w:pPr>
            <w:r>
              <w:rPr>
                <w:color w:val="000000"/>
                <w:highlight w:val="none"/>
              </w:rPr>
              <w:t>是否开工建设</w:t>
            </w:r>
          </w:p>
        </w:tc>
        <w:tc>
          <w:tcPr>
            <w:tcW w:w="7227" w:type="dxa"/>
            <w:gridSpan w:val="3"/>
            <w:noWrap w:val="0"/>
            <w:vAlign w:val="center"/>
          </w:tcPr>
          <w:p w14:paraId="121A032A">
            <w:pPr>
              <w:ind w:firstLine="105"/>
              <w:rPr>
                <w:color w:val="000000"/>
                <w:highlight w:val="none"/>
              </w:rPr>
            </w:pPr>
            <w:r>
              <w:rPr>
                <w:color w:val="000000"/>
                <w:highlight w:val="none"/>
              </w:rPr>
              <w:t>☑否□是</w:t>
            </w:r>
          </w:p>
        </w:tc>
      </w:tr>
      <w:tr w14:paraId="38FD5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12" w:type="dxa"/>
            <w:gridSpan w:val="2"/>
            <w:noWrap w:val="0"/>
            <w:tcMar>
              <w:top w:w="16" w:type="dxa"/>
              <w:left w:w="16" w:type="dxa"/>
              <w:right w:w="16" w:type="dxa"/>
            </w:tcMar>
            <w:vAlign w:val="center"/>
          </w:tcPr>
          <w:p w14:paraId="4404B839">
            <w:pPr>
              <w:autoSpaceDE w:val="0"/>
              <w:autoSpaceDN w:val="0"/>
              <w:rPr>
                <w:color w:val="000000"/>
                <w:kern w:val="0"/>
                <w:highlight w:val="none"/>
              </w:rPr>
            </w:pPr>
            <w:r>
              <w:rPr>
                <w:color w:val="000000"/>
                <w:kern w:val="0"/>
                <w:highlight w:val="none"/>
              </w:rPr>
              <w:t>专项评价设置情况</w:t>
            </w:r>
          </w:p>
        </w:tc>
        <w:tc>
          <w:tcPr>
            <w:tcW w:w="7227" w:type="dxa"/>
            <w:gridSpan w:val="3"/>
            <w:noWrap w:val="0"/>
            <w:tcMar>
              <w:top w:w="16" w:type="dxa"/>
              <w:left w:w="16" w:type="dxa"/>
              <w:right w:w="16" w:type="dxa"/>
            </w:tcMar>
            <w:vAlign w:val="center"/>
          </w:tcPr>
          <w:p w14:paraId="4C1A4C04">
            <w:pPr>
              <w:autoSpaceDE w:val="0"/>
              <w:autoSpaceDN w:val="0"/>
              <w:rPr>
                <w:color w:val="000000"/>
                <w:kern w:val="0"/>
                <w:highlight w:val="none"/>
              </w:rPr>
            </w:pPr>
            <w:r>
              <w:rPr>
                <w:color w:val="000000"/>
                <w:kern w:val="0"/>
                <w:highlight w:val="none"/>
              </w:rPr>
              <w:t>无</w:t>
            </w:r>
          </w:p>
        </w:tc>
      </w:tr>
      <w:tr w14:paraId="4808C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1812" w:type="dxa"/>
            <w:gridSpan w:val="2"/>
            <w:noWrap w:val="0"/>
            <w:tcMar>
              <w:top w:w="16" w:type="dxa"/>
              <w:left w:w="16" w:type="dxa"/>
              <w:right w:w="16" w:type="dxa"/>
            </w:tcMar>
            <w:vAlign w:val="center"/>
          </w:tcPr>
          <w:p w14:paraId="5D00A858">
            <w:pPr>
              <w:autoSpaceDE w:val="0"/>
              <w:autoSpaceDN w:val="0"/>
              <w:rPr>
                <w:color w:val="000000"/>
                <w:kern w:val="0"/>
                <w:highlight w:val="none"/>
              </w:rPr>
            </w:pPr>
            <w:r>
              <w:rPr>
                <w:color w:val="000000"/>
                <w:highlight w:val="none"/>
              </w:rPr>
              <w:t>规划情况</w:t>
            </w:r>
          </w:p>
        </w:tc>
        <w:tc>
          <w:tcPr>
            <w:tcW w:w="7227" w:type="dxa"/>
            <w:gridSpan w:val="3"/>
            <w:noWrap w:val="0"/>
            <w:tcMar>
              <w:top w:w="16" w:type="dxa"/>
              <w:left w:w="16" w:type="dxa"/>
              <w:right w:w="16" w:type="dxa"/>
            </w:tcMar>
            <w:vAlign w:val="center"/>
          </w:tcPr>
          <w:p w14:paraId="767E29B3">
            <w:pPr>
              <w:autoSpaceDE w:val="0"/>
              <w:autoSpaceDN w:val="0"/>
              <w:rPr>
                <w:color w:val="000000"/>
                <w:kern w:val="0"/>
                <w:highlight w:val="none"/>
              </w:rPr>
            </w:pPr>
            <w:r>
              <w:rPr>
                <w:rFonts w:hint="eastAsia"/>
                <w:bCs/>
                <w:color w:val="000000"/>
                <w:szCs w:val="21"/>
                <w:highlight w:val="none"/>
              </w:rPr>
              <w:t>规划名称：《新疆油田公司“十四五”发展规划》</w:t>
            </w:r>
          </w:p>
        </w:tc>
      </w:tr>
      <w:tr w14:paraId="5367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812" w:type="dxa"/>
            <w:gridSpan w:val="2"/>
            <w:noWrap w:val="0"/>
            <w:tcMar>
              <w:top w:w="16" w:type="dxa"/>
              <w:left w:w="16" w:type="dxa"/>
              <w:right w:w="16" w:type="dxa"/>
            </w:tcMar>
            <w:vAlign w:val="center"/>
          </w:tcPr>
          <w:p w14:paraId="1DF7BD7F">
            <w:pPr>
              <w:autoSpaceDE w:val="0"/>
              <w:autoSpaceDN w:val="0"/>
              <w:rPr>
                <w:color w:val="000000"/>
                <w:kern w:val="0"/>
                <w:highlight w:val="none"/>
              </w:rPr>
            </w:pPr>
            <w:r>
              <w:rPr>
                <w:color w:val="000000"/>
                <w:highlight w:val="none"/>
              </w:rPr>
              <w:t>规划环境影响评价情况</w:t>
            </w:r>
          </w:p>
        </w:tc>
        <w:tc>
          <w:tcPr>
            <w:tcW w:w="7227" w:type="dxa"/>
            <w:gridSpan w:val="3"/>
            <w:noWrap w:val="0"/>
            <w:tcMar>
              <w:top w:w="16" w:type="dxa"/>
              <w:left w:w="16" w:type="dxa"/>
              <w:right w:w="16" w:type="dxa"/>
            </w:tcMar>
            <w:vAlign w:val="center"/>
          </w:tcPr>
          <w:p w14:paraId="1ECF364F">
            <w:pPr>
              <w:pStyle w:val="19"/>
              <w:spacing w:line="360" w:lineRule="auto"/>
              <w:jc w:val="both"/>
              <w:rPr>
                <w:rFonts w:hint="eastAsia"/>
                <w:b w:val="0"/>
                <w:color w:val="000000"/>
                <w:sz w:val="24"/>
                <w:szCs w:val="21"/>
                <w:highlight w:val="none"/>
              </w:rPr>
            </w:pPr>
            <w:r>
              <w:rPr>
                <w:rFonts w:hint="eastAsia"/>
                <w:b w:val="0"/>
                <w:color w:val="000000"/>
                <w:sz w:val="24"/>
                <w:szCs w:val="21"/>
                <w:highlight w:val="none"/>
              </w:rPr>
              <w:t>文件名称：《新疆油田公司“十四五”发展规划环境影响报告书》；</w:t>
            </w:r>
          </w:p>
          <w:p w14:paraId="4DBAA62B">
            <w:pPr>
              <w:pStyle w:val="19"/>
              <w:spacing w:line="360" w:lineRule="auto"/>
              <w:jc w:val="both"/>
              <w:rPr>
                <w:rFonts w:hint="eastAsia"/>
                <w:b w:val="0"/>
                <w:color w:val="000000"/>
                <w:sz w:val="24"/>
                <w:szCs w:val="21"/>
                <w:highlight w:val="none"/>
              </w:rPr>
            </w:pPr>
            <w:r>
              <w:rPr>
                <w:rFonts w:hint="eastAsia"/>
                <w:b w:val="0"/>
                <w:color w:val="000000"/>
                <w:sz w:val="24"/>
                <w:szCs w:val="21"/>
                <w:highlight w:val="none"/>
              </w:rPr>
              <w:t>审查机关：新疆维吾尔自治区生态环境厅；</w:t>
            </w:r>
          </w:p>
          <w:p w14:paraId="3852D448">
            <w:pPr>
              <w:spacing w:line="360" w:lineRule="auto"/>
              <w:jc w:val="both"/>
              <w:rPr>
                <w:color w:val="000000"/>
                <w:kern w:val="0"/>
                <w:highlight w:val="none"/>
              </w:rPr>
            </w:pPr>
            <w:r>
              <w:rPr>
                <w:rFonts w:hint="eastAsia"/>
                <w:bCs/>
                <w:color w:val="000000"/>
                <w:szCs w:val="21"/>
                <w:highlight w:val="none"/>
              </w:rPr>
              <w:t>审查文件名称及文号：2022年12月1日取得《关于新疆油田公司“十四五”发展规划环境影响报告书的审查意见》（新环审〔2022〕252号）。</w:t>
            </w:r>
          </w:p>
        </w:tc>
      </w:tr>
      <w:tr w14:paraId="5BC0B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57" w:type="dxa"/>
            <w:noWrap w:val="0"/>
            <w:tcMar>
              <w:top w:w="16" w:type="dxa"/>
              <w:left w:w="16" w:type="dxa"/>
              <w:right w:w="16" w:type="dxa"/>
            </w:tcMar>
            <w:vAlign w:val="center"/>
          </w:tcPr>
          <w:p w14:paraId="10C3FBB3">
            <w:pPr>
              <w:autoSpaceDE w:val="0"/>
              <w:autoSpaceDN w:val="0"/>
              <w:rPr>
                <w:color w:val="000000"/>
                <w:kern w:val="0"/>
                <w:highlight w:val="none"/>
              </w:rPr>
            </w:pPr>
            <w:r>
              <w:rPr>
                <w:color w:val="000000"/>
                <w:kern w:val="0"/>
                <w:highlight w:val="none"/>
              </w:rPr>
              <w:t>规划及</w:t>
            </w:r>
            <w:r>
              <w:rPr>
                <w:color w:val="000000"/>
                <w:highlight w:val="none"/>
              </w:rPr>
              <w:t>规划环境影响评价</w:t>
            </w:r>
            <w:r>
              <w:rPr>
                <w:color w:val="000000"/>
                <w:kern w:val="0"/>
                <w:highlight w:val="none"/>
              </w:rPr>
              <w:t>符合性分析</w:t>
            </w:r>
          </w:p>
        </w:tc>
        <w:tc>
          <w:tcPr>
            <w:tcW w:w="8182" w:type="dxa"/>
            <w:gridSpan w:val="4"/>
            <w:noWrap w:val="0"/>
            <w:tcMar>
              <w:top w:w="16" w:type="dxa"/>
              <w:left w:w="16" w:type="dxa"/>
              <w:right w:w="16" w:type="dxa"/>
            </w:tcMar>
            <w:vAlign w:val="center"/>
          </w:tcPr>
          <w:p w14:paraId="6EDD54E5">
            <w:pPr>
              <w:spacing w:line="360" w:lineRule="auto"/>
              <w:ind w:firstLine="480" w:firstLineChars="200"/>
              <w:jc w:val="both"/>
              <w:rPr>
                <w:color w:val="000000"/>
                <w:highlight w:val="none"/>
              </w:rPr>
            </w:pPr>
            <w:r>
              <w:rPr>
                <w:color w:val="000000"/>
                <w:highlight w:val="none"/>
              </w:rPr>
              <w:t>为满足油气田产能建设和重大开发试验需求，满足已建系统安全平稳运行、提质增效需求，促进传统生产向精益生产转变，助力安全、环保、节能上台阶，</w:t>
            </w:r>
            <w:r>
              <w:rPr>
                <w:color w:val="000000"/>
                <w:highlight w:val="none"/>
                <w:lang w:val="zh-CN"/>
              </w:rPr>
              <w:t>中国石油新疆油田分公司</w:t>
            </w:r>
            <w:r>
              <w:rPr>
                <w:color w:val="000000"/>
                <w:highlight w:val="none"/>
              </w:rPr>
              <w:t>于2020年11月编制了《新疆油田公司“十四五”发展规划》。规划总体部署包括五大重点工程：玛湖500万吨上产工程、吉木萨尔页岩油建产工程、南缘建产工程、老区千万吨稳产工程（稠油400万吨稳产工程、常规稀油稳产工程）和天然气加快发展工程。以安全环保、提质增效为目标，总体能力满足“十四五”期间新区玛湖500万吨上产、吉木萨尔页岩油建产、南缘建产，老区千万吨稳产、天然气稳产的需要，非常规油气藏地面配套关键技术取得重大突破，</w:t>
            </w:r>
            <w:r>
              <w:rPr>
                <w:rFonts w:hint="eastAsia"/>
                <w:color w:val="000000"/>
                <w:highlight w:val="none"/>
              </w:rPr>
              <w:t>2025年科技创新能力总体达到一流“油公司”水平。</w:t>
            </w:r>
          </w:p>
          <w:p w14:paraId="79624492">
            <w:pPr>
              <w:pStyle w:val="20"/>
              <w:spacing w:line="360" w:lineRule="auto"/>
              <w:ind w:firstLine="480" w:firstLineChars="200"/>
              <w:jc w:val="both"/>
              <w:rPr>
                <w:rFonts w:ascii="Times New Roman" w:cs="Times New Roman"/>
                <w:color w:val="000000"/>
                <w:highlight w:val="none"/>
              </w:rPr>
            </w:pPr>
            <w:r>
              <w:rPr>
                <w:rFonts w:hint="eastAsia"/>
                <w:b w:val="0"/>
                <w:bCs/>
                <w:color w:val="000000"/>
                <w:highlight w:val="none"/>
              </w:rPr>
              <w:t>本项目实施为进一步扩大玛湖凹陷斜坡区的油气勘探成果，支撑产能建设，属于规划的“</w:t>
            </w:r>
            <w:r>
              <w:rPr>
                <w:rFonts w:hint="eastAsia" w:ascii="Times New Roman"/>
                <w:b w:val="0"/>
                <w:bCs/>
                <w:color w:val="000000"/>
                <w:highlight w:val="none"/>
              </w:rPr>
              <w:t>南缘建产工程</w:t>
            </w:r>
            <w:r>
              <w:rPr>
                <w:rFonts w:hint="eastAsia"/>
                <w:b w:val="0"/>
                <w:bCs/>
                <w:color w:val="000000"/>
                <w:highlight w:val="none"/>
              </w:rPr>
              <w:t>”</w:t>
            </w:r>
            <w:r>
              <w:rPr>
                <w:b w:val="0"/>
                <w:bCs/>
                <w:color w:val="000000"/>
                <w:highlight w:val="none"/>
              </w:rPr>
              <w:t>。</w:t>
            </w:r>
            <w:r>
              <w:rPr>
                <w:rFonts w:hint="eastAsia"/>
                <w:b w:val="0"/>
                <w:bCs/>
                <w:color w:val="000000"/>
                <w:highlight w:val="none"/>
              </w:rPr>
              <w:t>符合</w:t>
            </w:r>
            <w:r>
              <w:rPr>
                <w:rFonts w:hint="eastAsia" w:ascii="Times New Roman" w:cs="Times New Roman"/>
                <w:b w:val="0"/>
                <w:bCs/>
                <w:color w:val="000000"/>
                <w:szCs w:val="21"/>
                <w:highlight w:val="none"/>
              </w:rPr>
              <w:t>《新疆油田公司“十四五”发展规划》及其规划环评要求。</w:t>
            </w:r>
          </w:p>
        </w:tc>
      </w:tr>
      <w:tr w14:paraId="1E9A3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857" w:type="dxa"/>
            <w:noWrap w:val="0"/>
            <w:tcMar>
              <w:top w:w="16" w:type="dxa"/>
              <w:left w:w="16" w:type="dxa"/>
              <w:right w:w="16" w:type="dxa"/>
            </w:tcMar>
            <w:vAlign w:val="center"/>
          </w:tcPr>
          <w:p w14:paraId="4515926F">
            <w:pPr>
              <w:autoSpaceDE w:val="0"/>
              <w:autoSpaceDN w:val="0"/>
              <w:rPr>
                <w:color w:val="000000"/>
                <w:kern w:val="0"/>
                <w:highlight w:val="none"/>
              </w:rPr>
            </w:pPr>
            <w:bookmarkStart w:id="3" w:name="_Hlk56690880"/>
            <w:r>
              <w:rPr>
                <w:color w:val="000000"/>
                <w:kern w:val="0"/>
                <w:highlight w:val="none"/>
              </w:rPr>
              <w:t>其他符合性分析</w:t>
            </w:r>
            <w:bookmarkEnd w:id="3"/>
          </w:p>
        </w:tc>
        <w:tc>
          <w:tcPr>
            <w:tcW w:w="8182" w:type="dxa"/>
            <w:gridSpan w:val="4"/>
            <w:noWrap w:val="0"/>
            <w:tcMar>
              <w:top w:w="16" w:type="dxa"/>
              <w:left w:w="16" w:type="dxa"/>
              <w:right w:w="16" w:type="dxa"/>
            </w:tcMar>
            <w:vAlign w:val="center"/>
          </w:tcPr>
          <w:p w14:paraId="084D01F4">
            <w:pPr>
              <w:pStyle w:val="22"/>
              <w:jc w:val="both"/>
              <w:rPr>
                <w:color w:val="000000"/>
                <w:sz w:val="24"/>
                <w:highlight w:val="none"/>
              </w:rPr>
            </w:pPr>
            <w:r>
              <w:rPr>
                <w:color w:val="000000"/>
                <w:sz w:val="24"/>
                <w:highlight w:val="none"/>
              </w:rPr>
              <w:t>1 与生态环境分区管控方案相符性分析</w:t>
            </w:r>
          </w:p>
          <w:p w14:paraId="2F53F286">
            <w:pPr>
              <w:spacing w:line="360" w:lineRule="auto"/>
              <w:ind w:firstLine="480" w:firstLineChars="200"/>
              <w:jc w:val="both"/>
              <w:rPr>
                <w:color w:val="000000"/>
                <w:highlight w:val="none"/>
              </w:rPr>
            </w:pPr>
            <w:r>
              <w:rPr>
                <w:color w:val="000000"/>
                <w:highlight w:val="none"/>
              </w:rPr>
              <w:t>根据《昌吉</w:t>
            </w:r>
            <w:r>
              <w:rPr>
                <w:color w:val="000000"/>
                <w:highlight w:val="none"/>
                <w:lang w:val="zh-CN"/>
              </w:rPr>
              <w:t>回族</w:t>
            </w:r>
            <w:r>
              <w:rPr>
                <w:color w:val="000000"/>
                <w:highlight w:val="none"/>
              </w:rPr>
              <w:t>自治州“三线一单”生态环境分区管控成果动态更新》（2024年版），</w:t>
            </w:r>
            <w:r>
              <w:rPr>
                <w:rFonts w:hint="eastAsia"/>
                <w:color w:val="000000"/>
                <w:highlight w:val="none"/>
              </w:rPr>
              <w:t>昌吉回族自治州</w:t>
            </w:r>
            <w:r>
              <w:rPr>
                <w:color w:val="000000"/>
                <w:highlight w:val="none"/>
              </w:rPr>
              <w:t>共划定1</w:t>
            </w:r>
            <w:r>
              <w:rPr>
                <w:rFonts w:hint="eastAsia"/>
                <w:color w:val="000000"/>
                <w:highlight w:val="none"/>
              </w:rPr>
              <w:t>19</w:t>
            </w:r>
            <w:r>
              <w:rPr>
                <w:color w:val="000000"/>
                <w:highlight w:val="none"/>
              </w:rPr>
              <w:t>个环境管控单元，分为优先保护单元、重点管控单元和一般管控单元三类，实施分类管控。</w:t>
            </w:r>
          </w:p>
          <w:p w14:paraId="062DB2A3">
            <w:pPr>
              <w:spacing w:line="360" w:lineRule="auto"/>
              <w:ind w:firstLine="480" w:firstLineChars="200"/>
              <w:jc w:val="both"/>
              <w:rPr>
                <w:color w:val="000000"/>
                <w:highlight w:val="none"/>
              </w:rPr>
            </w:pPr>
            <w:r>
              <w:rPr>
                <w:rFonts w:hint="eastAsia"/>
                <w:color w:val="000000"/>
                <w:highlight w:val="none"/>
              </w:rPr>
              <w:t>（1）生态保护红线</w:t>
            </w:r>
          </w:p>
          <w:p w14:paraId="7CF71DF0">
            <w:pPr>
              <w:spacing w:line="212" w:lineRule="auto"/>
              <w:rPr>
                <w:b/>
                <w:color w:val="000000"/>
                <w:kern w:val="0"/>
                <w:sz w:val="21"/>
                <w:szCs w:val="18"/>
                <w:highlight w:val="none"/>
              </w:rPr>
            </w:pPr>
            <w:r>
              <w:rPr>
                <w:b/>
                <w:color w:val="000000"/>
                <w:kern w:val="0"/>
                <w:sz w:val="21"/>
                <w:szCs w:val="18"/>
                <w:highlight w:val="none"/>
              </w:rPr>
              <w:t>表1-</w:t>
            </w:r>
            <w:r>
              <w:rPr>
                <w:rFonts w:hint="eastAsia"/>
                <w:b/>
                <w:color w:val="000000"/>
                <w:kern w:val="0"/>
                <w:sz w:val="21"/>
                <w:szCs w:val="18"/>
                <w:highlight w:val="none"/>
              </w:rPr>
              <w:t>1</w:t>
            </w:r>
            <w:r>
              <w:rPr>
                <w:b/>
                <w:color w:val="000000"/>
                <w:kern w:val="0"/>
                <w:sz w:val="21"/>
                <w:szCs w:val="18"/>
                <w:highlight w:val="none"/>
              </w:rPr>
              <w:t xml:space="preserve">           项目涉及红线情况一览表</w:t>
            </w:r>
          </w:p>
          <w:tbl>
            <w:tblPr>
              <w:tblStyle w:val="16"/>
              <w:tblW w:w="4999"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9"/>
              <w:gridCol w:w="2185"/>
              <w:gridCol w:w="1789"/>
              <w:gridCol w:w="2070"/>
            </w:tblGrid>
            <w:tr w14:paraId="0ACE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8" w:type="pct"/>
                  <w:noWrap w:val="0"/>
                  <w:vAlign w:val="center"/>
                </w:tcPr>
                <w:p w14:paraId="40CB6854">
                  <w:pPr>
                    <w:rPr>
                      <w:b/>
                      <w:bCs/>
                      <w:color w:val="000000"/>
                      <w:kern w:val="0"/>
                      <w:sz w:val="21"/>
                      <w:szCs w:val="21"/>
                      <w:highlight w:val="none"/>
                    </w:rPr>
                  </w:pPr>
                  <w:r>
                    <w:rPr>
                      <w:b/>
                      <w:bCs/>
                      <w:color w:val="000000"/>
                      <w:kern w:val="0"/>
                      <w:sz w:val="21"/>
                      <w:szCs w:val="21"/>
                      <w:highlight w:val="none"/>
                    </w:rPr>
                    <w:t>红线名称</w:t>
                  </w:r>
                </w:p>
              </w:tc>
              <w:tc>
                <w:tcPr>
                  <w:tcW w:w="1341" w:type="pct"/>
                  <w:noWrap w:val="0"/>
                  <w:vAlign w:val="center"/>
                </w:tcPr>
                <w:p w14:paraId="2C3139CC">
                  <w:pPr>
                    <w:rPr>
                      <w:b/>
                      <w:bCs/>
                      <w:color w:val="000000"/>
                      <w:kern w:val="0"/>
                      <w:sz w:val="21"/>
                      <w:szCs w:val="21"/>
                      <w:highlight w:val="none"/>
                    </w:rPr>
                  </w:pPr>
                  <w:r>
                    <w:rPr>
                      <w:b/>
                      <w:bCs/>
                      <w:color w:val="000000"/>
                      <w:kern w:val="0"/>
                      <w:sz w:val="21"/>
                      <w:szCs w:val="21"/>
                      <w:highlight w:val="none"/>
                    </w:rPr>
                    <w:t>涉及行政区</w:t>
                  </w:r>
                </w:p>
              </w:tc>
              <w:tc>
                <w:tcPr>
                  <w:tcW w:w="1098" w:type="pct"/>
                  <w:noWrap w:val="0"/>
                  <w:vAlign w:val="center"/>
                </w:tcPr>
                <w:p w14:paraId="7EFBF294">
                  <w:pPr>
                    <w:rPr>
                      <w:b/>
                      <w:bCs/>
                      <w:color w:val="000000"/>
                      <w:kern w:val="0"/>
                      <w:sz w:val="21"/>
                      <w:szCs w:val="21"/>
                      <w:highlight w:val="none"/>
                    </w:rPr>
                  </w:pPr>
                  <w:r>
                    <w:rPr>
                      <w:b/>
                      <w:bCs/>
                      <w:color w:val="000000"/>
                      <w:kern w:val="0"/>
                      <w:sz w:val="21"/>
                      <w:szCs w:val="21"/>
                      <w:highlight w:val="none"/>
                    </w:rPr>
                    <w:t>主要功能或保护目标</w:t>
                  </w:r>
                </w:p>
              </w:tc>
              <w:tc>
                <w:tcPr>
                  <w:tcW w:w="1270" w:type="pct"/>
                  <w:tcBorders>
                    <w:right w:val="single" w:color="000000" w:sz="10" w:space="0"/>
                  </w:tcBorders>
                  <w:noWrap w:val="0"/>
                  <w:vAlign w:val="center"/>
                </w:tcPr>
                <w:p w14:paraId="290A895F">
                  <w:pPr>
                    <w:rPr>
                      <w:b/>
                      <w:bCs/>
                      <w:color w:val="000000"/>
                      <w:kern w:val="0"/>
                      <w:sz w:val="21"/>
                      <w:szCs w:val="21"/>
                      <w:highlight w:val="none"/>
                    </w:rPr>
                  </w:pPr>
                  <w:r>
                    <w:rPr>
                      <w:b/>
                      <w:bCs/>
                      <w:color w:val="000000"/>
                      <w:kern w:val="0"/>
                      <w:sz w:val="21"/>
                      <w:szCs w:val="21"/>
                      <w:highlight w:val="none"/>
                    </w:rPr>
                    <w:t>占用红线情况</w:t>
                  </w:r>
                </w:p>
              </w:tc>
            </w:tr>
            <w:tr w14:paraId="4A48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88" w:type="pct"/>
                  <w:tcBorders>
                    <w:top w:val="single" w:color="auto" w:sz="4" w:space="0"/>
                  </w:tcBorders>
                  <w:noWrap w:val="0"/>
                  <w:vAlign w:val="center"/>
                </w:tcPr>
                <w:p w14:paraId="4B1F1CC4">
                  <w:pPr>
                    <w:rPr>
                      <w:color w:val="000000"/>
                      <w:kern w:val="0"/>
                      <w:sz w:val="21"/>
                      <w:szCs w:val="21"/>
                      <w:highlight w:val="none"/>
                    </w:rPr>
                  </w:pPr>
                  <w:r>
                    <w:rPr>
                      <w:color w:val="000000"/>
                      <w:kern w:val="0"/>
                      <w:sz w:val="21"/>
                      <w:szCs w:val="21"/>
                      <w:highlight w:val="none"/>
                    </w:rPr>
                    <w:t>玛纳斯县土地沙化生态保护红线区</w:t>
                  </w:r>
                </w:p>
              </w:tc>
              <w:tc>
                <w:tcPr>
                  <w:tcW w:w="1341" w:type="pct"/>
                  <w:tcBorders>
                    <w:top w:val="single" w:color="auto" w:sz="4" w:space="0"/>
                  </w:tcBorders>
                  <w:noWrap w:val="0"/>
                  <w:vAlign w:val="center"/>
                </w:tcPr>
                <w:p w14:paraId="4E3FD573">
                  <w:pPr>
                    <w:rPr>
                      <w:color w:val="000000"/>
                      <w:kern w:val="0"/>
                      <w:sz w:val="21"/>
                      <w:szCs w:val="21"/>
                      <w:highlight w:val="none"/>
                    </w:rPr>
                  </w:pPr>
                  <w:r>
                    <w:rPr>
                      <w:rFonts w:hint="eastAsia"/>
                      <w:color w:val="000000"/>
                      <w:kern w:val="0"/>
                      <w:sz w:val="21"/>
                      <w:szCs w:val="21"/>
                      <w:highlight w:val="none"/>
                    </w:rPr>
                    <w:t>昌吉回族自治州玛纳斯</w:t>
                  </w:r>
                  <w:r>
                    <w:rPr>
                      <w:color w:val="000000"/>
                      <w:kern w:val="0"/>
                      <w:sz w:val="21"/>
                      <w:szCs w:val="21"/>
                      <w:highlight w:val="none"/>
                    </w:rPr>
                    <w:t>县</w:t>
                  </w:r>
                </w:p>
              </w:tc>
              <w:tc>
                <w:tcPr>
                  <w:tcW w:w="1098" w:type="pct"/>
                  <w:noWrap w:val="0"/>
                  <w:vAlign w:val="center"/>
                </w:tcPr>
                <w:p w14:paraId="38BCA338">
                  <w:pPr>
                    <w:rPr>
                      <w:color w:val="000000"/>
                      <w:kern w:val="0"/>
                      <w:sz w:val="21"/>
                      <w:szCs w:val="21"/>
                      <w:highlight w:val="none"/>
                    </w:rPr>
                  </w:pPr>
                  <w:r>
                    <w:rPr>
                      <w:color w:val="000000"/>
                      <w:kern w:val="0"/>
                      <w:sz w:val="21"/>
                      <w:szCs w:val="21"/>
                      <w:highlight w:val="none"/>
                    </w:rPr>
                    <w:t>土地沙化防控与生物多样性维护</w:t>
                  </w:r>
                </w:p>
              </w:tc>
              <w:tc>
                <w:tcPr>
                  <w:tcW w:w="1270" w:type="pct"/>
                  <w:tcBorders>
                    <w:right w:val="single" w:color="000000" w:sz="10" w:space="0"/>
                  </w:tcBorders>
                  <w:noWrap w:val="0"/>
                  <w:vAlign w:val="center"/>
                </w:tcPr>
                <w:p w14:paraId="272EC8C9">
                  <w:pPr>
                    <w:rPr>
                      <w:color w:val="000000"/>
                      <w:kern w:val="0"/>
                      <w:sz w:val="21"/>
                      <w:szCs w:val="21"/>
                      <w:highlight w:val="none"/>
                    </w:rPr>
                  </w:pPr>
                  <w:r>
                    <w:rPr>
                      <w:color w:val="000000"/>
                      <w:kern w:val="0"/>
                      <w:sz w:val="21"/>
                      <w:szCs w:val="21"/>
                      <w:highlight w:val="none"/>
                    </w:rPr>
                    <w:t>临时占地</w:t>
                  </w:r>
                  <w:r>
                    <w:rPr>
                      <w:rFonts w:hint="eastAsia"/>
                      <w:color w:val="000000"/>
                      <w:kern w:val="0"/>
                      <w:sz w:val="21"/>
                      <w:szCs w:val="21"/>
                      <w:highlight w:val="none"/>
                    </w:rPr>
                    <w:t>6.8085</w:t>
                  </w:r>
                  <w:r>
                    <w:rPr>
                      <w:color w:val="000000"/>
                      <w:kern w:val="0"/>
                      <w:sz w:val="21"/>
                      <w:szCs w:val="21"/>
                      <w:highlight w:val="none"/>
                    </w:rPr>
                    <w:t>hm</w:t>
                  </w:r>
                  <w:r>
                    <w:rPr>
                      <w:color w:val="000000"/>
                      <w:kern w:val="0"/>
                      <w:sz w:val="21"/>
                      <w:szCs w:val="21"/>
                      <w:highlight w:val="none"/>
                      <w:vertAlign w:val="superscript"/>
                    </w:rPr>
                    <w:t>2</w:t>
                  </w:r>
                </w:p>
              </w:tc>
            </w:tr>
          </w:tbl>
          <w:p w14:paraId="20F2247A">
            <w:pPr>
              <w:pStyle w:val="14"/>
              <w:widowControl w:val="0"/>
              <w:spacing w:before="0" w:beforeAutospacing="0" w:after="0" w:afterAutospacing="0" w:line="360" w:lineRule="auto"/>
              <w:ind w:firstLine="480" w:firstLineChars="200"/>
              <w:jc w:val="both"/>
              <w:rPr>
                <w:rFonts w:ascii="Times New Roman" w:hAnsi="Times New Roman"/>
                <w:color w:val="000000"/>
                <w:highlight w:val="none"/>
              </w:rPr>
            </w:pPr>
            <w:r>
              <w:rPr>
                <w:rFonts w:ascii="Times New Roman" w:hAnsi="Times New Roman"/>
                <w:color w:val="000000"/>
                <w:highlight w:val="none"/>
              </w:rPr>
              <w:t>（2）生态环境准入清单</w:t>
            </w:r>
          </w:p>
          <w:p w14:paraId="22B0D58B">
            <w:pPr>
              <w:pStyle w:val="14"/>
              <w:widowControl w:val="0"/>
              <w:spacing w:before="0" w:beforeAutospacing="0" w:after="0" w:afterAutospacing="0" w:line="360" w:lineRule="auto"/>
              <w:ind w:firstLine="480" w:firstLineChars="200"/>
              <w:jc w:val="both"/>
              <w:rPr>
                <w:color w:val="000000"/>
                <w:highlight w:val="none"/>
              </w:rPr>
            </w:pPr>
            <w:r>
              <w:rPr>
                <w:rFonts w:ascii="Times New Roman" w:hAnsi="Times New Roman"/>
                <w:color w:val="000000"/>
                <w:highlight w:val="none"/>
              </w:rPr>
              <w:t>本项目莫173井所在区域位于玛纳斯县土地沙化生态保护红线区优先管控单元（ZH65232410009），本项目莫174H井所在区域位于玛纳斯县</w:t>
            </w:r>
            <w:r>
              <w:rPr>
                <w:rFonts w:hint="eastAsia" w:ascii="Times New Roman" w:hAnsi="Times New Roman"/>
                <w:color w:val="000000"/>
                <w:highlight w:val="none"/>
              </w:rPr>
              <w:t>一般管控单元</w:t>
            </w:r>
            <w:r>
              <w:rPr>
                <w:rFonts w:ascii="Times New Roman" w:hAnsi="Times New Roman"/>
                <w:color w:val="000000"/>
                <w:highlight w:val="none"/>
              </w:rPr>
              <w:t>（ZH65232430001），见表1-</w:t>
            </w:r>
            <w:r>
              <w:rPr>
                <w:rFonts w:hint="eastAsia" w:ascii="Times New Roman" w:hAnsi="Times New Roman"/>
                <w:color w:val="000000"/>
                <w:highlight w:val="none"/>
              </w:rPr>
              <w:t>2</w:t>
            </w:r>
            <w:r>
              <w:rPr>
                <w:rFonts w:ascii="Times New Roman" w:hAnsi="Times New Roman"/>
                <w:color w:val="000000"/>
                <w:highlight w:val="none"/>
              </w:rPr>
              <w:t>。</w:t>
            </w:r>
          </w:p>
          <w:p w14:paraId="4305F931">
            <w:pPr>
              <w:pStyle w:val="24"/>
              <w:spacing w:line="240" w:lineRule="auto"/>
              <w:ind w:firstLine="0" w:firstLineChars="0"/>
              <w:jc w:val="center"/>
              <w:rPr>
                <w:b/>
                <w:bCs/>
                <w:color w:val="000000"/>
                <w:sz w:val="21"/>
                <w:szCs w:val="21"/>
                <w:highlight w:val="none"/>
              </w:rPr>
            </w:pPr>
            <w:r>
              <w:rPr>
                <w:b/>
                <w:bCs/>
                <w:color w:val="000000"/>
                <w:sz w:val="21"/>
                <w:szCs w:val="21"/>
                <w:highlight w:val="none"/>
              </w:rPr>
              <w:t>表1-</w:t>
            </w:r>
            <w:r>
              <w:rPr>
                <w:rFonts w:hint="eastAsia"/>
                <w:b/>
                <w:bCs/>
                <w:color w:val="000000"/>
                <w:sz w:val="21"/>
                <w:szCs w:val="21"/>
                <w:highlight w:val="none"/>
              </w:rPr>
              <w:t>2</w:t>
            </w:r>
            <w:r>
              <w:rPr>
                <w:b/>
                <w:bCs/>
                <w:color w:val="000000"/>
                <w:sz w:val="21"/>
                <w:szCs w:val="21"/>
                <w:highlight w:val="none"/>
              </w:rPr>
              <w:t xml:space="preserve">   本工程与</w:t>
            </w:r>
            <w:r>
              <w:rPr>
                <w:rFonts w:hint="eastAsia"/>
                <w:b/>
                <w:bCs/>
                <w:color w:val="000000"/>
                <w:sz w:val="21"/>
                <w:szCs w:val="21"/>
                <w:highlight w:val="none"/>
              </w:rPr>
              <w:t>玛纳斯县环境</w:t>
            </w:r>
            <w:r>
              <w:rPr>
                <w:b/>
                <w:bCs/>
                <w:color w:val="000000"/>
                <w:sz w:val="21"/>
                <w:szCs w:val="21"/>
                <w:highlight w:val="none"/>
              </w:rPr>
              <w:t>管控单元相符性分析</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59"/>
              <w:gridCol w:w="942"/>
              <w:gridCol w:w="425"/>
              <w:gridCol w:w="2757"/>
              <w:gridCol w:w="1943"/>
              <w:gridCol w:w="427"/>
            </w:tblGrid>
            <w:tr w14:paraId="2DD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1FD8D34D">
                  <w:pPr>
                    <w:pStyle w:val="24"/>
                    <w:spacing w:line="240" w:lineRule="auto"/>
                    <w:ind w:firstLine="0" w:firstLineChars="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环境管控单元</w:t>
                  </w:r>
                </w:p>
              </w:tc>
              <w:tc>
                <w:tcPr>
                  <w:tcW w:w="527" w:type="pct"/>
                  <w:noWrap w:val="0"/>
                  <w:vAlign w:val="center"/>
                </w:tcPr>
                <w:p w14:paraId="2DA01D72">
                  <w:pPr>
                    <w:pStyle w:val="24"/>
                    <w:spacing w:line="240" w:lineRule="auto"/>
                    <w:ind w:firstLine="0" w:firstLineChars="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环境管控单元名称</w:t>
                  </w:r>
                </w:p>
              </w:tc>
              <w:tc>
                <w:tcPr>
                  <w:tcW w:w="578" w:type="pct"/>
                  <w:noWrap w:val="0"/>
                  <w:vAlign w:val="center"/>
                </w:tcPr>
                <w:p w14:paraId="594D407A">
                  <w:pPr>
                    <w:pStyle w:val="24"/>
                    <w:spacing w:line="240" w:lineRule="auto"/>
                    <w:ind w:firstLine="0" w:firstLineChars="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环境管控单元类别</w:t>
                  </w:r>
                </w:p>
              </w:tc>
              <w:tc>
                <w:tcPr>
                  <w:tcW w:w="1955" w:type="pct"/>
                  <w:gridSpan w:val="2"/>
                  <w:noWrap w:val="0"/>
                  <w:vAlign w:val="center"/>
                </w:tcPr>
                <w:p w14:paraId="7662ACFC">
                  <w:pPr>
                    <w:rPr>
                      <w:b/>
                      <w:bCs/>
                      <w:color w:val="000000"/>
                      <w:sz w:val="21"/>
                      <w:szCs w:val="21"/>
                      <w:highlight w:val="none"/>
                    </w:rPr>
                  </w:pPr>
                  <w:r>
                    <w:rPr>
                      <w:b/>
                      <w:bCs/>
                      <w:color w:val="000000"/>
                      <w:sz w:val="21"/>
                      <w:szCs w:val="21"/>
                      <w:highlight w:val="none"/>
                    </w:rPr>
                    <w:t>管控要求</w:t>
                  </w:r>
                </w:p>
              </w:tc>
              <w:tc>
                <w:tcPr>
                  <w:tcW w:w="1193" w:type="pct"/>
                  <w:noWrap w:val="0"/>
                  <w:vAlign w:val="center"/>
                </w:tcPr>
                <w:p w14:paraId="515BBB17">
                  <w:pPr>
                    <w:pStyle w:val="24"/>
                    <w:spacing w:line="240" w:lineRule="auto"/>
                    <w:ind w:firstLine="0" w:firstLineChars="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本项目</w:t>
                  </w:r>
                </w:p>
              </w:tc>
              <w:tc>
                <w:tcPr>
                  <w:tcW w:w="262" w:type="pct"/>
                  <w:noWrap w:val="0"/>
                  <w:vAlign w:val="center"/>
                </w:tcPr>
                <w:p w14:paraId="3056B5D8">
                  <w:pPr>
                    <w:pStyle w:val="24"/>
                    <w:spacing w:line="240" w:lineRule="auto"/>
                    <w:ind w:firstLine="0" w:firstLineChars="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相符性</w:t>
                  </w:r>
                </w:p>
              </w:tc>
            </w:tr>
            <w:tr w14:paraId="2ADE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13F6BE02">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ZH65232410009</w:t>
                  </w:r>
                </w:p>
              </w:tc>
              <w:tc>
                <w:tcPr>
                  <w:tcW w:w="527" w:type="pct"/>
                  <w:vMerge w:val="restart"/>
                  <w:noWrap w:val="0"/>
                  <w:vAlign w:val="center"/>
                </w:tcPr>
                <w:p w14:paraId="6C09480C">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玛纳斯县土地沙化生态保护红线区优先管控单元</w:t>
                  </w:r>
                </w:p>
              </w:tc>
              <w:tc>
                <w:tcPr>
                  <w:tcW w:w="578" w:type="pct"/>
                  <w:vMerge w:val="restart"/>
                  <w:noWrap w:val="0"/>
                  <w:vAlign w:val="center"/>
                </w:tcPr>
                <w:p w14:paraId="0CA63822">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优先管控单元</w:t>
                  </w:r>
                </w:p>
              </w:tc>
              <w:tc>
                <w:tcPr>
                  <w:tcW w:w="261" w:type="pct"/>
                  <w:noWrap w:val="0"/>
                  <w:vAlign w:val="center"/>
                </w:tcPr>
                <w:p w14:paraId="465314B6">
                  <w:pPr>
                    <w:pStyle w:val="24"/>
                    <w:spacing w:line="240" w:lineRule="auto"/>
                    <w:ind w:firstLine="0" w:firstLineChars="0"/>
                    <w:jc w:val="center"/>
                    <w:rPr>
                      <w:rFonts w:ascii="Times New Roman" w:hAnsi="Times New Roman"/>
                      <w:color w:val="000000"/>
                      <w:sz w:val="21"/>
                      <w:szCs w:val="21"/>
                      <w:highlight w:val="none"/>
                    </w:rPr>
                  </w:pPr>
                </w:p>
                <w:p w14:paraId="44F39332">
                  <w:pPr>
                    <w:rPr>
                      <w:color w:val="000000"/>
                      <w:sz w:val="21"/>
                      <w:szCs w:val="21"/>
                      <w:highlight w:val="none"/>
                    </w:rPr>
                  </w:pPr>
                  <w:r>
                    <w:rPr>
                      <w:color w:val="000000"/>
                      <w:sz w:val="21"/>
                      <w:szCs w:val="21"/>
                      <w:highlight w:val="none"/>
                    </w:rPr>
                    <w:t>空间布局约束</w:t>
                  </w:r>
                </w:p>
              </w:tc>
              <w:tc>
                <w:tcPr>
                  <w:tcW w:w="1694" w:type="pct"/>
                  <w:noWrap w:val="0"/>
                  <w:vAlign w:val="center"/>
                </w:tcPr>
                <w:p w14:paraId="390B8F10">
                  <w:pPr>
                    <w:pStyle w:val="24"/>
                    <w:numPr>
                      <w:ilvl w:val="0"/>
                      <w:numId w:val="2"/>
                    </w:numPr>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执行《关于加强生态保护红线管理的通知（试行）》（自然资发〔2022〕142号）相关要求。</w:t>
                  </w:r>
                </w:p>
                <w:p w14:paraId="3BB1C480">
                  <w:pPr>
                    <w:pStyle w:val="24"/>
                    <w:spacing w:line="240" w:lineRule="auto"/>
                    <w:ind w:firstLine="0" w:firstLineChars="0"/>
                    <w:jc w:val="both"/>
                    <w:rPr>
                      <w:rFonts w:ascii="Times New Roman" w:hAnsi="Times New Roman"/>
                      <w:color w:val="000000"/>
                      <w:sz w:val="21"/>
                      <w:szCs w:val="21"/>
                      <w:highlight w:val="none"/>
                    </w:rPr>
                  </w:pPr>
                  <w:r>
                    <w:rPr>
                      <w:rFonts w:ascii="Times New Roman" w:hAnsi="Times New Roman"/>
                      <w:color w:val="000000"/>
                      <w:sz w:val="21"/>
                      <w:szCs w:val="21"/>
                      <w:highlight w:val="none"/>
                    </w:rPr>
                    <w:t>一是规范有限人为活动认定。进一步细化生态保护红线内核心保护区外允许开展的十类有限人为活动类型，对不涉及新增建设用地审批的活动提出具体管理要求，并在国家有关规定基础上，明确细化涉及新增用地有限人为活动的认定程序和要求。</w:t>
                  </w:r>
                </w:p>
                <w:p w14:paraId="45D72FD7">
                  <w:pPr>
                    <w:pStyle w:val="24"/>
                    <w:spacing w:line="240" w:lineRule="auto"/>
                    <w:ind w:firstLine="0" w:firstLineChars="0"/>
                    <w:jc w:val="both"/>
                    <w:rPr>
                      <w:rFonts w:ascii="Times New Roman" w:hAnsi="Times New Roman"/>
                      <w:color w:val="000000"/>
                      <w:sz w:val="21"/>
                      <w:szCs w:val="21"/>
                      <w:highlight w:val="none"/>
                    </w:rPr>
                  </w:pPr>
                  <w:r>
                    <w:rPr>
                      <w:rFonts w:ascii="Times New Roman" w:hAnsi="Times New Roman"/>
                      <w:color w:val="000000"/>
                      <w:sz w:val="21"/>
                      <w:szCs w:val="21"/>
                      <w:highlight w:val="none"/>
                    </w:rPr>
                    <w:t>二是开展占用项目不可避让论证。明确占用生态保护红线国家项目类型，结合自治区项目审批实际，在国家有关规定基础上，细化国家重大项目开展不可避让论证等程序和要求。</w:t>
                  </w:r>
                </w:p>
                <w:p w14:paraId="06605537">
                  <w:pPr>
                    <w:pStyle w:val="24"/>
                    <w:spacing w:line="240" w:lineRule="auto"/>
                    <w:ind w:firstLine="0" w:firstLineChars="0"/>
                    <w:jc w:val="both"/>
                    <w:rPr>
                      <w:rFonts w:ascii="Times New Roman" w:hAnsi="Times New Roman"/>
                      <w:color w:val="000000"/>
                      <w:sz w:val="21"/>
                      <w:szCs w:val="21"/>
                      <w:highlight w:val="none"/>
                    </w:rPr>
                  </w:pPr>
                  <w:r>
                    <w:rPr>
                      <w:rFonts w:ascii="Times New Roman" w:hAnsi="Times New Roman"/>
                      <w:color w:val="000000"/>
                      <w:sz w:val="21"/>
                      <w:szCs w:val="21"/>
                      <w:highlight w:val="none"/>
                    </w:rPr>
                    <w:t>三是加强临时用地监管。对生态保护红线内活动涉及临时用地审批的，明确参照临时占用永久基本农田规定办理临时用地审批等手续。</w:t>
                  </w:r>
                </w:p>
                <w:p w14:paraId="5F08CEBF">
                  <w:pPr>
                    <w:pStyle w:val="24"/>
                    <w:spacing w:line="240" w:lineRule="auto"/>
                    <w:ind w:firstLine="0" w:firstLineChars="0"/>
                    <w:jc w:val="both"/>
                    <w:rPr>
                      <w:rFonts w:ascii="Times New Roman" w:hAnsi="Times New Roman"/>
                      <w:color w:val="000000"/>
                      <w:sz w:val="21"/>
                      <w:szCs w:val="21"/>
                      <w:highlight w:val="none"/>
                    </w:rPr>
                  </w:pPr>
                  <w:r>
                    <w:rPr>
                      <w:rFonts w:ascii="Times New Roman" w:hAnsi="Times New Roman"/>
                      <w:color w:val="000000"/>
                      <w:sz w:val="21"/>
                      <w:szCs w:val="21"/>
                      <w:highlight w:val="none"/>
                    </w:rPr>
                    <w:t>四是妥善处理历史遗留问题。在国家有关规定基础上，针对生态保护红线内矿业权、人工商品林以及已有风电、水电和光伏设施等历史遗留问题提出处置措施。</w:t>
                  </w:r>
                </w:p>
                <w:p w14:paraId="3D21B6FA">
                  <w:pPr>
                    <w:pStyle w:val="24"/>
                    <w:spacing w:line="240" w:lineRule="auto"/>
                    <w:ind w:firstLine="0" w:firstLineChars="0"/>
                    <w:jc w:val="both"/>
                    <w:rPr>
                      <w:rFonts w:ascii="Times New Roman" w:hAnsi="Times New Roman"/>
                      <w:color w:val="000000"/>
                      <w:sz w:val="21"/>
                      <w:szCs w:val="21"/>
                      <w:highlight w:val="none"/>
                    </w:rPr>
                  </w:pPr>
                  <w:r>
                    <w:rPr>
                      <w:rFonts w:ascii="Times New Roman" w:hAnsi="Times New Roman"/>
                      <w:color w:val="000000"/>
                      <w:sz w:val="21"/>
                      <w:szCs w:val="21"/>
                      <w:highlight w:val="none"/>
                    </w:rPr>
                    <w:t>五是严格监督管理。明确生态保护红线监督管理中各相关部门职责分工，并根据国家有关规定，提出调整生态保护红线有关程序及要求。</w:t>
                  </w:r>
                </w:p>
              </w:tc>
              <w:tc>
                <w:tcPr>
                  <w:tcW w:w="1193" w:type="pct"/>
                  <w:noWrap w:val="0"/>
                  <w:vAlign w:val="center"/>
                </w:tcPr>
                <w:p w14:paraId="417D156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本项目属于油气探矿权继续勘察活动，符合《</w:t>
                  </w:r>
                  <w:bookmarkStart w:id="4" w:name="OLE_LINK1"/>
                  <w:r>
                    <w:rPr>
                      <w:rFonts w:ascii="Times New Roman" w:hAnsi="Times New Roman"/>
                      <w:color w:val="000000"/>
                      <w:sz w:val="21"/>
                      <w:szCs w:val="21"/>
                      <w:highlight w:val="none"/>
                    </w:rPr>
                    <w:t>关于加强自治区生态保护红线管理的通知</w:t>
                  </w:r>
                  <w:bookmarkEnd w:id="4"/>
                  <w:r>
                    <w:rPr>
                      <w:rFonts w:ascii="Times New Roman" w:hAnsi="Times New Roman"/>
                      <w:color w:val="000000"/>
                      <w:sz w:val="21"/>
                      <w:szCs w:val="21"/>
                      <w:highlight w:val="none"/>
                    </w:rPr>
                    <w:t>（试行）》中生态红线内允许的10类活动之一。</w:t>
                  </w:r>
                </w:p>
                <w:p w14:paraId="5A5A9BD3">
                  <w:pPr>
                    <w:jc w:val="right"/>
                    <w:rPr>
                      <w:color w:val="000000"/>
                      <w:sz w:val="21"/>
                      <w:szCs w:val="21"/>
                      <w:highlight w:val="none"/>
                    </w:rPr>
                  </w:pPr>
                  <w:r>
                    <w:rPr>
                      <w:color w:val="000000"/>
                      <w:sz w:val="21"/>
                      <w:szCs w:val="21"/>
                      <w:highlight w:val="none"/>
                    </w:rPr>
                    <w:t>本项目已开展占用项目不可避让</w:t>
                  </w:r>
                  <w:r>
                    <w:rPr>
                      <w:rFonts w:hint="eastAsia"/>
                      <w:color w:val="000000"/>
                      <w:sz w:val="21"/>
                      <w:szCs w:val="21"/>
                      <w:highlight w:val="none"/>
                      <w:lang w:eastAsia="zh-CN"/>
                    </w:rPr>
                    <w:t>论证</w:t>
                  </w:r>
                  <w:r>
                    <w:rPr>
                      <w:color w:val="000000"/>
                      <w:sz w:val="21"/>
                      <w:szCs w:val="21"/>
                      <w:highlight w:val="none"/>
                    </w:rPr>
                    <w:t>。</w:t>
                  </w:r>
                </w:p>
                <w:p w14:paraId="2481DBB2">
                  <w:pPr>
                    <w:pStyle w:val="8"/>
                    <w:rPr>
                      <w:color w:val="000000"/>
                      <w:sz w:val="21"/>
                      <w:szCs w:val="21"/>
                      <w:highlight w:val="none"/>
                    </w:rPr>
                  </w:pPr>
                  <w:r>
                    <w:rPr>
                      <w:color w:val="000000"/>
                      <w:sz w:val="21"/>
                      <w:szCs w:val="21"/>
                      <w:highlight w:val="none"/>
                    </w:rPr>
                    <w:t>本项目已获取临时用地审批。</w:t>
                  </w:r>
                </w:p>
              </w:tc>
              <w:tc>
                <w:tcPr>
                  <w:tcW w:w="262" w:type="pct"/>
                  <w:noWrap w:val="0"/>
                  <w:vAlign w:val="center"/>
                </w:tcPr>
                <w:p w14:paraId="524309DC">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符合</w:t>
                  </w:r>
                </w:p>
              </w:tc>
            </w:tr>
            <w:tr w14:paraId="059D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536D0879">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5C7DB125">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6E1EE5D8">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11F5EDA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污染物排放管控</w:t>
                  </w:r>
                </w:p>
              </w:tc>
              <w:tc>
                <w:tcPr>
                  <w:tcW w:w="1694" w:type="pct"/>
                  <w:noWrap w:val="0"/>
                  <w:vAlign w:val="center"/>
                </w:tcPr>
                <w:p w14:paraId="1B79DAD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1193" w:type="pct"/>
                  <w:noWrap w:val="0"/>
                  <w:vAlign w:val="center"/>
                </w:tcPr>
                <w:p w14:paraId="75A5D026">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262" w:type="pct"/>
                  <w:noWrap w:val="0"/>
                  <w:vAlign w:val="center"/>
                </w:tcPr>
                <w:p w14:paraId="1E8BD72E">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w:t>
                  </w:r>
                </w:p>
              </w:tc>
            </w:tr>
            <w:tr w14:paraId="4477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070FE43B">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72B98F18">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5AD23C01">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7000B1F1">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环境风险防控</w:t>
                  </w:r>
                </w:p>
              </w:tc>
              <w:tc>
                <w:tcPr>
                  <w:tcW w:w="1694" w:type="pct"/>
                  <w:noWrap w:val="0"/>
                  <w:vAlign w:val="center"/>
                </w:tcPr>
                <w:p w14:paraId="2183C8C2">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1193" w:type="pct"/>
                  <w:noWrap w:val="0"/>
                  <w:vAlign w:val="center"/>
                </w:tcPr>
                <w:p w14:paraId="6A003DD0">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262" w:type="pct"/>
                  <w:noWrap w:val="0"/>
                  <w:vAlign w:val="center"/>
                </w:tcPr>
                <w:p w14:paraId="6DED6963">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w:t>
                  </w:r>
                </w:p>
              </w:tc>
            </w:tr>
            <w:tr w14:paraId="5981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2F61A6C9">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6B44B967">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31E4A5DF">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6FAA3F0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资源开发效率要求</w:t>
                  </w:r>
                </w:p>
              </w:tc>
              <w:tc>
                <w:tcPr>
                  <w:tcW w:w="1694" w:type="pct"/>
                  <w:noWrap w:val="0"/>
                  <w:vAlign w:val="center"/>
                </w:tcPr>
                <w:p w14:paraId="17EA2101">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1193" w:type="pct"/>
                  <w:noWrap w:val="0"/>
                  <w:vAlign w:val="center"/>
                </w:tcPr>
                <w:p w14:paraId="0C347B30">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w:t>
                  </w:r>
                </w:p>
              </w:tc>
              <w:tc>
                <w:tcPr>
                  <w:tcW w:w="262" w:type="pct"/>
                  <w:noWrap w:val="0"/>
                  <w:vAlign w:val="center"/>
                </w:tcPr>
                <w:p w14:paraId="5BD57530">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w:t>
                  </w:r>
                </w:p>
              </w:tc>
            </w:tr>
            <w:tr w14:paraId="5B0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74E0BC32">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ZH65232430001</w:t>
                  </w:r>
                </w:p>
              </w:tc>
              <w:tc>
                <w:tcPr>
                  <w:tcW w:w="527" w:type="pct"/>
                  <w:vMerge w:val="restart"/>
                  <w:noWrap w:val="0"/>
                  <w:vAlign w:val="center"/>
                </w:tcPr>
                <w:p w14:paraId="0FCA90D3">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玛纳斯县一般管控单元一般管控单元</w:t>
                  </w:r>
                </w:p>
              </w:tc>
              <w:tc>
                <w:tcPr>
                  <w:tcW w:w="578" w:type="pct"/>
                  <w:vMerge w:val="restart"/>
                  <w:noWrap w:val="0"/>
                  <w:vAlign w:val="center"/>
                </w:tcPr>
                <w:p w14:paraId="3D1CF40D">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一般管控单元</w:t>
                  </w:r>
                </w:p>
              </w:tc>
              <w:tc>
                <w:tcPr>
                  <w:tcW w:w="261" w:type="pct"/>
                  <w:noWrap w:val="0"/>
                  <w:vAlign w:val="center"/>
                </w:tcPr>
                <w:p w14:paraId="22D43F46">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空间布局约束</w:t>
                  </w:r>
                </w:p>
              </w:tc>
              <w:tc>
                <w:tcPr>
                  <w:tcW w:w="1694" w:type="pct"/>
                  <w:noWrap w:val="0"/>
                  <w:vAlign w:val="center"/>
                </w:tcPr>
                <w:p w14:paraId="47CE10E0">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193" w:type="pct"/>
                  <w:noWrap w:val="0"/>
                  <w:vAlign w:val="center"/>
                </w:tcPr>
                <w:p w14:paraId="7944ECE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本项目属于勘探开发项目，不属于高污染、高环境风险项目；本项目占地类型为灌木林地，不占用基本农田和耕地。</w:t>
                  </w:r>
                </w:p>
              </w:tc>
              <w:tc>
                <w:tcPr>
                  <w:tcW w:w="262" w:type="pct"/>
                  <w:noWrap w:val="0"/>
                  <w:vAlign w:val="center"/>
                </w:tcPr>
                <w:p w14:paraId="048F286A">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符合</w:t>
                  </w:r>
                </w:p>
              </w:tc>
            </w:tr>
            <w:tr w14:paraId="307E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5A47B829">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1C5E48BF">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06E1B109">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5B5841F1">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污染物排放管控</w:t>
                  </w:r>
                </w:p>
              </w:tc>
              <w:tc>
                <w:tcPr>
                  <w:tcW w:w="1694" w:type="pct"/>
                  <w:noWrap w:val="0"/>
                  <w:vAlign w:val="center"/>
                </w:tcPr>
                <w:p w14:paraId="2A730BC3">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1、加强农业面源污染治理，科学合理使用化肥农药，逐步削减农业面源污染物排放量。</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2、到2025年，主要污染物排放总量持续下降，单位地区生产总值二氧化碳排放完成国家下达指标。</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3、城镇生活污水处理率达到97%以上、城镇生活垃圾无害化处理率保持在98%以上，农村生活污水治理率达到30%左右，土壤污染风险得到有效管控，固体废物和新污染物治理能力明显增强。</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4、除国家规定新增原料用能不纳入能源消费总量控制的项目和列入国家规划的项目外，“乌—昌—石”等重点区域不再新建、扩建使用煤炭项目。</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5、“乌-昌-石”区域内，已实施超低排放的涉气排污单位，其实施超低排放改造的污染因子执行超低排放限值，其他污染因子执行特别排放限值和特别控制要求。</w:t>
                  </w:r>
                </w:p>
              </w:tc>
              <w:tc>
                <w:tcPr>
                  <w:tcW w:w="1193" w:type="pct"/>
                  <w:noWrap w:val="0"/>
                  <w:vAlign w:val="center"/>
                </w:tcPr>
                <w:p w14:paraId="22FE4DFD">
                  <w:pPr>
                    <w:pStyle w:val="25"/>
                    <w:rPr>
                      <w:color w:val="000000"/>
                      <w:highlight w:val="none"/>
                    </w:rPr>
                  </w:pPr>
                  <w:r>
                    <w:rPr>
                      <w:color w:val="000000"/>
                      <w:highlight w:val="none"/>
                    </w:rPr>
                    <w:t>1、本项目产生少量无组织挥发性有机物，扬尘执行《大气污染物综合排放标准》（GB16297-1996）表2的颗粒物无组织排放限值；</w:t>
                  </w:r>
                </w:p>
                <w:p w14:paraId="2D7D142D">
                  <w:pPr>
                    <w:pStyle w:val="25"/>
                    <w:rPr>
                      <w:color w:val="000000"/>
                      <w:highlight w:val="none"/>
                    </w:rPr>
                  </w:pPr>
                  <w:r>
                    <w:rPr>
                      <w:color w:val="000000"/>
                      <w:highlight w:val="none"/>
                    </w:rPr>
                    <w:t>试油期无组织废气执行《陆上石油天然气开采工业大气污染物排放标准》（GB39728-2020）要求。</w:t>
                  </w:r>
                </w:p>
                <w:p w14:paraId="349D7CAB">
                  <w:pPr>
                    <w:pStyle w:val="25"/>
                    <w:rPr>
                      <w:color w:val="000000"/>
                      <w:highlight w:val="none"/>
                    </w:rPr>
                  </w:pPr>
                  <w:r>
                    <w:rPr>
                      <w:color w:val="000000"/>
                      <w:highlight w:val="none"/>
                    </w:rPr>
                    <w:t>2、本项目不涉及超低排放改造。</w:t>
                  </w:r>
                </w:p>
                <w:p w14:paraId="1B013B8D">
                  <w:pPr>
                    <w:pStyle w:val="25"/>
                    <w:rPr>
                      <w:color w:val="000000"/>
                      <w:highlight w:val="none"/>
                    </w:rPr>
                  </w:pPr>
                  <w:r>
                    <w:rPr>
                      <w:color w:val="000000"/>
                      <w:highlight w:val="none"/>
                    </w:rPr>
                    <w:t>3、本项目不涉及农业面源污染治理。</w:t>
                  </w:r>
                </w:p>
                <w:p w14:paraId="016FAC77">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4、本项目已提出施工期扬尘污染治理措施，会定期洒水降尘等。</w:t>
                  </w:r>
                </w:p>
              </w:tc>
              <w:tc>
                <w:tcPr>
                  <w:tcW w:w="262" w:type="pct"/>
                  <w:noWrap w:val="0"/>
                  <w:vAlign w:val="center"/>
                </w:tcPr>
                <w:p w14:paraId="42258F66">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符合</w:t>
                  </w:r>
                </w:p>
              </w:tc>
            </w:tr>
            <w:tr w14:paraId="6F14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0703320E">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5A101742">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71E83B98">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306ABE8E">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环境风险防控</w:t>
                  </w:r>
                </w:p>
              </w:tc>
              <w:tc>
                <w:tcPr>
                  <w:tcW w:w="1694" w:type="pct"/>
                  <w:noWrap w:val="0"/>
                  <w:vAlign w:val="center"/>
                </w:tcPr>
                <w:p w14:paraId="623C623D">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2、统筹农村河湖管控与生态治理保护，深入开展河湖监督检查，强化河长湖长履职尽责，严厉打击河道乱占、乱采、乱堆、乱建等违法违规行为。建立健全促进水质改善的长效运行维护机制。</w:t>
                  </w:r>
                </w:p>
              </w:tc>
              <w:tc>
                <w:tcPr>
                  <w:tcW w:w="1193" w:type="pct"/>
                  <w:noWrap w:val="0"/>
                  <w:vAlign w:val="center"/>
                </w:tcPr>
                <w:p w14:paraId="76864EF1">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本项目占用生态</w:t>
                  </w:r>
                  <w:r>
                    <w:rPr>
                      <w:rFonts w:hint="eastAsia" w:ascii="Times New Roman" w:hAnsi="Times New Roman"/>
                      <w:color w:val="000000"/>
                      <w:sz w:val="21"/>
                      <w:szCs w:val="21"/>
                      <w:highlight w:val="none"/>
                      <w:lang w:val="en-US" w:eastAsia="zh-CN"/>
                    </w:rPr>
                    <w:t>保护红线内的国家公益林</w:t>
                  </w:r>
                  <w:r>
                    <w:rPr>
                      <w:rFonts w:ascii="Times New Roman" w:hAnsi="Times New Roman"/>
                      <w:color w:val="000000"/>
                      <w:sz w:val="21"/>
                      <w:szCs w:val="21"/>
                      <w:highlight w:val="none"/>
                    </w:rPr>
                    <w:t>；钻井期一开使用水基钻井液，二开、三开使用油基钻井液，采用“钻井泥浆不落地技术”，分离的液相交由钻井队回收用于后续钻井液配制；产生的水基岩屑交由第三方合规处置；油基岩屑委托具有危废处置资质的单位处置；废弃防渗膜、机械设备废油委托有危废处置资质的单位处置。</w:t>
                  </w:r>
                </w:p>
              </w:tc>
              <w:tc>
                <w:tcPr>
                  <w:tcW w:w="262" w:type="pct"/>
                  <w:noWrap w:val="0"/>
                  <w:vAlign w:val="center"/>
                </w:tcPr>
                <w:p w14:paraId="3D0F3B85">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符合</w:t>
                  </w:r>
                </w:p>
              </w:tc>
            </w:tr>
            <w:tr w14:paraId="6747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19C1E224">
                  <w:pPr>
                    <w:pStyle w:val="24"/>
                    <w:spacing w:line="240" w:lineRule="auto"/>
                    <w:ind w:firstLine="0" w:firstLineChars="0"/>
                    <w:jc w:val="center"/>
                    <w:rPr>
                      <w:rFonts w:ascii="Times New Roman" w:hAnsi="Times New Roman"/>
                      <w:color w:val="000000"/>
                      <w:sz w:val="21"/>
                      <w:szCs w:val="21"/>
                      <w:highlight w:val="none"/>
                    </w:rPr>
                  </w:pPr>
                </w:p>
              </w:tc>
              <w:tc>
                <w:tcPr>
                  <w:tcW w:w="527" w:type="pct"/>
                  <w:vMerge w:val="continue"/>
                  <w:noWrap w:val="0"/>
                  <w:vAlign w:val="center"/>
                </w:tcPr>
                <w:p w14:paraId="40168B3F">
                  <w:pPr>
                    <w:pStyle w:val="24"/>
                    <w:spacing w:line="240" w:lineRule="auto"/>
                    <w:ind w:firstLine="0" w:firstLineChars="0"/>
                    <w:jc w:val="center"/>
                    <w:rPr>
                      <w:rFonts w:ascii="Times New Roman" w:hAnsi="Times New Roman"/>
                      <w:color w:val="000000"/>
                      <w:sz w:val="21"/>
                      <w:szCs w:val="21"/>
                      <w:highlight w:val="none"/>
                    </w:rPr>
                  </w:pPr>
                </w:p>
              </w:tc>
              <w:tc>
                <w:tcPr>
                  <w:tcW w:w="578" w:type="pct"/>
                  <w:vMerge w:val="continue"/>
                  <w:noWrap w:val="0"/>
                  <w:vAlign w:val="center"/>
                </w:tcPr>
                <w:p w14:paraId="30E4B4FA">
                  <w:pPr>
                    <w:pStyle w:val="24"/>
                    <w:spacing w:line="240" w:lineRule="auto"/>
                    <w:ind w:firstLine="0" w:firstLineChars="0"/>
                    <w:jc w:val="center"/>
                    <w:rPr>
                      <w:rFonts w:ascii="Times New Roman" w:hAnsi="Times New Roman"/>
                      <w:color w:val="000000"/>
                      <w:sz w:val="21"/>
                      <w:szCs w:val="21"/>
                      <w:highlight w:val="none"/>
                    </w:rPr>
                  </w:pPr>
                </w:p>
              </w:tc>
              <w:tc>
                <w:tcPr>
                  <w:tcW w:w="261" w:type="pct"/>
                  <w:noWrap w:val="0"/>
                  <w:vAlign w:val="center"/>
                </w:tcPr>
                <w:p w14:paraId="6750C809">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资源开发效率要求</w:t>
                  </w:r>
                </w:p>
              </w:tc>
              <w:tc>
                <w:tcPr>
                  <w:tcW w:w="1694" w:type="pct"/>
                  <w:noWrap w:val="0"/>
                  <w:vAlign w:val="center"/>
                </w:tcPr>
                <w:p w14:paraId="48BCD930">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1、实行水资源消耗总量和强度双控，推进农业节水，提高农业用水效率。优化能源结构，加强能源清洁利用。</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2、实施节水行动，强化农业节水增效、工业节水减排、城镇节水降损。推进污水资源化利用，到2025年全区城镇生活污水再生利用率力争达到60%。</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3、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w:t>
                  </w:r>
                  <w:r>
                    <w:rPr>
                      <w:rFonts w:ascii="Times New Roman" w:hAnsi="Times New Roman"/>
                      <w:color w:val="000000"/>
                      <w:sz w:val="21"/>
                      <w:szCs w:val="21"/>
                      <w:highlight w:val="none"/>
                    </w:rPr>
                    <w:br w:type="textWrapping"/>
                  </w:r>
                  <w:r>
                    <w:rPr>
                      <w:rFonts w:ascii="Times New Roman" w:hAnsi="Times New Roman"/>
                      <w:color w:val="000000"/>
                      <w:sz w:val="21"/>
                      <w:szCs w:val="21"/>
                      <w:highlight w:val="none"/>
                    </w:rPr>
                    <w:t>4、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p>
              </w:tc>
              <w:tc>
                <w:tcPr>
                  <w:tcW w:w="1193" w:type="pct"/>
                  <w:noWrap w:val="0"/>
                  <w:vAlign w:val="center"/>
                </w:tcPr>
                <w:p w14:paraId="0C9421BF">
                  <w:pPr>
                    <w:pStyle w:val="24"/>
                    <w:spacing w:line="240" w:lineRule="auto"/>
                    <w:ind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本项目用水主要为生活用水，用水量较少，由罐车拉至项目区。</w:t>
                  </w:r>
                </w:p>
              </w:tc>
              <w:tc>
                <w:tcPr>
                  <w:tcW w:w="262" w:type="pct"/>
                  <w:noWrap w:val="0"/>
                  <w:vAlign w:val="center"/>
                </w:tcPr>
                <w:p w14:paraId="0A916B28">
                  <w:pPr>
                    <w:pStyle w:val="24"/>
                    <w:spacing w:line="240" w:lineRule="auto"/>
                    <w:ind w:firstLine="0" w:firstLine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符合</w:t>
                  </w:r>
                </w:p>
              </w:tc>
            </w:tr>
          </w:tbl>
          <w:p w14:paraId="18C68FA8">
            <w:pPr>
              <w:pStyle w:val="14"/>
              <w:widowControl w:val="0"/>
              <w:spacing w:before="0" w:beforeAutospacing="0" w:after="0" w:afterAutospacing="0" w:line="360" w:lineRule="auto"/>
              <w:ind w:firstLine="480" w:firstLineChars="200"/>
              <w:jc w:val="both"/>
              <w:rPr>
                <w:rFonts w:ascii="Times New Roman" w:hAnsi="Times New Roman"/>
                <w:color w:val="000000"/>
                <w:highlight w:val="none"/>
              </w:rPr>
            </w:pPr>
            <w:r>
              <w:rPr>
                <w:rFonts w:ascii="Times New Roman" w:hAnsi="Times New Roman"/>
                <w:color w:val="000000"/>
                <w:highlight w:val="none"/>
              </w:rPr>
              <w:t>综上，本项目建设符合</w:t>
            </w:r>
            <w:r>
              <w:rPr>
                <w:rFonts w:hint="eastAsia" w:ascii="Times New Roman" w:hAnsi="Times New Roman"/>
                <w:color w:val="000000"/>
                <w:highlight w:val="none"/>
              </w:rPr>
              <w:t>昌吉回族自治州玛纳斯县</w:t>
            </w:r>
            <w:r>
              <w:rPr>
                <w:rFonts w:ascii="Times New Roman" w:hAnsi="Times New Roman"/>
                <w:color w:val="000000"/>
                <w:highlight w:val="none"/>
              </w:rPr>
              <w:t>“三线一单”要求。</w:t>
            </w:r>
          </w:p>
          <w:p w14:paraId="437555AE">
            <w:pPr>
              <w:pStyle w:val="3"/>
              <w:rPr>
                <w:color w:val="000000"/>
                <w:szCs w:val="24"/>
                <w:highlight w:val="none"/>
              </w:rPr>
            </w:pPr>
            <w:r>
              <w:rPr>
                <w:color w:val="000000"/>
                <w:szCs w:val="24"/>
                <w:highlight w:val="none"/>
              </w:rPr>
              <w:t>2 与《石油天然气开采业污染防治技术政策》符合性分析</w:t>
            </w:r>
          </w:p>
          <w:p w14:paraId="6E752FC8">
            <w:pPr>
              <w:pStyle w:val="24"/>
              <w:rPr>
                <w:rFonts w:ascii="Times New Roman" w:hAnsi="Times New Roman"/>
                <w:color w:val="000000"/>
                <w:sz w:val="24"/>
                <w:szCs w:val="24"/>
                <w:highlight w:val="none"/>
              </w:rPr>
            </w:pPr>
            <w:r>
              <w:rPr>
                <w:rFonts w:ascii="Times New Roman" w:hAnsi="Times New Roman"/>
                <w:color w:val="000000"/>
                <w:sz w:val="24"/>
                <w:szCs w:val="24"/>
                <w:highlight w:val="none"/>
              </w:rPr>
              <w:t>本项目与《石油天然气开采业污染防治技术政策》（公告2012年第18号，2012-03-07）的</w:t>
            </w:r>
            <w:r>
              <w:rPr>
                <w:rFonts w:hint="eastAsia" w:ascii="Times New Roman" w:hAnsi="Times New Roman"/>
                <w:color w:val="000000"/>
                <w:sz w:val="24"/>
                <w:szCs w:val="24"/>
                <w:highlight w:val="none"/>
                <w:lang w:val="en-US" w:eastAsia="zh-CN"/>
              </w:rPr>
              <w:t>符合性</w:t>
            </w:r>
            <w:r>
              <w:rPr>
                <w:rFonts w:ascii="Times New Roman" w:hAnsi="Times New Roman"/>
                <w:color w:val="000000"/>
                <w:sz w:val="24"/>
                <w:szCs w:val="24"/>
                <w:highlight w:val="none"/>
              </w:rPr>
              <w:t>见表1-</w:t>
            </w:r>
            <w:r>
              <w:rPr>
                <w:rFonts w:hint="eastAsia" w:ascii="Times New Roman" w:hAnsi="Times New Roman"/>
                <w:color w:val="000000"/>
                <w:sz w:val="24"/>
                <w:szCs w:val="24"/>
                <w:highlight w:val="none"/>
              </w:rPr>
              <w:t>3</w:t>
            </w:r>
            <w:r>
              <w:rPr>
                <w:rFonts w:ascii="Times New Roman" w:hAnsi="Times New Roman"/>
                <w:color w:val="000000"/>
                <w:sz w:val="24"/>
                <w:szCs w:val="24"/>
                <w:highlight w:val="none"/>
              </w:rPr>
              <w:t>。</w:t>
            </w:r>
          </w:p>
          <w:p w14:paraId="7BBDB27A">
            <w:pPr>
              <w:pStyle w:val="19"/>
              <w:rPr>
                <w:color w:val="000000"/>
                <w:sz w:val="24"/>
                <w:highlight w:val="none"/>
              </w:rPr>
            </w:pPr>
            <w:r>
              <w:rPr>
                <w:color w:val="000000"/>
                <w:szCs w:val="21"/>
                <w:highlight w:val="none"/>
              </w:rPr>
              <w:t>表1-</w:t>
            </w:r>
            <w:r>
              <w:rPr>
                <w:rFonts w:hint="eastAsia"/>
                <w:color w:val="000000"/>
                <w:szCs w:val="21"/>
                <w:highlight w:val="none"/>
              </w:rPr>
              <w:t>3</w:t>
            </w:r>
            <w:r>
              <w:rPr>
                <w:color w:val="000000"/>
                <w:szCs w:val="21"/>
                <w:highlight w:val="none"/>
              </w:rPr>
              <w:t xml:space="preserve">  与《石油天然气开采业污染防治技术政策》相符性分析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408"/>
              <w:gridCol w:w="3408"/>
              <w:gridCol w:w="778"/>
            </w:tblGrid>
            <w:tr w14:paraId="439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4170D3EE">
                  <w:pPr>
                    <w:pStyle w:val="25"/>
                    <w:rPr>
                      <w:b/>
                      <w:bCs/>
                      <w:color w:val="000000"/>
                      <w:highlight w:val="none"/>
                    </w:rPr>
                  </w:pPr>
                  <w:r>
                    <w:rPr>
                      <w:b/>
                      <w:bCs/>
                      <w:color w:val="000000"/>
                      <w:highlight w:val="none"/>
                    </w:rPr>
                    <w:t>序号</w:t>
                  </w:r>
                </w:p>
              </w:tc>
              <w:tc>
                <w:tcPr>
                  <w:tcW w:w="2093" w:type="pct"/>
                  <w:noWrap w:val="0"/>
                  <w:vAlign w:val="center"/>
                </w:tcPr>
                <w:p w14:paraId="1397A952">
                  <w:pPr>
                    <w:pStyle w:val="25"/>
                    <w:rPr>
                      <w:b/>
                      <w:bCs/>
                      <w:color w:val="000000"/>
                      <w:highlight w:val="none"/>
                    </w:rPr>
                  </w:pPr>
                  <w:r>
                    <w:rPr>
                      <w:b/>
                      <w:bCs/>
                      <w:color w:val="000000"/>
                      <w:highlight w:val="none"/>
                    </w:rPr>
                    <w:t>要求</w:t>
                  </w:r>
                </w:p>
              </w:tc>
              <w:tc>
                <w:tcPr>
                  <w:tcW w:w="2093" w:type="pct"/>
                  <w:noWrap w:val="0"/>
                  <w:vAlign w:val="center"/>
                </w:tcPr>
                <w:p w14:paraId="1EA406AB">
                  <w:pPr>
                    <w:pStyle w:val="25"/>
                    <w:rPr>
                      <w:b/>
                      <w:bCs/>
                      <w:color w:val="000000"/>
                      <w:highlight w:val="none"/>
                    </w:rPr>
                  </w:pPr>
                  <w:r>
                    <w:rPr>
                      <w:b/>
                      <w:bCs/>
                      <w:color w:val="000000"/>
                      <w:highlight w:val="none"/>
                    </w:rPr>
                    <w:t>本项目</w:t>
                  </w:r>
                </w:p>
              </w:tc>
              <w:tc>
                <w:tcPr>
                  <w:tcW w:w="478" w:type="pct"/>
                  <w:noWrap w:val="0"/>
                  <w:vAlign w:val="center"/>
                </w:tcPr>
                <w:p w14:paraId="286901B5">
                  <w:pPr>
                    <w:pStyle w:val="25"/>
                    <w:rPr>
                      <w:b/>
                      <w:bCs/>
                      <w:color w:val="000000"/>
                      <w:highlight w:val="none"/>
                    </w:rPr>
                  </w:pPr>
                  <w:r>
                    <w:rPr>
                      <w:b/>
                      <w:bCs/>
                      <w:color w:val="000000"/>
                      <w:highlight w:val="none"/>
                    </w:rPr>
                    <w:t>相符性</w:t>
                  </w:r>
                </w:p>
              </w:tc>
            </w:tr>
            <w:tr w14:paraId="612C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17C4C35C">
                  <w:pPr>
                    <w:pStyle w:val="25"/>
                    <w:rPr>
                      <w:color w:val="000000"/>
                      <w:highlight w:val="none"/>
                    </w:rPr>
                  </w:pPr>
                  <w:r>
                    <w:rPr>
                      <w:color w:val="000000"/>
                      <w:highlight w:val="none"/>
                    </w:rPr>
                    <w:t>1</w:t>
                  </w:r>
                </w:p>
              </w:tc>
              <w:tc>
                <w:tcPr>
                  <w:tcW w:w="2093" w:type="pct"/>
                  <w:noWrap w:val="0"/>
                  <w:vAlign w:val="center"/>
                </w:tcPr>
                <w:p w14:paraId="239A3FEC">
                  <w:pPr>
                    <w:pStyle w:val="25"/>
                    <w:jc w:val="both"/>
                    <w:rPr>
                      <w:color w:val="000000"/>
                      <w:highlight w:val="none"/>
                    </w:rPr>
                  </w:pPr>
                  <w:r>
                    <w:rPr>
                      <w:color w:val="000000"/>
                      <w:highlight w:val="none"/>
                    </w:rPr>
                    <w:t>到2015年末，行业新、改、扩建项目均采用清洁生产工艺和技术，工业废水回用率达到90%以上，工业固体废物资源化及无害化处理处置率达到100%。要遏制重大、杜绝特别重大环境污染和生态破坏事故的发生。要逐步实现对行业排放的石油类污染物进行总量控制。</w:t>
                  </w:r>
                </w:p>
              </w:tc>
              <w:tc>
                <w:tcPr>
                  <w:tcW w:w="2093" w:type="pct"/>
                  <w:noWrap w:val="0"/>
                  <w:vAlign w:val="center"/>
                </w:tcPr>
                <w:p w14:paraId="26B4FDCE">
                  <w:pPr>
                    <w:pStyle w:val="25"/>
                    <w:jc w:val="both"/>
                    <w:rPr>
                      <w:color w:val="000000"/>
                      <w:highlight w:val="none"/>
                    </w:rPr>
                  </w:pPr>
                  <w:r>
                    <w:rPr>
                      <w:color w:val="000000"/>
                      <w:highlight w:val="none"/>
                    </w:rPr>
                    <w:t>项目钻井废水循环利用，试油期</w:t>
                  </w:r>
                  <w:r>
                    <w:rPr>
                      <w:rFonts w:hint="eastAsia"/>
                      <w:color w:val="000000"/>
                      <w:highlight w:val="none"/>
                    </w:rPr>
                    <w:t>井下作业废水</w:t>
                  </w:r>
                  <w:r>
                    <w:rPr>
                      <w:color w:val="000000"/>
                      <w:highlight w:val="none"/>
                    </w:rPr>
                    <w:t>拉运至</w:t>
                  </w:r>
                  <w:r>
                    <w:rPr>
                      <w:rFonts w:hint="eastAsia"/>
                      <w:color w:val="000000"/>
                      <w:highlight w:val="none"/>
                    </w:rPr>
                    <w:t>石西集中处理站采出水</w:t>
                  </w:r>
                  <w:r>
                    <w:rPr>
                      <w:color w:val="000000"/>
                      <w:highlight w:val="none"/>
                    </w:rPr>
                    <w:t>处理系统处理后回注地层，工业废水回用率大于90%。本环评对项目可能产生的环境风险进行了分析，并提出了相应的风险防范措施和应急预案。</w:t>
                  </w:r>
                </w:p>
              </w:tc>
              <w:tc>
                <w:tcPr>
                  <w:tcW w:w="478" w:type="pct"/>
                  <w:noWrap w:val="0"/>
                  <w:vAlign w:val="center"/>
                </w:tcPr>
                <w:p w14:paraId="4A0AB004">
                  <w:pPr>
                    <w:pStyle w:val="25"/>
                    <w:rPr>
                      <w:color w:val="000000"/>
                      <w:highlight w:val="none"/>
                    </w:rPr>
                  </w:pPr>
                  <w:r>
                    <w:rPr>
                      <w:color w:val="000000"/>
                      <w:highlight w:val="none"/>
                    </w:rPr>
                    <w:t>符合</w:t>
                  </w:r>
                </w:p>
              </w:tc>
            </w:tr>
            <w:tr w14:paraId="1607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1839E5EB">
                  <w:pPr>
                    <w:pStyle w:val="25"/>
                    <w:rPr>
                      <w:rFonts w:hint="eastAsia"/>
                      <w:color w:val="000000"/>
                      <w:highlight w:val="none"/>
                    </w:rPr>
                  </w:pPr>
                  <w:r>
                    <w:rPr>
                      <w:rFonts w:hint="eastAsia"/>
                      <w:color w:val="000000"/>
                      <w:highlight w:val="none"/>
                    </w:rPr>
                    <w:t>2</w:t>
                  </w:r>
                </w:p>
              </w:tc>
              <w:tc>
                <w:tcPr>
                  <w:tcW w:w="2093" w:type="pct"/>
                  <w:noWrap w:val="0"/>
                  <w:vAlign w:val="center"/>
                </w:tcPr>
                <w:p w14:paraId="5EFE4D6A">
                  <w:pPr>
                    <w:pStyle w:val="25"/>
                    <w:jc w:val="both"/>
                    <w:rPr>
                      <w:color w:val="000000"/>
                      <w:highlight w:val="none"/>
                    </w:rPr>
                  </w:pPr>
                  <w:r>
                    <w:rPr>
                      <w:color w:val="000000"/>
                      <w:highlight w:val="none"/>
                    </w:rPr>
                    <w:t>在钻井过程中，鼓励采用环境友好的钻井液体系；配备完善的固控设备，钻井液循环率达到95%以上；钻井过程产生的废水应回用。</w:t>
                  </w:r>
                </w:p>
              </w:tc>
              <w:tc>
                <w:tcPr>
                  <w:tcW w:w="2093" w:type="pct"/>
                  <w:noWrap w:val="0"/>
                  <w:vAlign w:val="center"/>
                </w:tcPr>
                <w:p w14:paraId="1A0F8C43">
                  <w:pPr>
                    <w:pStyle w:val="25"/>
                    <w:jc w:val="both"/>
                    <w:rPr>
                      <w:color w:val="000000"/>
                      <w:highlight w:val="none"/>
                    </w:rPr>
                  </w:pPr>
                  <w:r>
                    <w:rPr>
                      <w:color w:val="000000"/>
                      <w:highlight w:val="none"/>
                    </w:rPr>
                    <w:t>本项目钻井期一开使用水基钻井液，二开、三开使用油基钻井液，采用“钻井泥浆不落地技术”，分离的液相交由钻井队回收用于后续钻井液配制；产生的水基岩屑交由第三方合规处置；油基岩屑委托具有危废处置资质的单位处置。</w:t>
                  </w:r>
                </w:p>
              </w:tc>
              <w:tc>
                <w:tcPr>
                  <w:tcW w:w="478" w:type="pct"/>
                  <w:noWrap w:val="0"/>
                  <w:vAlign w:val="center"/>
                </w:tcPr>
                <w:p w14:paraId="0E930478">
                  <w:pPr>
                    <w:pStyle w:val="25"/>
                    <w:rPr>
                      <w:color w:val="000000"/>
                      <w:highlight w:val="none"/>
                    </w:rPr>
                  </w:pPr>
                  <w:r>
                    <w:rPr>
                      <w:color w:val="000000"/>
                      <w:highlight w:val="none"/>
                    </w:rPr>
                    <w:t>符合</w:t>
                  </w:r>
                </w:p>
              </w:tc>
            </w:tr>
            <w:tr w14:paraId="0BE1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730F4AD9">
                  <w:pPr>
                    <w:pStyle w:val="25"/>
                    <w:rPr>
                      <w:rFonts w:hint="eastAsia"/>
                      <w:color w:val="000000"/>
                      <w:highlight w:val="none"/>
                    </w:rPr>
                  </w:pPr>
                  <w:r>
                    <w:rPr>
                      <w:rFonts w:hint="eastAsia"/>
                      <w:color w:val="000000"/>
                      <w:highlight w:val="none"/>
                    </w:rPr>
                    <w:t>3</w:t>
                  </w:r>
                </w:p>
              </w:tc>
              <w:tc>
                <w:tcPr>
                  <w:tcW w:w="2093" w:type="pct"/>
                  <w:noWrap w:val="0"/>
                  <w:vAlign w:val="center"/>
                </w:tcPr>
                <w:p w14:paraId="15DFDBFE">
                  <w:pPr>
                    <w:pStyle w:val="25"/>
                    <w:jc w:val="both"/>
                    <w:rPr>
                      <w:color w:val="000000"/>
                      <w:highlight w:val="none"/>
                    </w:rPr>
                  </w:pPr>
                  <w:r>
                    <w:rPr>
                      <w:color w:val="000000"/>
                      <w:highlight w:val="none"/>
                    </w:rPr>
                    <w:t>在井下作业过程中，酸化液和压裂液宜集中配制，酸化残液、压裂残液和返排液应回收利用或进行无害化处置，压裂放喷返排入罐率应达到100%。</w:t>
                  </w:r>
                </w:p>
              </w:tc>
              <w:tc>
                <w:tcPr>
                  <w:tcW w:w="2093" w:type="pct"/>
                  <w:noWrap w:val="0"/>
                  <w:vAlign w:val="center"/>
                </w:tcPr>
                <w:p w14:paraId="322AAED8">
                  <w:pPr>
                    <w:pStyle w:val="25"/>
                    <w:jc w:val="both"/>
                    <w:rPr>
                      <w:color w:val="000000"/>
                      <w:highlight w:val="none"/>
                    </w:rPr>
                  </w:pPr>
                  <w:r>
                    <w:rPr>
                      <w:color w:val="000000"/>
                      <w:highlight w:val="none"/>
                    </w:rPr>
                    <w:t>本项目</w:t>
                  </w:r>
                  <w:r>
                    <w:rPr>
                      <w:rFonts w:hint="eastAsia"/>
                      <w:color w:val="000000"/>
                      <w:highlight w:val="none"/>
                    </w:rPr>
                    <w:t>试油</w:t>
                  </w:r>
                  <w:r>
                    <w:rPr>
                      <w:color w:val="000000"/>
                      <w:highlight w:val="none"/>
                    </w:rPr>
                    <w:t>作业过程中，严格按照中国石油新疆油田分公司</w:t>
                  </w:r>
                  <w:r>
                    <w:rPr>
                      <w:rFonts w:hint="eastAsia"/>
                      <w:color w:val="000000"/>
                      <w:highlight w:val="none"/>
                    </w:rPr>
                    <w:t>开发公司</w:t>
                  </w:r>
                  <w:r>
                    <w:rPr>
                      <w:color w:val="000000"/>
                      <w:highlight w:val="none"/>
                    </w:rPr>
                    <w:t>环境保护规定的要求，带罐作业，100%回收。</w:t>
                  </w:r>
                  <w:r>
                    <w:rPr>
                      <w:rFonts w:hint="eastAsia"/>
                      <w:color w:val="000000"/>
                      <w:highlight w:val="none"/>
                    </w:rPr>
                    <w:t>井下作业废水</w:t>
                  </w:r>
                  <w:r>
                    <w:rPr>
                      <w:color w:val="000000"/>
                      <w:highlight w:val="none"/>
                    </w:rPr>
                    <w:t>严禁直接外排，作业单位自带回收罐回收作业废水，</w:t>
                  </w:r>
                  <w:r>
                    <w:rPr>
                      <w:rFonts w:hint="eastAsia"/>
                      <w:color w:val="000000"/>
                      <w:highlight w:val="none"/>
                    </w:rPr>
                    <w:t>用专用罐车拉运至石西集中处理站</w:t>
                  </w:r>
                  <w:r>
                    <w:rPr>
                      <w:color w:val="000000"/>
                      <w:highlight w:val="none"/>
                    </w:rPr>
                    <w:t>修井废液池中后再回收至石西</w:t>
                  </w:r>
                  <w:r>
                    <w:rPr>
                      <w:rFonts w:hint="eastAsia"/>
                      <w:color w:val="000000"/>
                      <w:highlight w:val="none"/>
                    </w:rPr>
                    <w:t>采出水处理</w:t>
                  </w:r>
                  <w:r>
                    <w:rPr>
                      <w:color w:val="000000"/>
                      <w:highlight w:val="none"/>
                    </w:rPr>
                    <w:t>系统</w:t>
                  </w:r>
                  <w:r>
                    <w:rPr>
                      <w:rFonts w:hint="eastAsia"/>
                      <w:color w:val="000000"/>
                      <w:highlight w:val="none"/>
                    </w:rPr>
                    <w:t>处理，处理达标后回注油藏。</w:t>
                  </w:r>
                </w:p>
              </w:tc>
              <w:tc>
                <w:tcPr>
                  <w:tcW w:w="478" w:type="pct"/>
                  <w:noWrap w:val="0"/>
                  <w:vAlign w:val="center"/>
                </w:tcPr>
                <w:p w14:paraId="65CFEE30">
                  <w:pPr>
                    <w:pStyle w:val="25"/>
                    <w:rPr>
                      <w:color w:val="000000"/>
                      <w:highlight w:val="none"/>
                    </w:rPr>
                  </w:pPr>
                  <w:r>
                    <w:rPr>
                      <w:color w:val="000000"/>
                      <w:highlight w:val="none"/>
                    </w:rPr>
                    <w:t>符合</w:t>
                  </w:r>
                </w:p>
              </w:tc>
            </w:tr>
            <w:tr w14:paraId="51CC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0DC59A96">
                  <w:pPr>
                    <w:pStyle w:val="25"/>
                    <w:rPr>
                      <w:rFonts w:hint="eastAsia"/>
                      <w:color w:val="000000"/>
                      <w:highlight w:val="none"/>
                    </w:rPr>
                  </w:pPr>
                  <w:r>
                    <w:rPr>
                      <w:rFonts w:hint="eastAsia"/>
                      <w:color w:val="000000"/>
                      <w:highlight w:val="none"/>
                    </w:rPr>
                    <w:t>4</w:t>
                  </w:r>
                </w:p>
              </w:tc>
              <w:tc>
                <w:tcPr>
                  <w:tcW w:w="2093" w:type="pct"/>
                  <w:noWrap w:val="0"/>
                  <w:vAlign w:val="center"/>
                </w:tcPr>
                <w:p w14:paraId="45E2F643">
                  <w:pPr>
                    <w:pStyle w:val="25"/>
                    <w:jc w:val="both"/>
                    <w:rPr>
                      <w:color w:val="000000"/>
                      <w:highlight w:val="none"/>
                    </w:rPr>
                  </w:pPr>
                  <w:r>
                    <w:rPr>
                      <w:color w:val="000000"/>
                      <w:highlight w:val="none"/>
                    </w:rPr>
                    <w:t>在钻井和井下作业过程中，鼓励污油、污水进入生产流程循环利用。</w:t>
                  </w:r>
                </w:p>
              </w:tc>
              <w:tc>
                <w:tcPr>
                  <w:tcW w:w="2093" w:type="pct"/>
                  <w:noWrap w:val="0"/>
                  <w:vAlign w:val="center"/>
                </w:tcPr>
                <w:p w14:paraId="00EC0D56">
                  <w:pPr>
                    <w:pStyle w:val="25"/>
                    <w:jc w:val="both"/>
                    <w:rPr>
                      <w:color w:val="000000"/>
                      <w:highlight w:val="none"/>
                    </w:rPr>
                  </w:pPr>
                  <w:r>
                    <w:rPr>
                      <w:color w:val="000000"/>
                      <w:highlight w:val="none"/>
                    </w:rPr>
                    <w:t>本项目采用钻井泥浆不落地技术，无钻井废水排放；试油期</w:t>
                  </w:r>
                  <w:r>
                    <w:rPr>
                      <w:rFonts w:hint="eastAsia"/>
                      <w:color w:val="000000"/>
                      <w:highlight w:val="none"/>
                    </w:rPr>
                    <w:t>井下作业废水</w:t>
                  </w:r>
                  <w:r>
                    <w:rPr>
                      <w:color w:val="000000"/>
                      <w:highlight w:val="none"/>
                    </w:rPr>
                    <w:t>经</w:t>
                  </w:r>
                  <w:r>
                    <w:rPr>
                      <w:rFonts w:hint="eastAsia"/>
                      <w:color w:val="000000"/>
                      <w:highlight w:val="none"/>
                    </w:rPr>
                    <w:t>石西集中处理站采出水</w:t>
                  </w:r>
                  <w:r>
                    <w:rPr>
                      <w:color w:val="000000"/>
                      <w:highlight w:val="none"/>
                    </w:rPr>
                    <w:t>处理系统处理达标后，全部回注地层。</w:t>
                  </w:r>
                </w:p>
              </w:tc>
              <w:tc>
                <w:tcPr>
                  <w:tcW w:w="478" w:type="pct"/>
                  <w:noWrap w:val="0"/>
                  <w:vAlign w:val="center"/>
                </w:tcPr>
                <w:p w14:paraId="2C1DDB08">
                  <w:pPr>
                    <w:pStyle w:val="25"/>
                    <w:rPr>
                      <w:color w:val="000000"/>
                      <w:highlight w:val="none"/>
                    </w:rPr>
                  </w:pPr>
                  <w:r>
                    <w:rPr>
                      <w:color w:val="000000"/>
                      <w:highlight w:val="none"/>
                    </w:rPr>
                    <w:t>符合</w:t>
                  </w:r>
                </w:p>
              </w:tc>
            </w:tr>
            <w:tr w14:paraId="689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noWrap w:val="0"/>
                  <w:vAlign w:val="center"/>
                </w:tcPr>
                <w:p w14:paraId="483C93E0">
                  <w:pPr>
                    <w:pStyle w:val="25"/>
                    <w:rPr>
                      <w:rFonts w:hint="eastAsia"/>
                      <w:color w:val="000000"/>
                      <w:highlight w:val="none"/>
                    </w:rPr>
                  </w:pPr>
                  <w:r>
                    <w:rPr>
                      <w:rFonts w:hint="eastAsia"/>
                      <w:color w:val="000000"/>
                      <w:highlight w:val="none"/>
                    </w:rPr>
                    <w:t>5</w:t>
                  </w:r>
                </w:p>
              </w:tc>
              <w:tc>
                <w:tcPr>
                  <w:tcW w:w="2093" w:type="pct"/>
                  <w:noWrap w:val="0"/>
                  <w:vAlign w:val="center"/>
                </w:tcPr>
                <w:p w14:paraId="20D8A42A">
                  <w:pPr>
                    <w:pStyle w:val="25"/>
                    <w:jc w:val="both"/>
                    <w:rPr>
                      <w:color w:val="000000"/>
                      <w:highlight w:val="none"/>
                    </w:rPr>
                  </w:pPr>
                  <w:r>
                    <w:rPr>
                      <w:color w:val="000000"/>
                      <w:highlight w:val="none"/>
                    </w:rPr>
                    <w:t>油气田企业应制定环境保护管理规定，建立并运行健康、安全与环境管理体系。</w:t>
                  </w:r>
                </w:p>
              </w:tc>
              <w:tc>
                <w:tcPr>
                  <w:tcW w:w="2093" w:type="pct"/>
                  <w:noWrap w:val="0"/>
                  <w:vAlign w:val="center"/>
                </w:tcPr>
                <w:p w14:paraId="1EE337F3">
                  <w:pPr>
                    <w:jc w:val="both"/>
                    <w:rPr>
                      <w:color w:val="000000"/>
                      <w:sz w:val="21"/>
                      <w:szCs w:val="21"/>
                      <w:highlight w:val="none"/>
                    </w:rPr>
                  </w:pPr>
                  <w:r>
                    <w:rPr>
                      <w:color w:val="000000"/>
                      <w:sz w:val="21"/>
                      <w:szCs w:val="21"/>
                      <w:highlight w:val="none"/>
                    </w:rPr>
                    <w:t>中国石油新疆油田分公司</w:t>
                  </w:r>
                  <w:r>
                    <w:rPr>
                      <w:rFonts w:hint="eastAsia"/>
                      <w:color w:val="000000"/>
                      <w:sz w:val="21"/>
                      <w:szCs w:val="21"/>
                      <w:highlight w:val="none"/>
                    </w:rPr>
                    <w:t>开发公司</w:t>
                  </w:r>
                  <w:r>
                    <w:rPr>
                      <w:color w:val="000000"/>
                      <w:sz w:val="21"/>
                      <w:szCs w:val="21"/>
                      <w:highlight w:val="none"/>
                    </w:rPr>
                    <w:t>目前已建立了完善的健康、安全与环境管理体系（QHSE管理体系）。</w:t>
                  </w:r>
                </w:p>
              </w:tc>
              <w:tc>
                <w:tcPr>
                  <w:tcW w:w="478" w:type="pct"/>
                  <w:noWrap w:val="0"/>
                  <w:vAlign w:val="center"/>
                </w:tcPr>
                <w:p w14:paraId="1478B15E">
                  <w:pPr>
                    <w:pStyle w:val="25"/>
                    <w:rPr>
                      <w:color w:val="000000"/>
                      <w:highlight w:val="none"/>
                    </w:rPr>
                  </w:pPr>
                  <w:r>
                    <w:rPr>
                      <w:color w:val="000000"/>
                      <w:highlight w:val="none"/>
                    </w:rPr>
                    <w:t>符合</w:t>
                  </w:r>
                </w:p>
              </w:tc>
            </w:tr>
          </w:tbl>
          <w:p w14:paraId="0D6E626D">
            <w:pPr>
              <w:pStyle w:val="3"/>
              <w:rPr>
                <w:color w:val="000000"/>
                <w:szCs w:val="24"/>
                <w:highlight w:val="none"/>
              </w:rPr>
            </w:pPr>
            <w:r>
              <w:rPr>
                <w:color w:val="000000"/>
                <w:szCs w:val="24"/>
                <w:highlight w:val="none"/>
              </w:rPr>
              <w:t>3 与《关于进一步加强石油天然气行业环境影响评价管理的通知》的符合性分析</w:t>
            </w:r>
          </w:p>
          <w:p w14:paraId="4BC574CD">
            <w:pPr>
              <w:pStyle w:val="7"/>
              <w:spacing w:line="360" w:lineRule="auto"/>
              <w:ind w:firstLine="480" w:firstLineChars="200"/>
              <w:rPr>
                <w:color w:val="000000"/>
                <w:sz w:val="24"/>
                <w:highlight w:val="none"/>
              </w:rPr>
            </w:pPr>
            <w:r>
              <w:rPr>
                <w:color w:val="000000"/>
                <w:sz w:val="24"/>
                <w:highlight w:val="none"/>
              </w:rPr>
              <w:t>本项目与《关于进一步加强石油天然气行业环境影响评价管理的通知》（环办环评函〔2019〕910号，2019年12月13日）的相符性，见表1-</w:t>
            </w:r>
            <w:r>
              <w:rPr>
                <w:rFonts w:hint="eastAsia"/>
                <w:color w:val="000000"/>
                <w:sz w:val="24"/>
                <w:highlight w:val="none"/>
              </w:rPr>
              <w:t>4</w:t>
            </w:r>
            <w:r>
              <w:rPr>
                <w:color w:val="000000"/>
                <w:sz w:val="24"/>
                <w:highlight w:val="none"/>
              </w:rPr>
              <w:t>。</w:t>
            </w:r>
          </w:p>
          <w:p w14:paraId="277DB9FB">
            <w:pPr>
              <w:pStyle w:val="19"/>
              <w:spacing w:line="360" w:lineRule="auto"/>
              <w:rPr>
                <w:b w:val="0"/>
                <w:bCs/>
                <w:color w:val="000000"/>
                <w:szCs w:val="21"/>
                <w:highlight w:val="none"/>
              </w:rPr>
            </w:pPr>
            <w:r>
              <w:rPr>
                <w:b/>
                <w:bCs w:val="0"/>
                <w:color w:val="000000"/>
                <w:szCs w:val="21"/>
                <w:highlight w:val="none"/>
              </w:rPr>
              <w:t>表1-</w:t>
            </w:r>
            <w:r>
              <w:rPr>
                <w:rFonts w:hint="eastAsia"/>
                <w:b/>
                <w:bCs w:val="0"/>
                <w:color w:val="000000"/>
                <w:szCs w:val="21"/>
                <w:highlight w:val="none"/>
              </w:rPr>
              <w:t>4</w:t>
            </w:r>
            <w:r>
              <w:rPr>
                <w:b/>
                <w:bCs w:val="0"/>
                <w:color w:val="000000"/>
                <w:szCs w:val="21"/>
                <w:highlight w:val="none"/>
              </w:rPr>
              <w:t xml:space="preserve"> 与《关于进一步加强石油天然气行业环境影响评价管理的通知》相符性分析一览表</w:t>
            </w:r>
          </w:p>
          <w:tbl>
            <w:tblPr>
              <w:tblStyle w:val="16"/>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441"/>
              <w:gridCol w:w="3060"/>
              <w:gridCol w:w="817"/>
            </w:tblGrid>
            <w:tr w14:paraId="744D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95" w:type="pct"/>
                  <w:noWrap w:val="0"/>
                  <w:vAlign w:val="center"/>
                </w:tcPr>
                <w:p w14:paraId="164801BF">
                  <w:pPr>
                    <w:pStyle w:val="26"/>
                    <w:jc w:val="left"/>
                    <w:rPr>
                      <w:rFonts w:ascii="Times New Roman" w:hAnsi="Times New Roman"/>
                      <w:bCs/>
                      <w:color w:val="000000"/>
                      <w:szCs w:val="21"/>
                      <w:highlight w:val="none"/>
                    </w:rPr>
                  </w:pPr>
                  <w:r>
                    <w:rPr>
                      <w:rFonts w:ascii="Times New Roman" w:hAnsi="Times New Roman"/>
                      <w:bCs/>
                      <w:color w:val="000000"/>
                      <w:szCs w:val="21"/>
                      <w:highlight w:val="none"/>
                    </w:rPr>
                    <w:t>序号</w:t>
                  </w:r>
                </w:p>
              </w:tc>
              <w:tc>
                <w:tcPr>
                  <w:tcW w:w="2164" w:type="pct"/>
                  <w:noWrap w:val="0"/>
                  <w:vAlign w:val="center"/>
                </w:tcPr>
                <w:p w14:paraId="3D5C3A00">
                  <w:pPr>
                    <w:pStyle w:val="26"/>
                    <w:jc w:val="left"/>
                    <w:rPr>
                      <w:rFonts w:ascii="Times New Roman" w:hAnsi="Times New Roman"/>
                      <w:bCs/>
                      <w:color w:val="000000"/>
                      <w:szCs w:val="21"/>
                      <w:highlight w:val="none"/>
                    </w:rPr>
                  </w:pPr>
                  <w:r>
                    <w:rPr>
                      <w:rFonts w:ascii="Times New Roman" w:hAnsi="Times New Roman"/>
                      <w:bCs/>
                      <w:color w:val="000000"/>
                      <w:szCs w:val="21"/>
                      <w:highlight w:val="none"/>
                    </w:rPr>
                    <w:t>要求</w:t>
                  </w:r>
                </w:p>
              </w:tc>
              <w:tc>
                <w:tcPr>
                  <w:tcW w:w="1924" w:type="pct"/>
                  <w:noWrap w:val="0"/>
                  <w:vAlign w:val="center"/>
                </w:tcPr>
                <w:p w14:paraId="1B17F3C8">
                  <w:pPr>
                    <w:pStyle w:val="26"/>
                    <w:jc w:val="left"/>
                    <w:rPr>
                      <w:rFonts w:ascii="Times New Roman" w:hAnsi="Times New Roman"/>
                      <w:bCs/>
                      <w:color w:val="000000"/>
                      <w:szCs w:val="21"/>
                      <w:highlight w:val="none"/>
                    </w:rPr>
                  </w:pPr>
                  <w:r>
                    <w:rPr>
                      <w:rFonts w:ascii="Times New Roman" w:hAnsi="Times New Roman"/>
                      <w:bCs/>
                      <w:color w:val="000000"/>
                      <w:szCs w:val="21"/>
                      <w:highlight w:val="none"/>
                    </w:rPr>
                    <w:t>本项目</w:t>
                  </w:r>
                </w:p>
              </w:tc>
              <w:tc>
                <w:tcPr>
                  <w:tcW w:w="514" w:type="pct"/>
                  <w:noWrap w:val="0"/>
                  <w:vAlign w:val="center"/>
                </w:tcPr>
                <w:p w14:paraId="0C640916">
                  <w:pPr>
                    <w:pStyle w:val="26"/>
                    <w:jc w:val="left"/>
                    <w:rPr>
                      <w:rFonts w:ascii="Times New Roman" w:hAnsi="Times New Roman"/>
                      <w:bCs/>
                      <w:color w:val="000000"/>
                      <w:szCs w:val="21"/>
                      <w:highlight w:val="none"/>
                    </w:rPr>
                  </w:pPr>
                  <w:r>
                    <w:rPr>
                      <w:rFonts w:ascii="Times New Roman" w:hAnsi="Times New Roman"/>
                      <w:bCs/>
                      <w:color w:val="000000"/>
                      <w:szCs w:val="21"/>
                      <w:highlight w:val="none"/>
                    </w:rPr>
                    <w:t>相符性</w:t>
                  </w:r>
                </w:p>
              </w:tc>
            </w:tr>
            <w:tr w14:paraId="77DA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95" w:type="pct"/>
                  <w:noWrap w:val="0"/>
                  <w:vAlign w:val="center"/>
                </w:tcPr>
                <w:p w14:paraId="45207D1C">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1</w:t>
                  </w:r>
                </w:p>
              </w:tc>
              <w:tc>
                <w:tcPr>
                  <w:tcW w:w="2164" w:type="pct"/>
                  <w:noWrap w:val="0"/>
                  <w:vAlign w:val="center"/>
                </w:tcPr>
                <w:p w14:paraId="73E55CB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项目环评应当深入评价项目建设、运营带来的环境影响和环境风险，提出有效的生态环境保护和环境风险防范措施</w:t>
                  </w:r>
                </w:p>
              </w:tc>
              <w:tc>
                <w:tcPr>
                  <w:tcW w:w="1924" w:type="pct"/>
                  <w:noWrap w:val="0"/>
                  <w:vAlign w:val="center"/>
                </w:tcPr>
                <w:p w14:paraId="0EAB92CE">
                  <w:pPr>
                    <w:pStyle w:val="26"/>
                    <w:jc w:val="left"/>
                    <w:rPr>
                      <w:rFonts w:ascii="Times New Roman" w:hAnsi="Times New Roman"/>
                      <w:b w:val="0"/>
                      <w:color w:val="000000"/>
                      <w:szCs w:val="21"/>
                      <w:highlight w:val="none"/>
                    </w:rPr>
                  </w:pPr>
                  <w:r>
                    <w:rPr>
                      <w:rFonts w:ascii="Times New Roman" w:hAnsi="Times New Roman"/>
                      <w:b w:val="0"/>
                      <w:color w:val="000000"/>
                      <w:kern w:val="0"/>
                      <w:szCs w:val="21"/>
                      <w:highlight w:val="none"/>
                    </w:rPr>
                    <w:t>井场配备灭火装置、应急点火系统、井口防喷器等，同时采取风险防范措施</w:t>
                  </w:r>
                </w:p>
              </w:tc>
              <w:tc>
                <w:tcPr>
                  <w:tcW w:w="514" w:type="pct"/>
                  <w:noWrap w:val="0"/>
                  <w:vAlign w:val="center"/>
                </w:tcPr>
                <w:p w14:paraId="7619F934">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579E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95" w:type="pct"/>
                  <w:noWrap w:val="0"/>
                  <w:vAlign w:val="center"/>
                </w:tcPr>
                <w:p w14:paraId="3A4FFAF7">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2</w:t>
                  </w:r>
                </w:p>
              </w:tc>
              <w:tc>
                <w:tcPr>
                  <w:tcW w:w="2164" w:type="pct"/>
                  <w:noWrap w:val="0"/>
                  <w:vAlign w:val="center"/>
                </w:tcPr>
                <w:p w14:paraId="476FEA30">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涉及废水回注的，应当论证回注的环境可行性，采取切实可行的地下水污染防治和监控措施，不得回注与油气开采无关的废水，严禁造成地下水污染</w:t>
                  </w:r>
                </w:p>
              </w:tc>
              <w:tc>
                <w:tcPr>
                  <w:tcW w:w="1924" w:type="pct"/>
                  <w:noWrap w:val="0"/>
                  <w:vAlign w:val="center"/>
                </w:tcPr>
                <w:p w14:paraId="68A9407F">
                  <w:pPr>
                    <w:pStyle w:val="26"/>
                    <w:jc w:val="both"/>
                    <w:rPr>
                      <w:rFonts w:ascii="Times New Roman" w:hAnsi="Times New Roman"/>
                      <w:b w:val="0"/>
                      <w:color w:val="000000"/>
                      <w:szCs w:val="21"/>
                      <w:highlight w:val="none"/>
                    </w:rPr>
                  </w:pPr>
                  <w:r>
                    <w:rPr>
                      <w:rFonts w:ascii="Times New Roman" w:hAnsi="Times New Roman"/>
                      <w:b w:val="0"/>
                      <w:color w:val="000000"/>
                      <w:szCs w:val="21"/>
                      <w:highlight w:val="none"/>
                    </w:rPr>
                    <w:t>本项目试油期</w:t>
                  </w:r>
                  <w:r>
                    <w:rPr>
                      <w:rFonts w:hint="eastAsia" w:ascii="Times New Roman" w:hAnsi="Times New Roman"/>
                      <w:b w:val="0"/>
                      <w:color w:val="000000"/>
                      <w:szCs w:val="21"/>
                      <w:highlight w:val="none"/>
                    </w:rPr>
                    <w:t>井下作业废水</w:t>
                  </w:r>
                  <w:r>
                    <w:rPr>
                      <w:rFonts w:ascii="Times New Roman" w:hAnsi="Times New Roman"/>
                      <w:b w:val="0"/>
                      <w:color w:val="000000"/>
                      <w:szCs w:val="21"/>
                      <w:highlight w:val="none"/>
                    </w:rPr>
                    <w:t>经</w:t>
                  </w:r>
                  <w:r>
                    <w:rPr>
                      <w:rFonts w:hint="eastAsia" w:ascii="Times New Roman" w:hAnsi="Times New Roman"/>
                      <w:b w:val="0"/>
                      <w:color w:val="000000"/>
                      <w:highlight w:val="none"/>
                    </w:rPr>
                    <w:t>石西集中处理站采出水</w:t>
                  </w:r>
                  <w:r>
                    <w:rPr>
                      <w:rFonts w:ascii="Times New Roman" w:hAnsi="Times New Roman"/>
                      <w:b w:val="0"/>
                      <w:color w:val="000000"/>
                      <w:highlight w:val="none"/>
                    </w:rPr>
                    <w:t>处理系统</w:t>
                  </w:r>
                  <w:r>
                    <w:rPr>
                      <w:rFonts w:ascii="Times New Roman" w:hAnsi="Times New Roman"/>
                      <w:b w:val="0"/>
                      <w:color w:val="000000"/>
                      <w:szCs w:val="21"/>
                      <w:highlight w:val="none"/>
                    </w:rPr>
                    <w:t>处理达标后用于回注油藏</w:t>
                  </w:r>
                </w:p>
              </w:tc>
              <w:tc>
                <w:tcPr>
                  <w:tcW w:w="514" w:type="pct"/>
                  <w:noWrap w:val="0"/>
                  <w:vAlign w:val="center"/>
                </w:tcPr>
                <w:p w14:paraId="1BC7716C">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2052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5" w:type="pct"/>
                  <w:noWrap w:val="0"/>
                  <w:vAlign w:val="center"/>
                </w:tcPr>
                <w:p w14:paraId="7A9E5817">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3</w:t>
                  </w:r>
                </w:p>
              </w:tc>
              <w:tc>
                <w:tcPr>
                  <w:tcW w:w="2164" w:type="pct"/>
                  <w:noWrap w:val="0"/>
                  <w:vAlign w:val="center"/>
                </w:tcPr>
                <w:p w14:paraId="26B7AF99">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油气开采产生的废弃油基泥浆、含油钻屑及其他固体废物，应当遵循减量化、资源化、无害化原则，按照国家和地方有关固体废物的管理规定进行处置</w:t>
                  </w:r>
                </w:p>
              </w:tc>
              <w:tc>
                <w:tcPr>
                  <w:tcW w:w="1924" w:type="pct"/>
                  <w:noWrap w:val="0"/>
                  <w:vAlign w:val="center"/>
                </w:tcPr>
                <w:p w14:paraId="37FB7AFB">
                  <w:pPr>
                    <w:pStyle w:val="26"/>
                    <w:jc w:val="left"/>
                    <w:rPr>
                      <w:rFonts w:ascii="Times New Roman" w:hAnsi="Times New Roman"/>
                      <w:b w:val="0"/>
                      <w:color w:val="000000"/>
                      <w:szCs w:val="21"/>
                      <w:highlight w:val="none"/>
                    </w:rPr>
                  </w:pPr>
                  <w:r>
                    <w:rPr>
                      <w:rFonts w:ascii="Times New Roman" w:hAnsi="Times New Roman"/>
                      <w:b w:val="0"/>
                      <w:color w:val="000000"/>
                      <w:highlight w:val="none"/>
                    </w:rPr>
                    <w:t>本项目一开使用水基钻井液，二开、三开使用油基钻井液，采用泥浆不落地工艺，水基、油基泥浆随钻井队用于后续钻井使用；水基岩屑放于井场岩屑储存罐暂存，由第三方合规处置；油基岩屑由密封储罐收集，委托具有危废处置资质的单位处置</w:t>
                  </w:r>
                </w:p>
              </w:tc>
              <w:tc>
                <w:tcPr>
                  <w:tcW w:w="514" w:type="pct"/>
                  <w:noWrap w:val="0"/>
                  <w:vAlign w:val="center"/>
                </w:tcPr>
                <w:p w14:paraId="2F2EA519">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31B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5" w:type="pct"/>
                  <w:noWrap w:val="0"/>
                  <w:vAlign w:val="center"/>
                </w:tcPr>
                <w:p w14:paraId="08E3A3F6">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4</w:t>
                  </w:r>
                </w:p>
              </w:tc>
              <w:tc>
                <w:tcPr>
                  <w:tcW w:w="2164" w:type="pct"/>
                  <w:noWrap w:val="0"/>
                  <w:vAlign w:val="center"/>
                </w:tcPr>
                <w:p w14:paraId="78086985">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施工期应当尽量减少施工占地、缩短施工时间、选择合理施工方式、落实环境敏感区管控要求以及其他生态环境保护措施，降低生态环境影响</w:t>
                  </w:r>
                </w:p>
              </w:tc>
              <w:tc>
                <w:tcPr>
                  <w:tcW w:w="1924" w:type="pct"/>
                  <w:noWrap w:val="0"/>
                  <w:vAlign w:val="center"/>
                </w:tcPr>
                <w:p w14:paraId="1169A12A">
                  <w:pPr>
                    <w:pStyle w:val="26"/>
                    <w:jc w:val="both"/>
                    <w:rPr>
                      <w:rFonts w:ascii="Times New Roman" w:hAnsi="Times New Roman"/>
                      <w:b w:val="0"/>
                      <w:color w:val="000000"/>
                      <w:szCs w:val="21"/>
                      <w:highlight w:val="none"/>
                    </w:rPr>
                  </w:pPr>
                  <w:r>
                    <w:rPr>
                      <w:rFonts w:ascii="Times New Roman" w:hAnsi="Times New Roman"/>
                      <w:b w:val="0"/>
                      <w:color w:val="000000"/>
                      <w:szCs w:val="21"/>
                      <w:highlight w:val="none"/>
                    </w:rPr>
                    <w:t>施工期严格控制占地面积，施工单位在占地范围内施工，严格控制和管理运输车辆及重型机械施工作业范围。具体详见环境保护措施章节</w:t>
                  </w:r>
                </w:p>
              </w:tc>
              <w:tc>
                <w:tcPr>
                  <w:tcW w:w="514" w:type="pct"/>
                  <w:noWrap w:val="0"/>
                  <w:vAlign w:val="center"/>
                </w:tcPr>
                <w:p w14:paraId="519D82B0">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27D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95" w:type="pct"/>
                  <w:noWrap w:val="0"/>
                  <w:vAlign w:val="center"/>
                </w:tcPr>
                <w:p w14:paraId="2FD74FE2">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5</w:t>
                  </w:r>
                </w:p>
              </w:tc>
              <w:tc>
                <w:tcPr>
                  <w:tcW w:w="2164" w:type="pct"/>
                  <w:noWrap w:val="0"/>
                  <w:vAlign w:val="center"/>
                </w:tcPr>
                <w:p w14:paraId="4C868DFA">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油气企业应当切实落实生态环境保护主体责任，进一步健全生态环境保护管理体系和制度，充分发挥企业内部生态环境保护部门作用，健全健康、安全与环境（HSE）管理体系，加强督促检查，推动所属油气田落实规划、建设、运营、退役等环节生态环境保护措施</w:t>
                  </w:r>
                </w:p>
              </w:tc>
              <w:tc>
                <w:tcPr>
                  <w:tcW w:w="1924" w:type="pct"/>
                  <w:noWrap w:val="0"/>
                  <w:vAlign w:val="center"/>
                </w:tcPr>
                <w:p w14:paraId="0CA5EB7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建设单位设置安全环保科室及人员，建有HSE管理体系，监督落实</w:t>
                  </w:r>
                  <w:r>
                    <w:rPr>
                      <w:rFonts w:hint="eastAsia" w:ascii="Times New Roman" w:hAnsi="Times New Roman"/>
                      <w:b w:val="0"/>
                      <w:color w:val="000000"/>
                      <w:szCs w:val="21"/>
                      <w:highlight w:val="none"/>
                    </w:rPr>
                    <w:t>施工期</w:t>
                  </w:r>
                  <w:r>
                    <w:rPr>
                      <w:rFonts w:ascii="Times New Roman" w:hAnsi="Times New Roman"/>
                      <w:b w:val="0"/>
                      <w:color w:val="000000"/>
                      <w:szCs w:val="21"/>
                      <w:highlight w:val="none"/>
                    </w:rPr>
                    <w:t>各项生态环境保护措施</w:t>
                  </w:r>
                </w:p>
              </w:tc>
              <w:tc>
                <w:tcPr>
                  <w:tcW w:w="514" w:type="pct"/>
                  <w:noWrap w:val="0"/>
                  <w:vAlign w:val="center"/>
                </w:tcPr>
                <w:p w14:paraId="4D88533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bl>
          <w:p w14:paraId="615A1DA7">
            <w:pPr>
              <w:keepNext/>
              <w:keepLines/>
              <w:spacing w:line="360" w:lineRule="auto"/>
              <w:jc w:val="left"/>
              <w:outlineLvl w:val="1"/>
              <w:rPr>
                <w:b/>
                <w:bCs/>
                <w:color w:val="000000"/>
                <w:spacing w:val="4"/>
                <w:highlight w:val="none"/>
              </w:rPr>
            </w:pPr>
            <w:r>
              <w:rPr>
                <w:b/>
                <w:bCs/>
                <w:color w:val="000000"/>
                <w:spacing w:val="4"/>
                <w:highlight w:val="none"/>
              </w:rPr>
              <w:t>4 与《陆上石油天然气开采业绿色矿山建设规范》（DZ/T0317-2018）相符性分析</w:t>
            </w:r>
          </w:p>
          <w:p w14:paraId="1A553DDA">
            <w:pPr>
              <w:spacing w:line="360" w:lineRule="auto"/>
              <w:ind w:firstLine="480" w:firstLineChars="200"/>
              <w:jc w:val="both"/>
              <w:rPr>
                <w:color w:val="000000"/>
                <w:kern w:val="0"/>
                <w:highlight w:val="none"/>
              </w:rPr>
            </w:pPr>
            <w:r>
              <w:rPr>
                <w:color w:val="000000"/>
                <w:kern w:val="0"/>
                <w:highlight w:val="none"/>
              </w:rPr>
              <w:t>该文件要求：“因矿制宜选择开采工艺和装备，符合清洁生产要求。应贯彻‘边开采，边治理，边恢复’的原则，及时治理恢复矿区地质环境，复垦矿区压占和损毁土地；应遵循矿区油气资源赋存状况、生态环境特征等条件，科学合理地确定开发方案，选择与油气藏类型相适应的先进开采技术和工艺，推广使用成熟、先进的技术装备，严禁使用国家明文规定的限制和淘汰的技术工艺及装备；集约节约利用土地资源，土地利用符合用地指标政策。合理确定站址、场址、管网、路网建设占地规模。应实施绿色钻井技术体系，科学选择钻井方式、环境友好型钻井液及井控措施，配备完善的固控系统，及时妥善处置钻井泥浆”。</w:t>
            </w:r>
          </w:p>
          <w:p w14:paraId="4B43FD70">
            <w:pPr>
              <w:pStyle w:val="24"/>
              <w:rPr>
                <w:color w:val="000000"/>
                <w:kern w:val="0"/>
                <w:highlight w:val="none"/>
              </w:rPr>
            </w:pPr>
            <w:r>
              <w:rPr>
                <w:color w:val="000000"/>
                <w:kern w:val="0"/>
                <w:sz w:val="24"/>
                <w:szCs w:val="21"/>
                <w:highlight w:val="none"/>
              </w:rPr>
              <w:t>本项目钻试方案的设计技术先进、实用成熟，符合清洁生产要求；项目钻试完成后，按照要求恢复井场及生活营地、道路临时占地，符合“边开采，边治理，边恢复”的原则；项目钻试方案设计考虑了该区域油气资源赋存状况、生态环境特征等条件，所选用的技术和工艺均属于成熟、先进的技术装备；本项目临时占地规模从土地资源节约方面考虑，尽可能缩小占地面积。</w:t>
            </w:r>
            <w:r>
              <w:rPr>
                <w:bCs/>
                <w:color w:val="000000"/>
                <w:sz w:val="24"/>
                <w:szCs w:val="21"/>
                <w:highlight w:val="none"/>
              </w:rPr>
              <w:t>项目钻试过程中，配备先进完善的固控设备，设置井控装置。泥浆进入不落地系统进行处置，分离出的固相由密封储罐收集，水基岩屑委托第三方岩屑公司进行无害化处置，油基岩屑交由有危废转运处置资质的单位进行转运处置；本项目符合该规范要求。</w:t>
            </w:r>
          </w:p>
          <w:p w14:paraId="0CB7B094">
            <w:pPr>
              <w:pStyle w:val="24"/>
              <w:ind w:firstLine="0" w:firstLineChars="0"/>
              <w:rPr>
                <w:b/>
                <w:bCs/>
                <w:color w:val="000000"/>
                <w:spacing w:val="4"/>
                <w:highlight w:val="none"/>
              </w:rPr>
            </w:pPr>
            <w:r>
              <w:rPr>
                <w:b/>
                <w:bCs/>
                <w:color w:val="000000"/>
                <w:spacing w:val="4"/>
                <w:highlight w:val="none"/>
              </w:rPr>
              <w:t>5《新疆生态环境保护“十四五”规划》</w:t>
            </w:r>
          </w:p>
          <w:p w14:paraId="7F41919C">
            <w:pPr>
              <w:spacing w:line="360" w:lineRule="auto"/>
              <w:ind w:firstLine="480" w:firstLineChars="200"/>
              <w:jc w:val="left"/>
              <w:rPr>
                <w:color w:val="000000"/>
                <w:highlight w:val="none"/>
              </w:rPr>
            </w:pPr>
            <w:r>
              <w:rPr>
                <w:color w:val="000000"/>
                <w:highlight w:val="none"/>
              </w:rPr>
              <w:t>《新疆生态环境保护“十四五”规划》第二节持续优化产业结构指出“推进产业转型升级。坚持高质量发展与严格环境准入标准相结合，坚持淘汰落后与鼓励先进相结合，支持产业发展向产业链游、价值链中高端迈进，坚持推进产业结构优化调整。全力推动节能环保产业发展，引导产业向绿色生产、清洁生产、循环生产加快推进产业转型升级。支持企业实施智能化改造升级，推动石油开采、石油化工、煤化工、有色金属、钢铁、焦化、建材、农加工等传统产业的重点企业改进工艺、节能降耗、提质增效，促进传统产业绿色化、智能化、高端化发展。”第三节持续推进涉气污染源治理指出“针对铸造、铁合金、焦化、水泥、砖瓦、石灰、耐火材料、金属冶炼以及煤化工、石油化工等行业，制物料储存、输送及生产工艺过程无组织排放。加强重点行业VOCs治理。实施VOCs排放总量控制，重点推进石油天然气开采、石化、化工、包装印刷、工业涂装、油品储运重点行业排放源以及机动车等移动源VOCs污染防治，加强重点行业、重点企业的精细化管控。”</w:t>
            </w:r>
          </w:p>
          <w:p w14:paraId="07A9E32C">
            <w:pPr>
              <w:spacing w:line="360" w:lineRule="auto"/>
              <w:ind w:firstLine="480"/>
              <w:jc w:val="left"/>
              <w:rPr>
                <w:color w:val="000000"/>
                <w:highlight w:val="none"/>
              </w:rPr>
            </w:pPr>
            <w:r>
              <w:rPr>
                <w:b/>
                <w:bCs/>
                <w:color w:val="000000"/>
                <w:highlight w:val="none"/>
              </w:rPr>
              <w:t>相符性分析：</w:t>
            </w:r>
            <w:r>
              <w:rPr>
                <w:color w:val="000000"/>
                <w:highlight w:val="none"/>
              </w:rPr>
              <w:t>本项目属于油气资源勘探项目，试油期产生的伴生气通过放散管燃放，试油期可能伴随少量原油采出，暂存于井场4个20m</w:t>
            </w:r>
            <w:r>
              <w:rPr>
                <w:color w:val="000000"/>
                <w:highlight w:val="none"/>
                <w:vertAlign w:val="superscript"/>
              </w:rPr>
              <w:t>3</w:t>
            </w:r>
            <w:r>
              <w:rPr>
                <w:color w:val="000000"/>
                <w:highlight w:val="none"/>
              </w:rPr>
              <w:t>原油储罐中，原油装载会挥发少量非甲烷总烃，仅在试油期产生，随试油期结束而终止，项目钻井、</w:t>
            </w:r>
            <w:r>
              <w:rPr>
                <w:rFonts w:hint="eastAsia"/>
                <w:color w:val="000000"/>
                <w:highlight w:val="none"/>
              </w:rPr>
              <w:t>试油</w:t>
            </w:r>
            <w:r>
              <w:rPr>
                <w:color w:val="000000"/>
                <w:highlight w:val="none"/>
              </w:rPr>
              <w:t>作业等采用清洁生产技术，勘探全过程严格控制无组织VOCs排放，本项目建设符合《新疆生态环境保护“十四五”规划》要求。</w:t>
            </w:r>
          </w:p>
          <w:p w14:paraId="30E2889F">
            <w:pPr>
              <w:pStyle w:val="27"/>
              <w:adjustRightInd/>
              <w:snapToGrid/>
              <w:spacing w:after="0"/>
              <w:ind w:firstLine="0" w:firstLineChars="0"/>
              <w:textAlignment w:val="baseline"/>
              <w:rPr>
                <w:b/>
                <w:bCs/>
                <w:color w:val="000000"/>
                <w:spacing w:val="4"/>
                <w:highlight w:val="none"/>
              </w:rPr>
            </w:pPr>
            <w:r>
              <w:rPr>
                <w:b/>
                <w:bCs/>
                <w:color w:val="000000"/>
                <w:spacing w:val="4"/>
                <w:highlight w:val="none"/>
              </w:rPr>
              <w:t>6《钻前工程及井场布置技术要求》（SY/T5466-2013）</w:t>
            </w:r>
          </w:p>
          <w:p w14:paraId="750FACA3">
            <w:pPr>
              <w:pStyle w:val="7"/>
              <w:spacing w:line="360" w:lineRule="auto"/>
              <w:ind w:firstLine="480" w:firstLineChars="200"/>
              <w:rPr>
                <w:color w:val="000000"/>
                <w:sz w:val="24"/>
                <w:highlight w:val="none"/>
              </w:rPr>
            </w:pPr>
            <w:r>
              <w:rPr>
                <w:color w:val="000000"/>
                <w:sz w:val="24"/>
                <w:highlight w:val="none"/>
              </w:rPr>
              <w:t>本项目与《钻前工程及井场布置技术要求》（SY/T5466-2013）相符性分析，见表1-</w:t>
            </w:r>
            <w:r>
              <w:rPr>
                <w:rFonts w:hint="eastAsia"/>
                <w:color w:val="000000"/>
                <w:sz w:val="24"/>
                <w:highlight w:val="none"/>
              </w:rPr>
              <w:t>5</w:t>
            </w:r>
            <w:r>
              <w:rPr>
                <w:color w:val="000000"/>
                <w:sz w:val="24"/>
                <w:highlight w:val="none"/>
              </w:rPr>
              <w:t>。</w:t>
            </w:r>
          </w:p>
          <w:p w14:paraId="2D496B47">
            <w:pPr>
              <w:pStyle w:val="19"/>
              <w:spacing w:line="360" w:lineRule="auto"/>
              <w:rPr>
                <w:b/>
                <w:bCs w:val="0"/>
                <w:color w:val="000000"/>
                <w:szCs w:val="21"/>
                <w:highlight w:val="none"/>
              </w:rPr>
            </w:pPr>
            <w:r>
              <w:rPr>
                <w:b/>
                <w:bCs w:val="0"/>
                <w:color w:val="000000"/>
                <w:szCs w:val="21"/>
                <w:highlight w:val="none"/>
              </w:rPr>
              <w:t>表1-</w:t>
            </w:r>
            <w:r>
              <w:rPr>
                <w:rFonts w:hint="eastAsia"/>
                <w:b/>
                <w:bCs w:val="0"/>
                <w:color w:val="000000"/>
                <w:szCs w:val="21"/>
                <w:highlight w:val="none"/>
              </w:rPr>
              <w:t>5</w:t>
            </w:r>
            <w:r>
              <w:rPr>
                <w:b/>
                <w:bCs w:val="0"/>
                <w:color w:val="000000"/>
                <w:szCs w:val="21"/>
                <w:highlight w:val="none"/>
              </w:rPr>
              <w:t xml:space="preserve"> 与《钻前工程及井场布置技术要求》相符性分析一览表</w:t>
            </w:r>
          </w:p>
          <w:tbl>
            <w:tblPr>
              <w:tblStyle w:val="16"/>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17"/>
              <w:gridCol w:w="2575"/>
              <w:gridCol w:w="728"/>
            </w:tblGrid>
            <w:tr w14:paraId="066C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94" w:type="pct"/>
                  <w:noWrap w:val="0"/>
                  <w:vAlign w:val="center"/>
                </w:tcPr>
                <w:p w14:paraId="457DB76A">
                  <w:pPr>
                    <w:pStyle w:val="26"/>
                    <w:rPr>
                      <w:rFonts w:ascii="Times New Roman" w:hAnsi="Times New Roman"/>
                      <w:bCs/>
                      <w:color w:val="000000"/>
                      <w:szCs w:val="21"/>
                      <w:highlight w:val="none"/>
                    </w:rPr>
                  </w:pPr>
                  <w:r>
                    <w:rPr>
                      <w:rFonts w:ascii="Times New Roman" w:hAnsi="Times New Roman"/>
                      <w:bCs/>
                      <w:color w:val="000000"/>
                      <w:szCs w:val="21"/>
                      <w:highlight w:val="none"/>
                    </w:rPr>
                    <w:t>序号</w:t>
                  </w:r>
                </w:p>
              </w:tc>
              <w:tc>
                <w:tcPr>
                  <w:tcW w:w="2527" w:type="pct"/>
                  <w:noWrap w:val="0"/>
                  <w:vAlign w:val="center"/>
                </w:tcPr>
                <w:p w14:paraId="15816F4B">
                  <w:pPr>
                    <w:pStyle w:val="26"/>
                    <w:rPr>
                      <w:rFonts w:ascii="Times New Roman" w:hAnsi="Times New Roman"/>
                      <w:bCs/>
                      <w:color w:val="000000"/>
                      <w:szCs w:val="21"/>
                      <w:highlight w:val="none"/>
                    </w:rPr>
                  </w:pPr>
                  <w:r>
                    <w:rPr>
                      <w:rFonts w:ascii="Times New Roman" w:hAnsi="Times New Roman"/>
                      <w:bCs/>
                      <w:color w:val="000000"/>
                      <w:szCs w:val="21"/>
                      <w:highlight w:val="none"/>
                    </w:rPr>
                    <w:t>要求</w:t>
                  </w:r>
                </w:p>
              </w:tc>
              <w:tc>
                <w:tcPr>
                  <w:tcW w:w="1620" w:type="pct"/>
                  <w:noWrap w:val="0"/>
                  <w:vAlign w:val="center"/>
                </w:tcPr>
                <w:p w14:paraId="711D8773">
                  <w:pPr>
                    <w:pStyle w:val="26"/>
                    <w:rPr>
                      <w:rFonts w:ascii="Times New Roman" w:hAnsi="Times New Roman"/>
                      <w:bCs/>
                      <w:color w:val="000000"/>
                      <w:szCs w:val="21"/>
                      <w:highlight w:val="none"/>
                    </w:rPr>
                  </w:pPr>
                  <w:r>
                    <w:rPr>
                      <w:rFonts w:ascii="Times New Roman" w:hAnsi="Times New Roman"/>
                      <w:bCs/>
                      <w:color w:val="000000"/>
                      <w:szCs w:val="21"/>
                      <w:highlight w:val="none"/>
                    </w:rPr>
                    <w:t>本项目</w:t>
                  </w:r>
                </w:p>
              </w:tc>
              <w:tc>
                <w:tcPr>
                  <w:tcW w:w="457" w:type="pct"/>
                  <w:noWrap w:val="0"/>
                  <w:vAlign w:val="center"/>
                </w:tcPr>
                <w:p w14:paraId="5C1D555D">
                  <w:pPr>
                    <w:pStyle w:val="26"/>
                    <w:rPr>
                      <w:rFonts w:ascii="Times New Roman" w:hAnsi="Times New Roman"/>
                      <w:bCs/>
                      <w:color w:val="000000"/>
                      <w:szCs w:val="21"/>
                      <w:highlight w:val="none"/>
                    </w:rPr>
                  </w:pPr>
                  <w:r>
                    <w:rPr>
                      <w:rFonts w:ascii="Times New Roman" w:hAnsi="Times New Roman"/>
                      <w:bCs/>
                      <w:color w:val="000000"/>
                      <w:szCs w:val="21"/>
                      <w:highlight w:val="none"/>
                    </w:rPr>
                    <w:t>相符性</w:t>
                  </w:r>
                </w:p>
              </w:tc>
            </w:tr>
            <w:tr w14:paraId="0F98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394" w:type="pct"/>
                  <w:noWrap w:val="0"/>
                  <w:vAlign w:val="center"/>
                </w:tcPr>
                <w:p w14:paraId="38E4135A">
                  <w:pPr>
                    <w:pStyle w:val="26"/>
                    <w:rPr>
                      <w:rFonts w:ascii="Times New Roman" w:hAnsi="Times New Roman"/>
                      <w:b w:val="0"/>
                      <w:color w:val="000000"/>
                      <w:szCs w:val="21"/>
                      <w:highlight w:val="none"/>
                    </w:rPr>
                  </w:pPr>
                  <w:r>
                    <w:rPr>
                      <w:rFonts w:ascii="Times New Roman" w:hAnsi="Times New Roman"/>
                      <w:b w:val="0"/>
                      <w:color w:val="000000"/>
                      <w:szCs w:val="21"/>
                      <w:highlight w:val="none"/>
                    </w:rPr>
                    <w:t>1</w:t>
                  </w:r>
                </w:p>
              </w:tc>
              <w:tc>
                <w:tcPr>
                  <w:tcW w:w="2527" w:type="pct"/>
                  <w:noWrap w:val="0"/>
                  <w:vAlign w:val="center"/>
                </w:tcPr>
                <w:p w14:paraId="6F94E583">
                  <w:pPr>
                    <w:pStyle w:val="26"/>
                    <w:rPr>
                      <w:rFonts w:ascii="Times New Roman" w:hAnsi="Times New Roman"/>
                      <w:b w:val="0"/>
                      <w:color w:val="000000"/>
                      <w:szCs w:val="21"/>
                      <w:highlight w:val="none"/>
                    </w:rPr>
                  </w:pPr>
                  <w:r>
                    <w:rPr>
                      <w:rFonts w:ascii="Times New Roman" w:hAnsi="Times New Roman"/>
                      <w:b w:val="0"/>
                      <w:color w:val="000000"/>
                      <w:szCs w:val="21"/>
                      <w:highlight w:val="none"/>
                    </w:rPr>
                    <w:t>3.1井场选择原则</w:t>
                  </w:r>
                </w:p>
                <w:p w14:paraId="683FC38A">
                  <w:pPr>
                    <w:rPr>
                      <w:color w:val="000000"/>
                      <w:sz w:val="21"/>
                      <w:szCs w:val="21"/>
                      <w:highlight w:val="none"/>
                    </w:rPr>
                  </w:pPr>
                  <w:r>
                    <w:rPr>
                      <w:color w:val="000000"/>
                      <w:sz w:val="21"/>
                      <w:szCs w:val="21"/>
                      <w:highlight w:val="none"/>
                    </w:rPr>
                    <w:t>3.1.1根据自然环境、钻机类型及钻井工艺要求确定设备安放位置。3.1.2井场应避开滑坡、泥石流等不良地质地貌，在河滩、海滩地区应避开汛期、潮期进行钻前施工。3.1.3充分利用地形，节约用地，方便施工。3.1.4满足防洪、防喷、防爆、防火、防毒、防冻等安全要求。3.1.5有利废弃物回收处理、声光屏障等，防止环境污染。3.1.6在选择井场时应考虑钻机井架和动力基础选在挖方处。3.1.7在环境有特殊要求的井场布置时，应有切实的防护设施。</w:t>
                  </w:r>
                </w:p>
              </w:tc>
              <w:tc>
                <w:tcPr>
                  <w:tcW w:w="1620" w:type="pct"/>
                  <w:noWrap w:val="0"/>
                  <w:vAlign w:val="center"/>
                </w:tcPr>
                <w:p w14:paraId="6DC3897E">
                  <w:pPr>
                    <w:pStyle w:val="26"/>
                    <w:rPr>
                      <w:rFonts w:ascii="Times New Roman" w:hAnsi="Times New Roman"/>
                      <w:b w:val="0"/>
                      <w:color w:val="000000"/>
                      <w:szCs w:val="21"/>
                      <w:highlight w:val="none"/>
                    </w:rPr>
                  </w:pPr>
                  <w:r>
                    <w:rPr>
                      <w:rFonts w:ascii="Times New Roman" w:hAnsi="Times New Roman"/>
                      <w:b w:val="0"/>
                      <w:color w:val="000000"/>
                      <w:szCs w:val="21"/>
                      <w:highlight w:val="none"/>
                    </w:rPr>
                    <w:t>井场未设置在滑坡、泥石流等不良地貌，本项目已考虑特殊地形布井要求。</w:t>
                  </w:r>
                </w:p>
              </w:tc>
              <w:tc>
                <w:tcPr>
                  <w:tcW w:w="457" w:type="pct"/>
                  <w:noWrap w:val="0"/>
                  <w:vAlign w:val="center"/>
                </w:tcPr>
                <w:p w14:paraId="36489E93">
                  <w:pPr>
                    <w:pStyle w:val="26"/>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2EA7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94" w:type="pct"/>
                  <w:noWrap w:val="0"/>
                  <w:vAlign w:val="center"/>
                </w:tcPr>
                <w:p w14:paraId="3AEC58CB">
                  <w:pPr>
                    <w:pStyle w:val="26"/>
                    <w:rPr>
                      <w:rFonts w:ascii="Times New Roman" w:hAnsi="Times New Roman"/>
                      <w:b w:val="0"/>
                      <w:color w:val="000000"/>
                      <w:szCs w:val="21"/>
                      <w:highlight w:val="none"/>
                    </w:rPr>
                  </w:pPr>
                  <w:r>
                    <w:rPr>
                      <w:rFonts w:ascii="Times New Roman" w:hAnsi="Times New Roman"/>
                      <w:b w:val="0"/>
                      <w:color w:val="000000"/>
                      <w:szCs w:val="21"/>
                      <w:highlight w:val="none"/>
                    </w:rPr>
                    <w:t>2</w:t>
                  </w:r>
                </w:p>
              </w:tc>
              <w:tc>
                <w:tcPr>
                  <w:tcW w:w="2527" w:type="pct"/>
                  <w:noWrap w:val="0"/>
                  <w:vAlign w:val="center"/>
                </w:tcPr>
                <w:p w14:paraId="7031A929">
                  <w:pPr>
                    <w:pStyle w:val="26"/>
                    <w:rPr>
                      <w:rFonts w:ascii="Times New Roman" w:hAnsi="Times New Roman"/>
                      <w:b w:val="0"/>
                      <w:color w:val="000000"/>
                      <w:szCs w:val="21"/>
                      <w:highlight w:val="none"/>
                    </w:rPr>
                  </w:pPr>
                  <w:r>
                    <w:rPr>
                      <w:rFonts w:ascii="Times New Roman" w:hAnsi="Times New Roman"/>
                      <w:b w:val="0"/>
                      <w:color w:val="000000"/>
                      <w:szCs w:val="21"/>
                      <w:highlight w:val="none"/>
                    </w:rPr>
                    <w:t>3.2井位确定3.2.1根据勘探或开发部门给定的井位坐标，由建设单位、地质部门和施工单位实地勘测确定地面井口位置。基础施工结束后应复测井位坐标。3.2.2油、气井井口距离高压线及其他永久性设施不小于75m，距民宅不小于100m，距铁路、高速公路不小于200m，距学校、医院和大型油库等人口密集型、高危性场所不小于500m。在地下矿产采掘区钻井，井筒与采掘坑道、矿井坑道之间的距离不小于100m。3.2.3含硫油气井井场应选在比较空旷的位置。宜在前后左右方向能让盛行风畅通。3.2.4井口距堤坝、水库的位置应根据国家水利部门的有关规定执行。</w:t>
                  </w:r>
                </w:p>
              </w:tc>
              <w:tc>
                <w:tcPr>
                  <w:tcW w:w="1620" w:type="pct"/>
                  <w:noWrap w:val="0"/>
                  <w:vAlign w:val="center"/>
                </w:tcPr>
                <w:p w14:paraId="7D62A7E3">
                  <w:pPr>
                    <w:pStyle w:val="26"/>
                    <w:rPr>
                      <w:rFonts w:ascii="Times New Roman" w:hAnsi="Times New Roman"/>
                      <w:b w:val="0"/>
                      <w:color w:val="000000"/>
                      <w:szCs w:val="21"/>
                      <w:highlight w:val="none"/>
                    </w:rPr>
                  </w:pPr>
                  <w:r>
                    <w:rPr>
                      <w:rFonts w:ascii="Times New Roman" w:hAnsi="Times New Roman"/>
                      <w:b w:val="0"/>
                      <w:color w:val="000000"/>
                      <w:szCs w:val="21"/>
                      <w:highlight w:val="none"/>
                    </w:rPr>
                    <w:t>井场周边500m范围内无居民区、无铁路和高速公路，周边500m不存在人口密集区域和高危性场所。本次勘探油藏不含硫化氢。</w:t>
                  </w:r>
                </w:p>
              </w:tc>
              <w:tc>
                <w:tcPr>
                  <w:tcW w:w="457" w:type="pct"/>
                  <w:noWrap w:val="0"/>
                  <w:vAlign w:val="center"/>
                </w:tcPr>
                <w:p w14:paraId="1061FD78">
                  <w:pPr>
                    <w:pStyle w:val="26"/>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1920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94" w:type="pct"/>
                  <w:noWrap w:val="0"/>
                  <w:vAlign w:val="center"/>
                </w:tcPr>
                <w:p w14:paraId="207772A0">
                  <w:pPr>
                    <w:pStyle w:val="26"/>
                    <w:rPr>
                      <w:rFonts w:ascii="Times New Roman" w:hAnsi="Times New Roman"/>
                      <w:b w:val="0"/>
                      <w:color w:val="000000"/>
                      <w:szCs w:val="21"/>
                      <w:highlight w:val="none"/>
                    </w:rPr>
                  </w:pPr>
                  <w:r>
                    <w:rPr>
                      <w:rFonts w:ascii="Times New Roman" w:hAnsi="Times New Roman"/>
                      <w:b w:val="0"/>
                      <w:color w:val="000000"/>
                      <w:szCs w:val="21"/>
                      <w:highlight w:val="none"/>
                    </w:rPr>
                    <w:t>3</w:t>
                  </w:r>
                </w:p>
              </w:tc>
              <w:tc>
                <w:tcPr>
                  <w:tcW w:w="2527" w:type="pct"/>
                  <w:noWrap w:val="0"/>
                  <w:vAlign w:val="center"/>
                </w:tcPr>
                <w:p w14:paraId="7BC0BCD4">
                  <w:pPr>
                    <w:pStyle w:val="26"/>
                    <w:rPr>
                      <w:rFonts w:ascii="Times New Roman" w:hAnsi="Times New Roman"/>
                      <w:b w:val="0"/>
                      <w:color w:val="000000"/>
                      <w:szCs w:val="21"/>
                      <w:highlight w:val="none"/>
                    </w:rPr>
                  </w:pPr>
                  <w:r>
                    <w:rPr>
                      <w:rFonts w:ascii="Times New Roman" w:hAnsi="Times New Roman"/>
                      <w:b w:val="0"/>
                      <w:color w:val="000000"/>
                      <w:szCs w:val="21"/>
                      <w:highlight w:val="none"/>
                    </w:rPr>
                    <w:t>3.7井场及道路3.7.1井场3.7.1.10在沙漠布置井场应注重防风、防沙。3.7.2.6特殊地区（如：沙漠、草原、海滩）的井可能修建能满足运输通行条件的道路。3.7.3.1对于钻井作业周期较长或雨季钻井施工的井场道路，路面以能使车辆顺利通行为原则并预留车台，必要时可能铺垫碎石，钢渣或废砖等。铺垫宽度不得小于4m，高度视路基而定。</w:t>
                  </w:r>
                </w:p>
              </w:tc>
              <w:tc>
                <w:tcPr>
                  <w:tcW w:w="1620" w:type="pct"/>
                  <w:noWrap w:val="0"/>
                  <w:vAlign w:val="center"/>
                </w:tcPr>
                <w:p w14:paraId="7BD07FF9">
                  <w:pPr>
                    <w:pStyle w:val="26"/>
                    <w:rPr>
                      <w:rFonts w:ascii="Times New Roman" w:hAnsi="Times New Roman"/>
                      <w:b w:val="0"/>
                      <w:color w:val="000000"/>
                      <w:szCs w:val="21"/>
                      <w:highlight w:val="none"/>
                    </w:rPr>
                  </w:pPr>
                  <w:r>
                    <w:rPr>
                      <w:rFonts w:ascii="Times New Roman" w:hAnsi="Times New Roman"/>
                      <w:b w:val="0"/>
                      <w:color w:val="000000"/>
                      <w:szCs w:val="21"/>
                      <w:highlight w:val="none"/>
                    </w:rPr>
                    <w:t>本项目</w:t>
                  </w:r>
                  <w:r>
                    <w:rPr>
                      <w:rFonts w:hint="eastAsia" w:ascii="Times New Roman" w:hAnsi="Times New Roman"/>
                      <w:b w:val="0"/>
                      <w:color w:val="000000"/>
                      <w:szCs w:val="21"/>
                      <w:highlight w:val="none"/>
                    </w:rPr>
                    <w:t>采取防风、防沙措施</w:t>
                  </w:r>
                  <w:r>
                    <w:rPr>
                      <w:rFonts w:ascii="Times New Roman" w:hAnsi="Times New Roman"/>
                      <w:b w:val="0"/>
                      <w:color w:val="000000"/>
                      <w:szCs w:val="21"/>
                      <w:highlight w:val="none"/>
                    </w:rPr>
                    <w:t>；</w:t>
                  </w:r>
                  <w:r>
                    <w:rPr>
                      <w:rFonts w:hint="eastAsia" w:ascii="Times New Roman" w:hAnsi="Times New Roman"/>
                      <w:b w:val="0"/>
                      <w:color w:val="000000"/>
                      <w:szCs w:val="21"/>
                      <w:highlight w:val="none"/>
                    </w:rPr>
                    <w:t>道路</w:t>
                  </w:r>
                  <w:r>
                    <w:rPr>
                      <w:rFonts w:ascii="Times New Roman" w:hAnsi="Times New Roman"/>
                      <w:b w:val="0"/>
                      <w:color w:val="000000"/>
                      <w:szCs w:val="21"/>
                      <w:highlight w:val="none"/>
                    </w:rPr>
                    <w:t>铺垫碎石，铺垫宽度不小于4m。</w:t>
                  </w:r>
                </w:p>
              </w:tc>
              <w:tc>
                <w:tcPr>
                  <w:tcW w:w="457" w:type="pct"/>
                  <w:noWrap w:val="0"/>
                  <w:vAlign w:val="center"/>
                </w:tcPr>
                <w:p w14:paraId="7F63D7F2">
                  <w:pPr>
                    <w:pStyle w:val="26"/>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4C1E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394" w:type="pct"/>
                  <w:noWrap w:val="0"/>
                  <w:vAlign w:val="center"/>
                </w:tcPr>
                <w:p w14:paraId="5AB81312">
                  <w:pPr>
                    <w:pStyle w:val="26"/>
                    <w:rPr>
                      <w:rFonts w:ascii="Times New Roman" w:hAnsi="Times New Roman"/>
                      <w:b w:val="0"/>
                      <w:color w:val="000000"/>
                      <w:szCs w:val="21"/>
                      <w:highlight w:val="none"/>
                    </w:rPr>
                  </w:pPr>
                  <w:r>
                    <w:rPr>
                      <w:rFonts w:ascii="Times New Roman" w:hAnsi="Times New Roman"/>
                      <w:b w:val="0"/>
                      <w:color w:val="000000"/>
                      <w:szCs w:val="21"/>
                      <w:highlight w:val="none"/>
                    </w:rPr>
                    <w:t>4</w:t>
                  </w:r>
                </w:p>
              </w:tc>
              <w:tc>
                <w:tcPr>
                  <w:tcW w:w="2527" w:type="pct"/>
                  <w:noWrap w:val="0"/>
                  <w:vAlign w:val="center"/>
                </w:tcPr>
                <w:p w14:paraId="0FEF2DA8">
                  <w:pPr>
                    <w:pStyle w:val="26"/>
                    <w:rPr>
                      <w:rFonts w:ascii="Times New Roman" w:hAnsi="Times New Roman"/>
                      <w:b w:val="0"/>
                      <w:color w:val="000000"/>
                      <w:szCs w:val="21"/>
                      <w:highlight w:val="none"/>
                    </w:rPr>
                  </w:pPr>
                  <w:r>
                    <w:rPr>
                      <w:rFonts w:ascii="Times New Roman" w:hAnsi="Times New Roman"/>
                      <w:b w:val="0"/>
                      <w:color w:val="000000"/>
                      <w:szCs w:val="21"/>
                      <w:highlight w:val="none"/>
                    </w:rPr>
                    <w:t>3.7.5井场环保3.7.5.1在钻前工程设计和施工中，环境保护按照《石油天然气工业健康、安全与环境管理体系》（SY/T6276-2014）的要求执行。3.7.5.2井场内应有良好的清污分流系统。3.7.5.3井场后（或右）侧应修建钻井液储备池（罐）。净化系统一侧应修建排污池，配备废液处理装置。振动筛附近应修建沉砂坑。3.7.5.4钻井液储备池、排污池、沉砂坑应采取防渗漏及其他防污染措施。3.7.5.5发电房和油罐区四周应有环形水沟，并配备污油回收罐。3.7.5.6使用油基钻井液的排污池和沉砂坑应满足油基和水基钻屑分开的要求</w:t>
                  </w:r>
                </w:p>
              </w:tc>
              <w:tc>
                <w:tcPr>
                  <w:tcW w:w="1620" w:type="pct"/>
                  <w:noWrap w:val="0"/>
                  <w:vAlign w:val="center"/>
                </w:tcPr>
                <w:p w14:paraId="4A098F24">
                  <w:pPr>
                    <w:pStyle w:val="26"/>
                    <w:rPr>
                      <w:rFonts w:ascii="Times New Roman" w:hAnsi="Times New Roman"/>
                      <w:b w:val="0"/>
                      <w:color w:val="000000"/>
                      <w:szCs w:val="21"/>
                      <w:highlight w:val="none"/>
                    </w:rPr>
                  </w:pPr>
                  <w:r>
                    <w:rPr>
                      <w:rFonts w:ascii="Times New Roman" w:hAnsi="Times New Roman"/>
                      <w:b w:val="0"/>
                      <w:color w:val="000000"/>
                      <w:szCs w:val="21"/>
                      <w:highlight w:val="none"/>
                    </w:rPr>
                    <w:t>本项目井场布置符合《石油天然气工业健康、安全与环境管理体系》（SY/T6276-2014）要求，井场设钻井液储备罐，钻井液在罐内循环使用；发电房和油罐区四周设环境水沟，配备污油回收罐；产生的水基岩屑进入储罐暂存，最终由第三方岩屑公司回收处置；油基岩屑通过专用罐收集后委托有资质单位处置。</w:t>
                  </w:r>
                </w:p>
              </w:tc>
              <w:tc>
                <w:tcPr>
                  <w:tcW w:w="457" w:type="pct"/>
                  <w:noWrap w:val="0"/>
                  <w:vAlign w:val="center"/>
                </w:tcPr>
                <w:p w14:paraId="50D46012">
                  <w:pPr>
                    <w:pStyle w:val="26"/>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bl>
          <w:p w14:paraId="32961E8A">
            <w:pPr>
              <w:keepNext/>
              <w:keepLines/>
              <w:spacing w:line="360" w:lineRule="auto"/>
              <w:jc w:val="left"/>
              <w:outlineLvl w:val="1"/>
              <w:rPr>
                <w:b/>
                <w:bCs/>
                <w:color w:val="000000"/>
                <w:spacing w:val="4"/>
                <w:highlight w:val="none"/>
              </w:rPr>
            </w:pPr>
            <w:r>
              <w:rPr>
                <w:b/>
                <w:bCs/>
                <w:color w:val="000000"/>
                <w:spacing w:val="4"/>
                <w:highlight w:val="none"/>
              </w:rPr>
              <w:t>8《关于规范临时用地管理的通知》（自然资规〔2021〕2号）</w:t>
            </w:r>
          </w:p>
          <w:p w14:paraId="3330BAD4">
            <w:pPr>
              <w:pStyle w:val="7"/>
              <w:spacing w:line="360" w:lineRule="auto"/>
              <w:ind w:firstLine="480" w:firstLineChars="200"/>
              <w:rPr>
                <w:color w:val="000000"/>
                <w:sz w:val="24"/>
                <w:highlight w:val="none"/>
              </w:rPr>
            </w:pPr>
            <w:r>
              <w:rPr>
                <w:color w:val="000000"/>
                <w:sz w:val="24"/>
                <w:highlight w:val="none"/>
              </w:rPr>
              <w:t>本项目与《关于规范临时用地管理的通知》（自然资规〔2021〕2号）相符性分析，见表1-</w:t>
            </w:r>
            <w:r>
              <w:rPr>
                <w:rFonts w:hint="eastAsia"/>
                <w:color w:val="000000"/>
                <w:sz w:val="24"/>
                <w:highlight w:val="none"/>
              </w:rPr>
              <w:t>6</w:t>
            </w:r>
            <w:r>
              <w:rPr>
                <w:color w:val="000000"/>
                <w:sz w:val="24"/>
                <w:highlight w:val="none"/>
              </w:rPr>
              <w:t>。</w:t>
            </w:r>
          </w:p>
          <w:p w14:paraId="4CB4D72D">
            <w:pPr>
              <w:pStyle w:val="19"/>
              <w:spacing w:line="360" w:lineRule="auto"/>
              <w:rPr>
                <w:rFonts w:ascii="Times New Roman" w:hAnsi="Times New Roman" w:eastAsia="宋体" w:cs="Times New Roman"/>
                <w:b/>
                <w:bCs w:val="0"/>
                <w:color w:val="000000"/>
                <w:szCs w:val="21"/>
                <w:highlight w:val="none"/>
              </w:rPr>
            </w:pPr>
            <w:r>
              <w:rPr>
                <w:rFonts w:ascii="Times New Roman" w:hAnsi="Times New Roman" w:eastAsia="宋体" w:cs="Times New Roman"/>
                <w:b/>
                <w:bCs w:val="0"/>
                <w:color w:val="000000"/>
                <w:szCs w:val="21"/>
                <w:highlight w:val="none"/>
              </w:rPr>
              <w:t>表1-</w:t>
            </w:r>
            <w:r>
              <w:rPr>
                <w:rFonts w:hint="eastAsia" w:ascii="Times New Roman" w:hAnsi="Times New Roman" w:eastAsia="宋体" w:cs="Times New Roman"/>
                <w:b/>
                <w:bCs w:val="0"/>
                <w:color w:val="000000"/>
                <w:szCs w:val="21"/>
                <w:highlight w:val="none"/>
              </w:rPr>
              <w:t>6</w:t>
            </w:r>
            <w:r>
              <w:rPr>
                <w:rFonts w:ascii="Times New Roman" w:hAnsi="Times New Roman" w:eastAsia="宋体" w:cs="Times New Roman"/>
                <w:b/>
                <w:bCs w:val="0"/>
                <w:color w:val="000000"/>
                <w:szCs w:val="21"/>
                <w:highlight w:val="none"/>
              </w:rPr>
              <w:t xml:space="preserve"> 与《关于规范临时用地管理的通知》相符性分析一览表</w:t>
            </w:r>
          </w:p>
          <w:tbl>
            <w:tblPr>
              <w:tblStyle w:val="16"/>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060"/>
              <w:gridCol w:w="2087"/>
              <w:gridCol w:w="818"/>
            </w:tblGrid>
            <w:tr w14:paraId="535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7" w:type="pct"/>
                  <w:noWrap w:val="0"/>
                  <w:vAlign w:val="center"/>
                </w:tcPr>
                <w:p w14:paraId="661FC863">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序号</w:t>
                  </w:r>
                </w:p>
              </w:tc>
              <w:tc>
                <w:tcPr>
                  <w:tcW w:w="2554" w:type="pct"/>
                  <w:noWrap w:val="0"/>
                  <w:vAlign w:val="center"/>
                </w:tcPr>
                <w:p w14:paraId="758B81BC">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要求</w:t>
                  </w:r>
                </w:p>
              </w:tc>
              <w:tc>
                <w:tcPr>
                  <w:tcW w:w="1313" w:type="pct"/>
                  <w:noWrap w:val="0"/>
                  <w:vAlign w:val="center"/>
                </w:tcPr>
                <w:p w14:paraId="642DA535">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本项目</w:t>
                  </w:r>
                </w:p>
              </w:tc>
              <w:tc>
                <w:tcPr>
                  <w:tcW w:w="514" w:type="pct"/>
                  <w:noWrap w:val="0"/>
                  <w:vAlign w:val="center"/>
                </w:tcPr>
                <w:p w14:paraId="6D8BC2B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相符性</w:t>
                  </w:r>
                </w:p>
              </w:tc>
            </w:tr>
            <w:tr w14:paraId="413F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17" w:type="pct"/>
                  <w:noWrap w:val="0"/>
                  <w:vAlign w:val="center"/>
                </w:tcPr>
                <w:p w14:paraId="691BBA6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二、临时用地选址要求和使用期限</w:t>
                  </w:r>
                </w:p>
              </w:tc>
              <w:tc>
                <w:tcPr>
                  <w:tcW w:w="2554" w:type="pct"/>
                  <w:noWrap w:val="0"/>
                  <w:vAlign w:val="center"/>
                </w:tcPr>
                <w:p w14:paraId="32EBC5FE">
                  <w:pPr>
                    <w:jc w:val="left"/>
                    <w:rPr>
                      <w:color w:val="000000"/>
                      <w:sz w:val="21"/>
                      <w:szCs w:val="21"/>
                      <w:highlight w:val="none"/>
                    </w:rPr>
                  </w:pPr>
                  <w:r>
                    <w:rPr>
                      <w:color w:val="000000"/>
                      <w:sz w:val="21"/>
                      <w:szCs w:val="21"/>
                      <w:highlight w:val="none"/>
                    </w:rPr>
                    <w:t>建设项目施工、地质勘查使用临时用地时应坚持“用多少、批多少、占多少、恢复多少”，尽量不占或者少占耕地。使用后土地复垦难度较大的临时用地，要严格控制占用耕地。铁路、公路等单独选址建设项目，应科学组织施工，节约集约使用临时用地。制梁场、拌合站等难以恢复原种植条件的不得以临时用地方式占用耕地和永久基本农田，可以建设用地方式或者临时占用未利用地方式使用土地。临时用地确需占用永久基本农田的，必须能够恢复原种植条件，并符合《自然资源部农业农村部关于加强和改进永久基本农田保护工作的通知》（自然资规〔2019〕1号）中申请条件、土壤剥离、复垦验收等有关规定。</w:t>
                  </w:r>
                </w:p>
                <w:p w14:paraId="231D2FE3">
                  <w:pPr>
                    <w:jc w:val="left"/>
                    <w:rPr>
                      <w:color w:val="000000"/>
                      <w:sz w:val="21"/>
                      <w:szCs w:val="21"/>
                      <w:highlight w:val="none"/>
                    </w:rPr>
                  </w:pPr>
                  <w:r>
                    <w:rPr>
                      <w:color w:val="000000"/>
                      <w:sz w:val="21"/>
                      <w:szCs w:val="21"/>
                      <w:highlight w:val="none"/>
                    </w:rPr>
                    <w:t>临时用地使用期限一般不超过两年。建设周期较长的能源、交通、水利等基础设施建设项目施工使用的临时用地，期限不超过四年。城镇开发边界内临时建设用地规划许可、临时建设工程规划许可的期限应当与临时用地期限相衔接。临时用地使用期限，从批准之日起算。</w:t>
                  </w:r>
                </w:p>
              </w:tc>
              <w:tc>
                <w:tcPr>
                  <w:tcW w:w="1313" w:type="pct"/>
                  <w:noWrap w:val="0"/>
                  <w:vAlign w:val="center"/>
                </w:tcPr>
                <w:p w14:paraId="53161125">
                  <w:pPr>
                    <w:pStyle w:val="26"/>
                    <w:jc w:val="left"/>
                    <w:rPr>
                      <w:rFonts w:ascii="Times New Roman" w:hAnsi="Times New Roman"/>
                      <w:b w:val="0"/>
                      <w:color w:val="000000"/>
                      <w:szCs w:val="21"/>
                      <w:highlight w:val="none"/>
                    </w:rPr>
                  </w:pPr>
                  <w:r>
                    <w:rPr>
                      <w:rFonts w:hint="eastAsia" w:ascii="Times New Roman" w:hAnsi="Times New Roman"/>
                      <w:b w:val="0"/>
                      <w:color w:val="000000"/>
                      <w:szCs w:val="21"/>
                      <w:highlight w:val="none"/>
                    </w:rPr>
                    <w:t>评价井</w:t>
                  </w:r>
                  <w:r>
                    <w:rPr>
                      <w:rFonts w:ascii="Times New Roman" w:hAnsi="Times New Roman"/>
                      <w:b w:val="0"/>
                      <w:color w:val="000000"/>
                      <w:szCs w:val="21"/>
                      <w:highlight w:val="none"/>
                    </w:rPr>
                    <w:t>临时占地严格控制占地面积，尽量减少占地；本项目不占农田和基本农田，占用土地类型为灌木林地。</w:t>
                  </w:r>
                </w:p>
                <w:p w14:paraId="3379B53D">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施工前应向当地相关主管部门办理征地手续，按照相关法律法规进行经济补偿。</w:t>
                  </w:r>
                </w:p>
                <w:p w14:paraId="5C2308D0">
                  <w:pPr>
                    <w:jc w:val="left"/>
                    <w:rPr>
                      <w:color w:val="000000"/>
                      <w:sz w:val="21"/>
                      <w:szCs w:val="21"/>
                      <w:highlight w:val="none"/>
                    </w:rPr>
                  </w:pPr>
                  <w:r>
                    <w:rPr>
                      <w:color w:val="000000"/>
                      <w:sz w:val="21"/>
                      <w:szCs w:val="21"/>
                      <w:highlight w:val="none"/>
                    </w:rPr>
                    <w:t>本项目临时用地使用期限根据征地协议期限要求执行。</w:t>
                  </w:r>
                </w:p>
              </w:tc>
              <w:tc>
                <w:tcPr>
                  <w:tcW w:w="514" w:type="pct"/>
                  <w:noWrap w:val="0"/>
                  <w:vAlign w:val="center"/>
                </w:tcPr>
                <w:p w14:paraId="5773EE8D">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2C74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17" w:type="pct"/>
                  <w:noWrap w:val="0"/>
                  <w:vAlign w:val="center"/>
                </w:tcPr>
                <w:p w14:paraId="14813822">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三、规范临时用地审批</w:t>
                  </w:r>
                </w:p>
              </w:tc>
              <w:tc>
                <w:tcPr>
                  <w:tcW w:w="2554" w:type="pct"/>
                  <w:noWrap w:val="0"/>
                  <w:vAlign w:val="center"/>
                </w:tcPr>
                <w:p w14:paraId="030EF4F4">
                  <w:pPr>
                    <w:jc w:val="left"/>
                    <w:rPr>
                      <w:color w:val="000000"/>
                      <w:sz w:val="21"/>
                      <w:szCs w:val="21"/>
                      <w:highlight w:val="none"/>
                    </w:rPr>
                  </w:pPr>
                  <w:r>
                    <w:rPr>
                      <w:color w:val="000000"/>
                      <w:sz w:val="21"/>
                      <w:szCs w:val="21"/>
                      <w:highlight w:val="none"/>
                    </w:rPr>
                    <w:t>县（市）自然资源主管部门负责临时用地审批，其中涉及占用耕地和永久基本农田的，由市级或者市级以上自然资源主管部门负责审批。不得下放临时用地审批权或者委托相关部门行使审批权。城镇开发边界内使用临时用地的，可以一并申请临时建设用地规划许可和临时用地审批，具备条件的还可以同时申请临时建设工程规划许可，一并出具相关批准文件。油气资源探采合一开发涉及的钻井及配套设施建设用地，可先以临时用地方式批准使用，勘探结束转入生产使用的，办理建设用地审批手续；不转入生产的，油气企业应当完成土地复垦，按期归还。</w:t>
                  </w:r>
                </w:p>
              </w:tc>
              <w:tc>
                <w:tcPr>
                  <w:tcW w:w="1313" w:type="pct"/>
                  <w:noWrap w:val="0"/>
                  <w:vAlign w:val="center"/>
                </w:tcPr>
                <w:p w14:paraId="3B9AD7CB">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本项目不占用耕地和基本农田。施工前按要求办理征地手续；</w:t>
                  </w:r>
                </w:p>
                <w:p w14:paraId="46A320E9">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本项目属于</w:t>
                  </w:r>
                  <w:r>
                    <w:rPr>
                      <w:rFonts w:ascii="Times New Roman" w:hAnsi="Times New Roman"/>
                      <w:b w:val="0"/>
                      <w:color w:val="000000"/>
                      <w:highlight w:val="none"/>
                    </w:rPr>
                    <w:t>油气资源勘探项目，</w:t>
                  </w:r>
                  <w:r>
                    <w:rPr>
                      <w:rFonts w:ascii="Times New Roman" w:hAnsi="Times New Roman"/>
                      <w:b w:val="0"/>
                      <w:color w:val="000000"/>
                      <w:szCs w:val="21"/>
                      <w:highlight w:val="none"/>
                    </w:rPr>
                    <w:t>涉及的钻井及配套设施建设用地，本次属于临时用地，若转生产井后重新开展环境影响评价，同时办理建设用地审批手续，若后期不转入生产井，则完成土地恢复，按期归还。</w:t>
                  </w:r>
                </w:p>
              </w:tc>
              <w:tc>
                <w:tcPr>
                  <w:tcW w:w="514" w:type="pct"/>
                  <w:noWrap w:val="0"/>
                  <w:vAlign w:val="center"/>
                </w:tcPr>
                <w:p w14:paraId="0A9C351E">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r w14:paraId="5D4C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17" w:type="pct"/>
                  <w:noWrap w:val="0"/>
                  <w:vAlign w:val="center"/>
                </w:tcPr>
                <w:p w14:paraId="1FF44240">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四、落实临时用地恢复责任</w:t>
                  </w:r>
                </w:p>
              </w:tc>
              <w:tc>
                <w:tcPr>
                  <w:tcW w:w="2554" w:type="pct"/>
                  <w:noWrap w:val="0"/>
                  <w:vAlign w:val="center"/>
                </w:tcPr>
                <w:p w14:paraId="62AED4E0">
                  <w:pPr>
                    <w:jc w:val="left"/>
                    <w:rPr>
                      <w:color w:val="000000"/>
                      <w:sz w:val="21"/>
                      <w:szCs w:val="21"/>
                      <w:highlight w:val="none"/>
                    </w:rPr>
                  </w:pPr>
                  <w:r>
                    <w:rPr>
                      <w:color w:val="000000"/>
                      <w:sz w:val="21"/>
                      <w:szCs w:val="21"/>
                      <w:highlight w:val="none"/>
                    </w:rPr>
                    <w:t>临时用地使用人应当按照批准的用途使用土地，不得转让、出租、抵押临时用地。临时用地使用人应当自临时用地期满之日起一年内完成土地复垦，因气候、灾害等不可抗力因素影响复垦的，经批准可以适当延长复垦期限。</w:t>
                  </w:r>
                </w:p>
                <w:p w14:paraId="5D1833DA">
                  <w:pPr>
                    <w:jc w:val="left"/>
                    <w:rPr>
                      <w:color w:val="000000"/>
                      <w:sz w:val="21"/>
                      <w:szCs w:val="21"/>
                      <w:highlight w:val="none"/>
                    </w:rPr>
                  </w:pPr>
                  <w:r>
                    <w:rPr>
                      <w:color w:val="000000"/>
                      <w:sz w:val="21"/>
                      <w:szCs w:val="21"/>
                      <w:highlight w:val="none"/>
                    </w:rPr>
                    <w:t>严格落实临时用地恢复责任，临时用地期满后应当拆除临时建（构）筑物，使用耕地的应当复垦为耕地，确保耕地面积不减少、质量不降低；使用耕地以外的其他农用地的应当恢复为农用地；使用未利用地的，对于符合条件的鼓励复垦为耕地。</w:t>
                  </w:r>
                </w:p>
                <w:p w14:paraId="16498EFE">
                  <w:pPr>
                    <w:jc w:val="left"/>
                    <w:rPr>
                      <w:color w:val="000000"/>
                      <w:sz w:val="21"/>
                      <w:szCs w:val="21"/>
                      <w:highlight w:val="none"/>
                    </w:rPr>
                  </w:pPr>
                  <w:r>
                    <w:rPr>
                      <w:color w:val="000000"/>
                      <w:sz w:val="21"/>
                      <w:szCs w:val="21"/>
                      <w:highlight w:val="none"/>
                    </w:rPr>
                    <w:t>县（市）自然资源主管部门依法监督临时用地使用人履行复垦义务情况，对逾期不恢复种植条件、违反土地复垦规定的行为，责令限期改正，并依照法律法规的规定进行处罚。按年度统计，县（市）范围内的临时用地，超期一年以上未完成土地复垦规模达到应复垦规模20%以上的，省级自然资源主管部门应当要求所在县（市）暂停审批新的临时用地，根据县（市）整改情况恢复审批。</w:t>
                  </w:r>
                </w:p>
              </w:tc>
              <w:tc>
                <w:tcPr>
                  <w:tcW w:w="1313" w:type="pct"/>
                  <w:noWrap w:val="0"/>
                  <w:vAlign w:val="center"/>
                </w:tcPr>
                <w:p w14:paraId="202E2244">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本项目试油结束后视试油结果决定是否转为生产井，若转为生产井，则应当在产能开发建设前开展其环境影响评价工作，临时道路保留；若不具开发价值，井口进行封井，临时道路进行平整，自然恢复。</w:t>
                  </w:r>
                </w:p>
              </w:tc>
              <w:tc>
                <w:tcPr>
                  <w:tcW w:w="514" w:type="pct"/>
                  <w:noWrap w:val="0"/>
                  <w:vAlign w:val="center"/>
                </w:tcPr>
                <w:p w14:paraId="666C4F71">
                  <w:pPr>
                    <w:pStyle w:val="26"/>
                    <w:jc w:val="left"/>
                    <w:rPr>
                      <w:rFonts w:ascii="Times New Roman" w:hAnsi="Times New Roman"/>
                      <w:b w:val="0"/>
                      <w:color w:val="000000"/>
                      <w:szCs w:val="21"/>
                      <w:highlight w:val="none"/>
                    </w:rPr>
                  </w:pPr>
                  <w:r>
                    <w:rPr>
                      <w:rFonts w:ascii="Times New Roman" w:hAnsi="Times New Roman"/>
                      <w:b w:val="0"/>
                      <w:color w:val="000000"/>
                      <w:szCs w:val="21"/>
                      <w:highlight w:val="none"/>
                    </w:rPr>
                    <w:t>符合</w:t>
                  </w:r>
                </w:p>
              </w:tc>
            </w:tr>
          </w:tbl>
          <w:p w14:paraId="6ECB8B5B">
            <w:pPr>
              <w:keepNext/>
              <w:keepLines/>
              <w:spacing w:line="360" w:lineRule="auto"/>
              <w:jc w:val="left"/>
              <w:outlineLvl w:val="1"/>
              <w:rPr>
                <w:b/>
                <w:bCs/>
                <w:color w:val="000000"/>
                <w:spacing w:val="4"/>
                <w:highlight w:val="none"/>
              </w:rPr>
            </w:pPr>
            <w:r>
              <w:rPr>
                <w:b/>
                <w:bCs/>
                <w:color w:val="000000"/>
                <w:spacing w:val="4"/>
                <w:highlight w:val="none"/>
              </w:rPr>
              <w:t>9 产业政策符合性分析</w:t>
            </w:r>
          </w:p>
          <w:p w14:paraId="51010E16">
            <w:pPr>
              <w:keepNext/>
              <w:keepLines/>
              <w:spacing w:line="360" w:lineRule="auto"/>
              <w:ind w:firstLine="480" w:firstLineChars="200"/>
              <w:jc w:val="left"/>
              <w:outlineLvl w:val="1"/>
              <w:rPr>
                <w:color w:val="000000"/>
                <w:highlight w:val="none"/>
              </w:rPr>
            </w:pPr>
            <w:r>
              <w:rPr>
                <w:color w:val="000000"/>
                <w:highlight w:val="none"/>
              </w:rPr>
              <w:t>石油天然气勘探是当前国民经济的重要基础产业和支柱产业，本项目为油气资源勘探项目，根据《产业结构调整指导目录》（20</w:t>
            </w:r>
            <w:r>
              <w:rPr>
                <w:rFonts w:hint="eastAsia"/>
                <w:color w:val="000000"/>
                <w:highlight w:val="none"/>
              </w:rPr>
              <w:t>24</w:t>
            </w:r>
            <w:r>
              <w:rPr>
                <w:color w:val="000000"/>
                <w:highlight w:val="none"/>
              </w:rPr>
              <w:t>年本）的有关规定，本项目属于第一类“鼓励类”第七项“石油天然气”第1条“常规石油、天然气勘探与开采”，符合国家产业政策。</w:t>
            </w:r>
          </w:p>
          <w:p w14:paraId="14863B5F">
            <w:pPr>
              <w:keepNext/>
              <w:keepLines/>
              <w:spacing w:line="360" w:lineRule="auto"/>
              <w:jc w:val="left"/>
              <w:outlineLvl w:val="1"/>
              <w:rPr>
                <w:b/>
                <w:bCs/>
                <w:color w:val="000000"/>
                <w:spacing w:val="4"/>
                <w:highlight w:val="none"/>
              </w:rPr>
            </w:pPr>
            <w:r>
              <w:rPr>
                <w:rFonts w:hint="eastAsia"/>
                <w:b/>
                <w:bCs/>
                <w:color w:val="000000"/>
                <w:spacing w:val="4"/>
                <w:highlight w:val="none"/>
              </w:rPr>
              <w:t xml:space="preserve">10 </w:t>
            </w:r>
            <w:r>
              <w:rPr>
                <w:b/>
                <w:bCs/>
                <w:color w:val="000000"/>
                <w:spacing w:val="4"/>
                <w:highlight w:val="none"/>
              </w:rPr>
              <w:t>与“生态红线”相关文件规定的符合性分析</w:t>
            </w:r>
          </w:p>
          <w:p w14:paraId="0C64605E">
            <w:pPr>
              <w:pStyle w:val="14"/>
              <w:widowControl w:val="0"/>
              <w:spacing w:before="0" w:beforeAutospacing="0" w:after="0" w:afterAutospacing="0" w:line="360" w:lineRule="auto"/>
              <w:ind w:firstLine="480" w:firstLineChars="200"/>
              <w:jc w:val="both"/>
              <w:rPr>
                <w:rFonts w:hint="eastAsia" w:ascii="Times New Roman" w:hAnsi="Times New Roman"/>
                <w:color w:val="000000"/>
                <w:highlight w:val="none"/>
              </w:rPr>
            </w:pPr>
            <w:r>
              <w:rPr>
                <w:rFonts w:hint="eastAsia" w:ascii="Times New Roman" w:hAnsi="Times New Roman"/>
                <w:color w:val="000000"/>
                <w:highlight w:val="none"/>
              </w:rPr>
              <w:t>（1）与</w:t>
            </w:r>
            <w:r>
              <w:rPr>
                <w:rFonts w:ascii="Times New Roman" w:hAnsi="Times New Roman"/>
                <w:color w:val="000000"/>
                <w:highlight w:val="none"/>
              </w:rPr>
              <w:t>《关于加强生态保护红线管理的通知（试行）》（自然资发〔2022〕142号）</w:t>
            </w:r>
            <w:r>
              <w:rPr>
                <w:rFonts w:hint="eastAsia" w:ascii="Times New Roman" w:hAnsi="Times New Roman"/>
                <w:color w:val="000000"/>
                <w:highlight w:val="none"/>
              </w:rPr>
              <w:t>相符性</w:t>
            </w:r>
            <w:r>
              <w:rPr>
                <w:rFonts w:ascii="Times New Roman" w:hAnsi="Times New Roman"/>
                <w:color w:val="000000"/>
                <w:highlight w:val="none"/>
              </w:rPr>
              <w:t>。</w:t>
            </w:r>
          </w:p>
          <w:p w14:paraId="1371955E">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ascii="Times New Roman" w:hAnsi="Times New Roman"/>
                <w:color w:val="000000"/>
                <w:highlight w:val="none"/>
              </w:rPr>
              <w:t>①</w:t>
            </w:r>
            <w:r>
              <w:rPr>
                <w:rFonts w:hint="eastAsia"/>
                <w:color w:val="000000"/>
                <w:highlight w:val="none"/>
              </w:rPr>
              <w:t>规范有限人为活动认定。进一步细化生态保护红线内核心保护区外允许开展的十类有限人为活动类型，对不涉及新增建设用地审批的活动提出具体管理要求，并在国家有关规定基础上，明确细化涉及新增用地有限人为活动的认定程序和要求。</w:t>
            </w:r>
          </w:p>
          <w:p w14:paraId="1D65E48B">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②开展占用项目不可避让论证。明确占用生态保护红线国家项目类型，结合自治区项目审批实际，在国家有关规定基础上，细化国家重大项目开展不可避让论证等程序和要求。</w:t>
            </w:r>
          </w:p>
          <w:p w14:paraId="37866D1E">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③加强临时用地监管。对生态保护红线内活动涉及临时用地审批的，明确参照临时占用永久基本农田规定办理临时用地审批等手续。</w:t>
            </w:r>
          </w:p>
          <w:p w14:paraId="2AAE7487">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④妥善处理历史遗留问题。在国家有关规定基础上，针对生态保护红线内矿业权、人工商品林以及已有风电、水电和光伏设施等历史遗留问题提出处置措施。</w:t>
            </w:r>
          </w:p>
          <w:p w14:paraId="0FC88A69">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⑤严格监督管理。明确生态保护红线监督管理中各相关部门职责分工，并根据国家有关规定，提出调整生态保护红线有关程序及要求。</w:t>
            </w:r>
          </w:p>
          <w:p w14:paraId="202B5551">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本项目施工期严格规范作业，限制施工人员活动，仅在井场范围内进行施工活动，严禁破坏生态保护红线区生态环境。本项目已开展不可避让论证报告，见附件2。本项目已获取临时用地批复《关于新疆油田公司 2024 年部署采气一厂盆10区块莫173井项目临时用地的批复》昌州自然资函</w:t>
            </w:r>
            <w:r>
              <w:rPr>
                <w:rFonts w:ascii="Times New Roman" w:hAnsi="Times New Roman"/>
                <w:color w:val="000000"/>
                <w:highlight w:val="none"/>
              </w:rPr>
              <w:t>〔202</w:t>
            </w:r>
            <w:r>
              <w:rPr>
                <w:rFonts w:hint="eastAsia" w:ascii="Times New Roman" w:hAnsi="Times New Roman"/>
                <w:color w:val="000000"/>
                <w:highlight w:val="none"/>
              </w:rPr>
              <w:t>5</w:t>
            </w:r>
            <w:r>
              <w:rPr>
                <w:rFonts w:ascii="Times New Roman" w:hAnsi="Times New Roman"/>
                <w:color w:val="000000"/>
                <w:highlight w:val="none"/>
              </w:rPr>
              <w:t>〕42号</w:t>
            </w:r>
            <w:r>
              <w:rPr>
                <w:rFonts w:hint="eastAsia" w:ascii="Times New Roman" w:hAnsi="Times New Roman"/>
                <w:color w:val="000000"/>
                <w:highlight w:val="none"/>
              </w:rPr>
              <w:t>见附件3。本项目无历史遗留问题。本项目实施</w:t>
            </w:r>
            <w:r>
              <w:rPr>
                <w:rFonts w:hint="eastAsia"/>
                <w:color w:val="000000"/>
                <w:highlight w:val="none"/>
              </w:rPr>
              <w:t>严格监督管理制度，细化施工期间部门责任管理制度，严格保护生态红线区环境。</w:t>
            </w:r>
          </w:p>
          <w:p w14:paraId="524E8365">
            <w:pPr>
              <w:pStyle w:val="14"/>
              <w:widowControl w:val="0"/>
              <w:spacing w:before="0" w:beforeAutospacing="0" w:after="0" w:afterAutospacing="0" w:line="360" w:lineRule="auto"/>
              <w:ind w:firstLine="480" w:firstLineChars="200"/>
              <w:jc w:val="both"/>
              <w:rPr>
                <w:rFonts w:hint="eastAsia" w:eastAsia="宋体"/>
                <w:color w:val="000000"/>
                <w:highlight w:val="none"/>
                <w:lang w:val="en-US" w:eastAsia="zh-CN"/>
              </w:rPr>
            </w:pPr>
            <w:r>
              <w:rPr>
                <w:rFonts w:hint="eastAsia"/>
                <w:color w:val="000000"/>
                <w:highlight w:val="none"/>
              </w:rPr>
              <w:t>（2）与《关于在国土空间规划中统筹划定落实三条控制线的指导意见》相符性</w:t>
            </w:r>
            <w:r>
              <w:rPr>
                <w:rFonts w:hint="eastAsia"/>
                <w:color w:val="000000"/>
                <w:highlight w:val="none"/>
                <w:lang w:val="en-US" w:eastAsia="zh-CN"/>
              </w:rPr>
              <w:t>分析</w:t>
            </w:r>
          </w:p>
          <w:p w14:paraId="38E6B34B">
            <w:pPr>
              <w:pStyle w:val="14"/>
              <w:widowControl w:val="0"/>
              <w:spacing w:before="0" w:beforeAutospacing="0" w:after="0" w:afterAutospacing="0" w:line="360" w:lineRule="auto"/>
              <w:ind w:firstLine="480" w:firstLineChars="200"/>
              <w:jc w:val="both"/>
              <w:rPr>
                <w:rFonts w:hint="eastAsia"/>
                <w:color w:val="000000"/>
                <w:highlight w:val="none"/>
              </w:rPr>
            </w:pPr>
            <w:r>
              <w:rPr>
                <w:rFonts w:hint="eastAsia"/>
                <w:color w:val="000000"/>
                <w:highlight w:val="none"/>
              </w:rPr>
              <w:t>生态保护红线是指在生态空间范围内具有特殊重要生态功能、必须强制性严格保护的区域。优先将具有重要水源涵养、生物多样性维护、水土保持、防风固沙、海岸防护等功能的生态功能极重要区域，以及生态极敏感脆弱的水土流失、沙漠化、石漠化、海岸侵蚀等区域划入生态保护红线。其他经评估目前虽然不能确定但具有潜在重要生态价值的区域也划入生态保护红线。对自然保护地进行调整优化，评估调整后的自然保护地应划入生态保护红线；自然保护地发生调整的，生态保护红线相应调整。生态保护红线内，自然保护地核心保护区原则上禁止人为活动，其他区域严格禁止开发性、生产性建设活动，在符合现行法律法规前提下，除国家重大战略项目外，仅允许对生态功能不造成破坏的有限人为活动，主要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14:paraId="799BECCB">
            <w:pPr>
              <w:pStyle w:val="14"/>
              <w:widowControl w:val="0"/>
              <w:spacing w:before="0" w:beforeAutospacing="0" w:after="0" w:afterAutospacing="0" w:line="360" w:lineRule="auto"/>
              <w:ind w:firstLine="480" w:firstLineChars="200"/>
              <w:jc w:val="both"/>
              <w:rPr>
                <w:color w:val="000000"/>
                <w:highlight w:val="none"/>
              </w:rPr>
            </w:pPr>
            <w:r>
              <w:rPr>
                <w:rFonts w:hint="eastAsia"/>
                <w:color w:val="000000"/>
                <w:highlight w:val="none"/>
              </w:rPr>
              <w:t>本项目是落实国家能源局部署的新疆油田重点开发工程。因出油点位于生态保护红线内，若进行避让，则无法开展钻探作业，直接影响北疆油气开发进度，阻碍国家能源战略落地。从保障国家能源开发战略实施及工程可行性角度出发，本项目占用生态保护红线具有不可避让性。</w:t>
            </w:r>
          </w:p>
        </w:tc>
      </w:tr>
    </w:tbl>
    <w:p w14:paraId="4EB53D27">
      <w:pPr>
        <w:pStyle w:val="14"/>
        <w:jc w:val="center"/>
        <w:outlineLvl w:val="0"/>
        <w:rPr>
          <w:rFonts w:ascii="Times New Roman" w:hAnsi="Times New Roman"/>
          <w:snapToGrid w:val="0"/>
          <w:color w:val="000000"/>
          <w:sz w:val="30"/>
          <w:szCs w:val="30"/>
          <w:highlight w:val="none"/>
        </w:rPr>
      </w:pPr>
      <w:r>
        <w:rPr>
          <w:rFonts w:ascii="Times New Roman" w:hAnsi="Times New Roman"/>
          <w:b/>
          <w:color w:val="000000"/>
          <w:highlight w:val="none"/>
        </w:rPr>
        <w:br w:type="page"/>
      </w:r>
      <w:r>
        <w:rPr>
          <w:rFonts w:ascii="Times New Roman" w:hAnsi="Times New Roman" w:eastAsia="黑体"/>
          <w:snapToGrid w:val="0"/>
          <w:color w:val="000000"/>
          <w:sz w:val="30"/>
          <w:szCs w:val="30"/>
          <w:highlight w:val="none"/>
        </w:rPr>
        <w:t>二、建设内容</w:t>
      </w:r>
    </w:p>
    <w:tbl>
      <w:tblPr>
        <w:tblStyle w:val="1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352"/>
      </w:tblGrid>
      <w:tr w14:paraId="5BD76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390" w:type="pct"/>
            <w:noWrap w:val="0"/>
            <w:vAlign w:val="center"/>
          </w:tcPr>
          <w:p w14:paraId="4D1238C5">
            <w:pPr>
              <w:rPr>
                <w:color w:val="000000"/>
                <w:kern w:val="0"/>
                <w:highlight w:val="none"/>
              </w:rPr>
            </w:pPr>
            <w:r>
              <w:rPr>
                <w:color w:val="000000"/>
                <w:kern w:val="0"/>
                <w:highlight w:val="none"/>
              </w:rPr>
              <w:t>地理位置</w:t>
            </w:r>
          </w:p>
        </w:tc>
        <w:tc>
          <w:tcPr>
            <w:tcW w:w="4609" w:type="pct"/>
            <w:noWrap w:val="0"/>
            <w:vAlign w:val="center"/>
          </w:tcPr>
          <w:p w14:paraId="52034324">
            <w:pPr>
              <w:widowControl/>
              <w:spacing w:line="360" w:lineRule="auto"/>
              <w:ind w:firstLine="480" w:firstLineChars="200"/>
              <w:jc w:val="both"/>
              <w:rPr>
                <w:color w:val="000000"/>
                <w:kern w:val="0"/>
                <w:highlight w:val="none"/>
              </w:rPr>
            </w:pPr>
            <w:bookmarkStart w:id="5" w:name="_Hlk141469204"/>
            <w:r>
              <w:rPr>
                <w:color w:val="000000"/>
                <w:highlight w:val="none"/>
              </w:rPr>
              <w:t>本项目位于新疆维吾尔自治区</w:t>
            </w:r>
            <w:r>
              <w:rPr>
                <w:rFonts w:hint="eastAsia"/>
                <w:color w:val="000000"/>
                <w:highlight w:val="none"/>
              </w:rPr>
              <w:t>昌吉回族自治州玛纳斯县</w:t>
            </w:r>
            <w:r>
              <w:rPr>
                <w:color w:val="000000"/>
                <w:kern w:val="0"/>
                <w:highlight w:val="none"/>
              </w:rPr>
              <w:t>。本次拟钻</w:t>
            </w:r>
            <w:r>
              <w:rPr>
                <w:rFonts w:hint="eastAsia"/>
                <w:color w:val="000000"/>
                <w:kern w:val="0"/>
                <w:highlight w:val="none"/>
              </w:rPr>
              <w:t>2</w:t>
            </w:r>
            <w:r>
              <w:rPr>
                <w:color w:val="000000"/>
                <w:kern w:val="0"/>
                <w:highlight w:val="none"/>
              </w:rPr>
              <w:t>口</w:t>
            </w:r>
            <w:r>
              <w:rPr>
                <w:rFonts w:hint="eastAsia"/>
                <w:color w:val="000000"/>
                <w:kern w:val="0"/>
                <w:highlight w:val="none"/>
              </w:rPr>
              <w:t>评价</w:t>
            </w:r>
            <w:r>
              <w:rPr>
                <w:color w:val="000000"/>
                <w:kern w:val="0"/>
                <w:highlight w:val="none"/>
              </w:rPr>
              <w:t>井，井型为直井，井口坐标详见表2-1。</w:t>
            </w:r>
            <w:r>
              <w:rPr>
                <w:color w:val="000000"/>
                <w:kern w:val="0"/>
                <w:highlight w:val="none"/>
                <w:lang w:bidi="ar"/>
              </w:rPr>
              <w:t>项目区周边地表</w:t>
            </w:r>
            <w:r>
              <w:rPr>
                <w:color w:val="000000"/>
                <w:kern w:val="0"/>
                <w:highlight w:val="none"/>
              </w:rPr>
              <w:t>为灌木林地。油田道路从附近经过，交通便利。</w:t>
            </w:r>
          </w:p>
          <w:bookmarkEnd w:id="5"/>
          <w:p w14:paraId="3DC22FF4">
            <w:pPr>
              <w:pStyle w:val="19"/>
              <w:spacing w:line="360" w:lineRule="auto"/>
              <w:rPr>
                <w:b/>
                <w:bCs/>
                <w:color w:val="000000"/>
                <w:sz w:val="21"/>
                <w:szCs w:val="21"/>
                <w:highlight w:val="none"/>
              </w:rPr>
            </w:pPr>
            <w:r>
              <w:rPr>
                <w:b/>
                <w:bCs/>
                <w:color w:val="000000"/>
                <w:sz w:val="21"/>
                <w:szCs w:val="21"/>
                <w:highlight w:val="none"/>
              </w:rPr>
              <w:t>表2-1  项目各井口坐标一览表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352"/>
              <w:gridCol w:w="1445"/>
              <w:gridCol w:w="1462"/>
              <w:gridCol w:w="1598"/>
              <w:gridCol w:w="1675"/>
            </w:tblGrid>
            <w:tr w14:paraId="5D23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3" w:type="dxa"/>
                  <w:vMerge w:val="restart"/>
                  <w:noWrap w:val="0"/>
                  <w:vAlign w:val="center"/>
                </w:tcPr>
                <w:p w14:paraId="10168A41">
                  <w:pPr>
                    <w:pStyle w:val="25"/>
                    <w:rPr>
                      <w:b/>
                      <w:bCs/>
                      <w:color w:val="000000"/>
                      <w:highlight w:val="none"/>
                    </w:rPr>
                  </w:pPr>
                  <w:r>
                    <w:rPr>
                      <w:b/>
                      <w:bCs/>
                      <w:color w:val="000000"/>
                      <w:highlight w:val="none"/>
                    </w:rPr>
                    <w:t>序号</w:t>
                  </w:r>
                </w:p>
              </w:tc>
              <w:tc>
                <w:tcPr>
                  <w:tcW w:w="1388" w:type="dxa"/>
                  <w:vMerge w:val="restart"/>
                  <w:noWrap w:val="0"/>
                  <w:vAlign w:val="center"/>
                </w:tcPr>
                <w:p w14:paraId="1E5D3115">
                  <w:pPr>
                    <w:pStyle w:val="25"/>
                    <w:rPr>
                      <w:b/>
                      <w:bCs/>
                      <w:color w:val="000000"/>
                      <w:highlight w:val="none"/>
                    </w:rPr>
                  </w:pPr>
                  <w:r>
                    <w:rPr>
                      <w:b/>
                      <w:bCs/>
                      <w:color w:val="000000"/>
                      <w:highlight w:val="none"/>
                    </w:rPr>
                    <w:t>井号</w:t>
                  </w:r>
                </w:p>
              </w:tc>
              <w:tc>
                <w:tcPr>
                  <w:tcW w:w="6390" w:type="dxa"/>
                  <w:gridSpan w:val="4"/>
                  <w:noWrap w:val="0"/>
                  <w:vAlign w:val="center"/>
                </w:tcPr>
                <w:p w14:paraId="6C70CC29">
                  <w:pPr>
                    <w:pStyle w:val="25"/>
                    <w:rPr>
                      <w:b/>
                      <w:bCs/>
                      <w:color w:val="000000"/>
                      <w:highlight w:val="none"/>
                    </w:rPr>
                  </w:pPr>
                  <w:r>
                    <w:rPr>
                      <w:b/>
                      <w:bCs/>
                      <w:color w:val="000000"/>
                      <w:highlight w:val="none"/>
                    </w:rPr>
                    <w:t>坐标</w:t>
                  </w:r>
                </w:p>
              </w:tc>
            </w:tr>
            <w:tr w14:paraId="7807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3" w:type="dxa"/>
                  <w:vMerge w:val="continue"/>
                  <w:noWrap w:val="0"/>
                  <w:vAlign w:val="center"/>
                </w:tcPr>
                <w:p w14:paraId="061CDE1D">
                  <w:pPr>
                    <w:pStyle w:val="25"/>
                    <w:rPr>
                      <w:b/>
                      <w:bCs/>
                      <w:color w:val="000000"/>
                      <w:highlight w:val="none"/>
                    </w:rPr>
                  </w:pPr>
                </w:p>
              </w:tc>
              <w:tc>
                <w:tcPr>
                  <w:tcW w:w="1388" w:type="dxa"/>
                  <w:vMerge w:val="continue"/>
                  <w:noWrap w:val="0"/>
                  <w:vAlign w:val="center"/>
                </w:tcPr>
                <w:p w14:paraId="73894785">
                  <w:pPr>
                    <w:pStyle w:val="25"/>
                    <w:rPr>
                      <w:b/>
                      <w:bCs/>
                      <w:color w:val="000000"/>
                      <w:highlight w:val="none"/>
                    </w:rPr>
                  </w:pPr>
                </w:p>
              </w:tc>
              <w:tc>
                <w:tcPr>
                  <w:tcW w:w="1492" w:type="dxa"/>
                  <w:noWrap w:val="0"/>
                  <w:vAlign w:val="center"/>
                </w:tcPr>
                <w:p w14:paraId="407E966C">
                  <w:pPr>
                    <w:widowControl/>
                    <w:rPr>
                      <w:b/>
                      <w:bCs/>
                      <w:color w:val="000000"/>
                      <w:highlight w:val="none"/>
                    </w:rPr>
                  </w:pPr>
                  <w:r>
                    <w:rPr>
                      <w:b/>
                      <w:bCs/>
                      <w:color w:val="000000"/>
                      <w:sz w:val="21"/>
                      <w:szCs w:val="21"/>
                      <w:highlight w:val="none"/>
                    </w:rPr>
                    <w:t>X</w:t>
                  </w:r>
                </w:p>
              </w:tc>
              <w:tc>
                <w:tcPr>
                  <w:tcW w:w="1510" w:type="dxa"/>
                  <w:noWrap w:val="0"/>
                  <w:vAlign w:val="center"/>
                </w:tcPr>
                <w:p w14:paraId="5014CAB6">
                  <w:pPr>
                    <w:pStyle w:val="25"/>
                    <w:rPr>
                      <w:b/>
                      <w:bCs/>
                      <w:color w:val="000000"/>
                      <w:highlight w:val="none"/>
                    </w:rPr>
                  </w:pPr>
                  <w:r>
                    <w:rPr>
                      <w:b/>
                      <w:bCs/>
                      <w:color w:val="000000"/>
                      <w:highlight w:val="none"/>
                    </w:rPr>
                    <w:t>Y</w:t>
                  </w:r>
                </w:p>
              </w:tc>
              <w:tc>
                <w:tcPr>
                  <w:tcW w:w="1653" w:type="dxa"/>
                  <w:noWrap w:val="0"/>
                  <w:vAlign w:val="center"/>
                </w:tcPr>
                <w:p w14:paraId="5958D206">
                  <w:pPr>
                    <w:pStyle w:val="25"/>
                    <w:rPr>
                      <w:b/>
                      <w:bCs/>
                      <w:color w:val="000000"/>
                      <w:highlight w:val="none"/>
                    </w:rPr>
                  </w:pPr>
                  <w:r>
                    <w:rPr>
                      <w:b/>
                      <w:bCs/>
                      <w:color w:val="000000"/>
                      <w:highlight w:val="none"/>
                    </w:rPr>
                    <w:t>东经</w:t>
                  </w:r>
                </w:p>
              </w:tc>
              <w:tc>
                <w:tcPr>
                  <w:tcW w:w="1735" w:type="dxa"/>
                  <w:noWrap w:val="0"/>
                  <w:vAlign w:val="center"/>
                </w:tcPr>
                <w:p w14:paraId="513D45E5">
                  <w:pPr>
                    <w:pStyle w:val="25"/>
                    <w:rPr>
                      <w:b/>
                      <w:bCs/>
                      <w:color w:val="000000"/>
                      <w:highlight w:val="none"/>
                    </w:rPr>
                  </w:pPr>
                  <w:r>
                    <w:rPr>
                      <w:b/>
                      <w:bCs/>
                      <w:color w:val="000000"/>
                      <w:highlight w:val="none"/>
                    </w:rPr>
                    <w:t>北纬</w:t>
                  </w:r>
                </w:p>
              </w:tc>
            </w:tr>
            <w:tr w14:paraId="17C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3" w:type="dxa"/>
                  <w:noWrap w:val="0"/>
                  <w:vAlign w:val="center"/>
                </w:tcPr>
                <w:p w14:paraId="6057D570">
                  <w:pPr>
                    <w:pStyle w:val="25"/>
                    <w:rPr>
                      <w:color w:val="000000"/>
                      <w:highlight w:val="none"/>
                    </w:rPr>
                  </w:pPr>
                  <w:r>
                    <w:rPr>
                      <w:color w:val="000000"/>
                      <w:highlight w:val="none"/>
                    </w:rPr>
                    <w:t>1</w:t>
                  </w:r>
                </w:p>
              </w:tc>
              <w:tc>
                <w:tcPr>
                  <w:tcW w:w="1388" w:type="dxa"/>
                  <w:noWrap w:val="0"/>
                  <w:vAlign w:val="center"/>
                </w:tcPr>
                <w:p w14:paraId="7EFFB512">
                  <w:pPr>
                    <w:widowControl/>
                    <w:textAlignment w:val="center"/>
                    <w:rPr>
                      <w:rFonts w:hint="eastAsia"/>
                      <w:color w:val="000000"/>
                      <w:sz w:val="21"/>
                      <w:szCs w:val="21"/>
                      <w:highlight w:val="none"/>
                    </w:rPr>
                  </w:pPr>
                  <w:r>
                    <w:rPr>
                      <w:rFonts w:hint="eastAsia"/>
                      <w:color w:val="000000"/>
                      <w:sz w:val="21"/>
                      <w:szCs w:val="21"/>
                      <w:highlight w:val="none"/>
                    </w:rPr>
                    <w:t>莫173</w:t>
                  </w:r>
                  <w:r>
                    <w:rPr>
                      <w:color w:val="000000"/>
                      <w:sz w:val="21"/>
                      <w:szCs w:val="21"/>
                      <w:highlight w:val="none"/>
                    </w:rPr>
                    <w:t>井</w:t>
                  </w:r>
                </w:p>
              </w:tc>
              <w:tc>
                <w:tcPr>
                  <w:tcW w:w="1492" w:type="dxa"/>
                  <w:noWrap w:val="0"/>
                  <w:vAlign w:val="center"/>
                </w:tcPr>
                <w:p w14:paraId="2B72057E">
                  <w:pPr>
                    <w:textAlignment w:val="center"/>
                    <w:rPr>
                      <w:rFonts w:hint="eastAsia"/>
                      <w:color w:val="000000"/>
                      <w:sz w:val="21"/>
                      <w:szCs w:val="21"/>
                      <w:highlight w:val="none"/>
                    </w:rPr>
                  </w:pPr>
                  <w:r>
                    <w:rPr>
                      <w:rFonts w:hint="eastAsia"/>
                      <w:color w:val="000000"/>
                      <w:highlight w:val="none"/>
                      <w:lang w:val="en-US" w:eastAsia="zh-CN"/>
                    </w:rPr>
                    <w:t>***</w:t>
                  </w:r>
                </w:p>
              </w:tc>
              <w:tc>
                <w:tcPr>
                  <w:tcW w:w="1510" w:type="dxa"/>
                  <w:noWrap w:val="0"/>
                  <w:vAlign w:val="center"/>
                </w:tcPr>
                <w:p w14:paraId="709CDB58">
                  <w:pPr>
                    <w:textAlignment w:val="center"/>
                    <w:rPr>
                      <w:rFonts w:hint="eastAsia"/>
                      <w:color w:val="000000"/>
                      <w:sz w:val="21"/>
                      <w:szCs w:val="21"/>
                      <w:highlight w:val="none"/>
                    </w:rPr>
                  </w:pPr>
                  <w:r>
                    <w:rPr>
                      <w:rFonts w:hint="eastAsia"/>
                      <w:color w:val="000000"/>
                      <w:highlight w:val="none"/>
                      <w:lang w:val="en-US" w:eastAsia="zh-CN"/>
                    </w:rPr>
                    <w:t>***</w:t>
                  </w:r>
                </w:p>
              </w:tc>
              <w:tc>
                <w:tcPr>
                  <w:tcW w:w="1653" w:type="dxa"/>
                  <w:noWrap w:val="0"/>
                  <w:vAlign w:val="center"/>
                </w:tcPr>
                <w:p w14:paraId="0269F98A">
                  <w:pPr>
                    <w:widowControl/>
                    <w:textAlignment w:val="center"/>
                    <w:rPr>
                      <w:color w:val="000000"/>
                      <w:sz w:val="21"/>
                      <w:szCs w:val="21"/>
                      <w:highlight w:val="none"/>
                    </w:rPr>
                  </w:pPr>
                  <w:r>
                    <w:rPr>
                      <w:rFonts w:hint="eastAsia"/>
                      <w:color w:val="000000"/>
                      <w:highlight w:val="none"/>
                      <w:lang w:val="en-US" w:eastAsia="zh-CN"/>
                    </w:rPr>
                    <w:t>***</w:t>
                  </w:r>
                </w:p>
              </w:tc>
              <w:tc>
                <w:tcPr>
                  <w:tcW w:w="1735" w:type="dxa"/>
                  <w:noWrap w:val="0"/>
                  <w:vAlign w:val="center"/>
                </w:tcPr>
                <w:p w14:paraId="75DF6847">
                  <w:pPr>
                    <w:widowControl/>
                    <w:textAlignment w:val="center"/>
                    <w:rPr>
                      <w:color w:val="000000"/>
                      <w:sz w:val="21"/>
                      <w:szCs w:val="21"/>
                      <w:highlight w:val="none"/>
                    </w:rPr>
                  </w:pPr>
                  <w:r>
                    <w:rPr>
                      <w:rFonts w:hint="eastAsia"/>
                      <w:color w:val="000000"/>
                      <w:highlight w:val="none"/>
                      <w:lang w:val="en-US" w:eastAsia="zh-CN"/>
                    </w:rPr>
                    <w:t>***</w:t>
                  </w:r>
                </w:p>
              </w:tc>
            </w:tr>
            <w:tr w14:paraId="0617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3" w:type="dxa"/>
                  <w:noWrap w:val="0"/>
                  <w:vAlign w:val="center"/>
                </w:tcPr>
                <w:p w14:paraId="27EEF34E">
                  <w:pPr>
                    <w:pStyle w:val="25"/>
                    <w:rPr>
                      <w:rFonts w:hint="eastAsia"/>
                      <w:color w:val="000000"/>
                      <w:highlight w:val="none"/>
                    </w:rPr>
                  </w:pPr>
                  <w:r>
                    <w:rPr>
                      <w:rFonts w:hint="eastAsia"/>
                      <w:color w:val="000000"/>
                      <w:highlight w:val="none"/>
                    </w:rPr>
                    <w:t>2</w:t>
                  </w:r>
                </w:p>
              </w:tc>
              <w:tc>
                <w:tcPr>
                  <w:tcW w:w="1388" w:type="dxa"/>
                  <w:noWrap w:val="0"/>
                  <w:vAlign w:val="center"/>
                </w:tcPr>
                <w:p w14:paraId="36506C2F">
                  <w:pPr>
                    <w:widowControl/>
                    <w:textAlignment w:val="center"/>
                    <w:rPr>
                      <w:color w:val="000000"/>
                      <w:sz w:val="21"/>
                      <w:szCs w:val="21"/>
                      <w:highlight w:val="none"/>
                    </w:rPr>
                  </w:pPr>
                  <w:r>
                    <w:rPr>
                      <w:rFonts w:hint="eastAsia"/>
                      <w:color w:val="000000"/>
                      <w:sz w:val="21"/>
                      <w:szCs w:val="21"/>
                      <w:highlight w:val="none"/>
                    </w:rPr>
                    <w:t>莫174H井</w:t>
                  </w:r>
                </w:p>
              </w:tc>
              <w:tc>
                <w:tcPr>
                  <w:tcW w:w="1492" w:type="dxa"/>
                  <w:noWrap w:val="0"/>
                  <w:vAlign w:val="center"/>
                </w:tcPr>
                <w:p w14:paraId="41E4C047">
                  <w:pPr>
                    <w:textAlignment w:val="center"/>
                    <w:rPr>
                      <w:rFonts w:hint="eastAsia"/>
                      <w:color w:val="000000"/>
                      <w:sz w:val="21"/>
                      <w:szCs w:val="21"/>
                      <w:highlight w:val="none"/>
                    </w:rPr>
                  </w:pPr>
                  <w:r>
                    <w:rPr>
                      <w:rFonts w:hint="eastAsia"/>
                      <w:color w:val="000000"/>
                      <w:highlight w:val="none"/>
                      <w:lang w:val="en-US" w:eastAsia="zh-CN"/>
                    </w:rPr>
                    <w:t>***</w:t>
                  </w:r>
                </w:p>
              </w:tc>
              <w:tc>
                <w:tcPr>
                  <w:tcW w:w="1510" w:type="dxa"/>
                  <w:noWrap w:val="0"/>
                  <w:vAlign w:val="center"/>
                </w:tcPr>
                <w:p w14:paraId="05100998">
                  <w:pPr>
                    <w:textAlignment w:val="center"/>
                    <w:rPr>
                      <w:color w:val="000000"/>
                      <w:sz w:val="21"/>
                      <w:szCs w:val="21"/>
                      <w:highlight w:val="none"/>
                    </w:rPr>
                  </w:pPr>
                  <w:r>
                    <w:rPr>
                      <w:rFonts w:hint="eastAsia"/>
                      <w:color w:val="000000"/>
                      <w:highlight w:val="none"/>
                      <w:lang w:val="en-US" w:eastAsia="zh-CN"/>
                    </w:rPr>
                    <w:t>***</w:t>
                  </w:r>
                </w:p>
              </w:tc>
              <w:tc>
                <w:tcPr>
                  <w:tcW w:w="1653" w:type="dxa"/>
                  <w:noWrap w:val="0"/>
                  <w:vAlign w:val="center"/>
                </w:tcPr>
                <w:p w14:paraId="05ADAB4C">
                  <w:pPr>
                    <w:widowControl/>
                    <w:textAlignment w:val="center"/>
                    <w:rPr>
                      <w:color w:val="000000"/>
                      <w:sz w:val="21"/>
                      <w:szCs w:val="21"/>
                      <w:highlight w:val="none"/>
                    </w:rPr>
                  </w:pPr>
                  <w:r>
                    <w:rPr>
                      <w:rFonts w:hint="eastAsia"/>
                      <w:color w:val="000000"/>
                      <w:highlight w:val="none"/>
                      <w:lang w:val="en-US" w:eastAsia="zh-CN"/>
                    </w:rPr>
                    <w:t>***</w:t>
                  </w:r>
                </w:p>
              </w:tc>
              <w:tc>
                <w:tcPr>
                  <w:tcW w:w="1735" w:type="dxa"/>
                  <w:noWrap w:val="0"/>
                  <w:vAlign w:val="center"/>
                </w:tcPr>
                <w:p w14:paraId="7FC2B545">
                  <w:pPr>
                    <w:widowControl/>
                    <w:textAlignment w:val="center"/>
                    <w:rPr>
                      <w:color w:val="000000"/>
                      <w:sz w:val="21"/>
                      <w:szCs w:val="21"/>
                      <w:highlight w:val="none"/>
                    </w:rPr>
                  </w:pPr>
                  <w:r>
                    <w:rPr>
                      <w:rFonts w:hint="eastAsia"/>
                      <w:color w:val="000000"/>
                      <w:highlight w:val="none"/>
                      <w:lang w:val="en-US" w:eastAsia="zh-CN"/>
                    </w:rPr>
                    <w:t>***</w:t>
                  </w:r>
                </w:p>
              </w:tc>
            </w:tr>
          </w:tbl>
          <w:p w14:paraId="025606FA">
            <w:pPr>
              <w:jc w:val="both"/>
              <w:rPr>
                <w:color w:val="000000"/>
                <w:kern w:val="0"/>
                <w:highlight w:val="none"/>
              </w:rPr>
            </w:pPr>
          </w:p>
        </w:tc>
      </w:tr>
      <w:tr w14:paraId="51DFC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390" w:type="pct"/>
            <w:noWrap w:val="0"/>
            <w:vAlign w:val="center"/>
          </w:tcPr>
          <w:p w14:paraId="23229820">
            <w:pPr>
              <w:rPr>
                <w:color w:val="000000"/>
                <w:kern w:val="0"/>
                <w:highlight w:val="none"/>
              </w:rPr>
            </w:pPr>
            <w:r>
              <w:rPr>
                <w:color w:val="000000"/>
                <w:kern w:val="0"/>
                <w:highlight w:val="none"/>
              </w:rPr>
              <w:t>项目组成及规模</w:t>
            </w:r>
          </w:p>
        </w:tc>
        <w:tc>
          <w:tcPr>
            <w:tcW w:w="4609" w:type="pct"/>
            <w:noWrap w:val="0"/>
            <w:vAlign w:val="center"/>
          </w:tcPr>
          <w:p w14:paraId="31AC9B97">
            <w:pPr>
              <w:keepNext/>
              <w:keepLines/>
              <w:spacing w:line="360" w:lineRule="auto"/>
              <w:jc w:val="left"/>
              <w:outlineLvl w:val="1"/>
              <w:rPr>
                <w:b/>
                <w:bCs/>
                <w:color w:val="000000"/>
                <w:sz w:val="28"/>
                <w:szCs w:val="28"/>
                <w:highlight w:val="none"/>
              </w:rPr>
            </w:pPr>
            <w:r>
              <w:rPr>
                <w:b/>
                <w:bCs/>
                <w:color w:val="000000"/>
                <w:sz w:val="28"/>
                <w:szCs w:val="28"/>
                <w:highlight w:val="none"/>
              </w:rPr>
              <w:t>1 建设内容及规模</w:t>
            </w:r>
          </w:p>
          <w:p w14:paraId="4758F554">
            <w:pPr>
              <w:spacing w:line="360" w:lineRule="auto"/>
              <w:ind w:firstLine="480" w:firstLineChars="200"/>
              <w:jc w:val="left"/>
              <w:rPr>
                <w:color w:val="000000"/>
                <w:highlight w:val="none"/>
              </w:rPr>
            </w:pPr>
            <w:r>
              <w:rPr>
                <w:color w:val="000000"/>
                <w:highlight w:val="none"/>
              </w:rPr>
              <w:t>本工程建设内容为新钻2口评价井，钻井总进尺</w:t>
            </w:r>
            <w:r>
              <w:rPr>
                <w:color w:val="000000"/>
                <w:kern w:val="0"/>
                <w:highlight w:val="none"/>
                <w:lang w:bidi="ar"/>
              </w:rPr>
              <w:t>8792</w:t>
            </w:r>
            <w:r>
              <w:rPr>
                <w:color w:val="000000"/>
                <w:highlight w:val="none"/>
              </w:rPr>
              <w:t>m。完井后进行试油，获取有关技术参数。本项目临时占地113337m</w:t>
            </w:r>
            <w:r>
              <w:rPr>
                <w:color w:val="000000"/>
                <w:highlight w:val="none"/>
                <w:vertAlign w:val="superscript"/>
              </w:rPr>
              <w:t>2</w:t>
            </w:r>
            <w:r>
              <w:rPr>
                <w:color w:val="000000"/>
                <w:highlight w:val="none"/>
              </w:rPr>
              <w:t>。工程组成详见表2-2。</w:t>
            </w:r>
          </w:p>
          <w:p w14:paraId="021D9640">
            <w:pPr>
              <w:overflowPunct w:val="0"/>
              <w:rPr>
                <w:b/>
                <w:color w:val="000000"/>
                <w:sz w:val="21"/>
                <w:szCs w:val="21"/>
                <w:highlight w:val="none"/>
              </w:rPr>
            </w:pPr>
            <w:r>
              <w:rPr>
                <w:b/>
                <w:color w:val="000000"/>
                <w:sz w:val="21"/>
                <w:szCs w:val="21"/>
                <w:highlight w:val="none"/>
              </w:rPr>
              <w:t>表2-2  项目建设内容一览表</w:t>
            </w:r>
          </w:p>
          <w:tbl>
            <w:tblPr>
              <w:tblStyle w:val="16"/>
              <w:tblW w:w="49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7"/>
              <w:gridCol w:w="441"/>
              <w:gridCol w:w="1478"/>
              <w:gridCol w:w="5374"/>
            </w:tblGrid>
            <w:tr w14:paraId="3CB17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noWrap w:val="0"/>
                  <w:vAlign w:val="center"/>
                </w:tcPr>
                <w:p w14:paraId="71ED4A37">
                  <w:pPr>
                    <w:pStyle w:val="25"/>
                    <w:jc w:val="left"/>
                    <w:rPr>
                      <w:color w:val="000000"/>
                      <w:highlight w:val="none"/>
                    </w:rPr>
                  </w:pPr>
                  <w:r>
                    <w:rPr>
                      <w:color w:val="000000"/>
                      <w:highlight w:val="none"/>
                    </w:rPr>
                    <w:t>名称</w:t>
                  </w:r>
                </w:p>
              </w:tc>
              <w:tc>
                <w:tcPr>
                  <w:tcW w:w="1184" w:type="pct"/>
                  <w:gridSpan w:val="2"/>
                  <w:noWrap w:val="0"/>
                  <w:vAlign w:val="center"/>
                </w:tcPr>
                <w:p w14:paraId="6BA3391F">
                  <w:pPr>
                    <w:pStyle w:val="25"/>
                    <w:jc w:val="left"/>
                    <w:rPr>
                      <w:color w:val="000000"/>
                      <w:highlight w:val="none"/>
                    </w:rPr>
                  </w:pPr>
                  <w:r>
                    <w:rPr>
                      <w:color w:val="000000"/>
                      <w:highlight w:val="none"/>
                    </w:rPr>
                    <w:t>建设内容</w:t>
                  </w:r>
                </w:p>
              </w:tc>
              <w:tc>
                <w:tcPr>
                  <w:tcW w:w="3316" w:type="pct"/>
                  <w:noWrap w:val="0"/>
                  <w:vAlign w:val="center"/>
                </w:tcPr>
                <w:p w14:paraId="0C8E169A">
                  <w:pPr>
                    <w:pStyle w:val="25"/>
                    <w:jc w:val="left"/>
                    <w:rPr>
                      <w:color w:val="000000"/>
                      <w:highlight w:val="none"/>
                    </w:rPr>
                  </w:pPr>
                  <w:r>
                    <w:rPr>
                      <w:color w:val="000000"/>
                      <w:highlight w:val="none"/>
                    </w:rPr>
                    <w:t>建设规模及建设内容</w:t>
                  </w:r>
                </w:p>
              </w:tc>
            </w:tr>
            <w:tr w14:paraId="72EF6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498" w:type="pct"/>
                  <w:vMerge w:val="restart"/>
                  <w:noWrap w:val="0"/>
                  <w:vAlign w:val="center"/>
                </w:tcPr>
                <w:p w14:paraId="439AEEA2">
                  <w:pPr>
                    <w:pStyle w:val="25"/>
                    <w:jc w:val="left"/>
                    <w:rPr>
                      <w:color w:val="000000"/>
                      <w:highlight w:val="none"/>
                    </w:rPr>
                  </w:pPr>
                  <w:r>
                    <w:rPr>
                      <w:color w:val="000000"/>
                      <w:highlight w:val="none"/>
                    </w:rPr>
                    <w:t>主体</w:t>
                  </w:r>
                </w:p>
                <w:p w14:paraId="5EB3C1FE">
                  <w:pPr>
                    <w:pStyle w:val="25"/>
                    <w:jc w:val="left"/>
                    <w:rPr>
                      <w:color w:val="000000"/>
                      <w:highlight w:val="none"/>
                    </w:rPr>
                  </w:pPr>
                  <w:r>
                    <w:rPr>
                      <w:color w:val="000000"/>
                      <w:highlight w:val="none"/>
                    </w:rPr>
                    <w:t>工程</w:t>
                  </w:r>
                </w:p>
              </w:tc>
              <w:tc>
                <w:tcPr>
                  <w:tcW w:w="1184" w:type="pct"/>
                  <w:gridSpan w:val="2"/>
                  <w:noWrap w:val="0"/>
                  <w:vAlign w:val="center"/>
                </w:tcPr>
                <w:p w14:paraId="39DA6CAE">
                  <w:pPr>
                    <w:pStyle w:val="25"/>
                    <w:jc w:val="left"/>
                    <w:rPr>
                      <w:color w:val="000000"/>
                      <w:highlight w:val="none"/>
                    </w:rPr>
                  </w:pPr>
                  <w:r>
                    <w:rPr>
                      <w:color w:val="000000"/>
                      <w:highlight w:val="none"/>
                    </w:rPr>
                    <w:t>钻前工程</w:t>
                  </w:r>
                </w:p>
              </w:tc>
              <w:tc>
                <w:tcPr>
                  <w:tcW w:w="3316" w:type="pct"/>
                  <w:tcBorders>
                    <w:bottom w:val="single" w:color="auto" w:sz="4" w:space="0"/>
                  </w:tcBorders>
                  <w:noWrap w:val="0"/>
                  <w:vAlign w:val="center"/>
                </w:tcPr>
                <w:p w14:paraId="198EB588">
                  <w:pPr>
                    <w:pStyle w:val="25"/>
                    <w:jc w:val="left"/>
                    <w:rPr>
                      <w:color w:val="000000"/>
                      <w:highlight w:val="none"/>
                    </w:rPr>
                  </w:pPr>
                  <w:r>
                    <w:rPr>
                      <w:color w:val="000000"/>
                      <w:highlight w:val="none"/>
                      <w:lang w:bidi="ar"/>
                    </w:rPr>
                    <w:t>钻井前准备工作，包括进场道路建设、井场平整、设备基础修建等</w:t>
                  </w:r>
                </w:p>
              </w:tc>
            </w:tr>
            <w:tr w14:paraId="0A5D4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498" w:type="pct"/>
                  <w:vMerge w:val="continue"/>
                  <w:noWrap w:val="0"/>
                  <w:vAlign w:val="center"/>
                </w:tcPr>
                <w:p w14:paraId="250B8767">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57407759">
                  <w:pPr>
                    <w:pStyle w:val="25"/>
                    <w:jc w:val="left"/>
                    <w:rPr>
                      <w:color w:val="000000"/>
                      <w:highlight w:val="none"/>
                    </w:rPr>
                  </w:pPr>
                  <w:r>
                    <w:rPr>
                      <w:color w:val="000000"/>
                      <w:highlight w:val="none"/>
                    </w:rPr>
                    <w:t>钻井工程</w:t>
                  </w:r>
                </w:p>
              </w:tc>
              <w:tc>
                <w:tcPr>
                  <w:tcW w:w="3316" w:type="pct"/>
                  <w:tcBorders>
                    <w:top w:val="single" w:color="auto" w:sz="4" w:space="0"/>
                    <w:bottom w:val="single" w:color="auto" w:sz="4" w:space="0"/>
                  </w:tcBorders>
                  <w:noWrap w:val="0"/>
                  <w:vAlign w:val="center"/>
                </w:tcPr>
                <w:p w14:paraId="2DBE9655">
                  <w:pPr>
                    <w:pStyle w:val="25"/>
                    <w:jc w:val="left"/>
                    <w:rPr>
                      <w:color w:val="000000"/>
                      <w:highlight w:val="none"/>
                    </w:rPr>
                  </w:pPr>
                  <w:r>
                    <w:rPr>
                      <w:color w:val="000000"/>
                      <w:highlight w:val="none"/>
                    </w:rPr>
                    <w:t>新钻评价井2口，井型为直井，钻井总进尺</w:t>
                  </w:r>
                  <w:r>
                    <w:rPr>
                      <w:color w:val="000000"/>
                      <w:highlight w:val="none"/>
                      <w:lang w:bidi="ar"/>
                    </w:rPr>
                    <w:t>8792</w:t>
                  </w:r>
                  <w:r>
                    <w:rPr>
                      <w:color w:val="000000"/>
                      <w:highlight w:val="none"/>
                    </w:rPr>
                    <w:t>m，莫174H井钻井周期为60天，莫173井钻井周期为65天。施工人数35人</w:t>
                  </w:r>
                </w:p>
              </w:tc>
            </w:tr>
            <w:tr w14:paraId="0F33E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498" w:type="pct"/>
                  <w:vMerge w:val="continue"/>
                  <w:noWrap w:val="0"/>
                  <w:vAlign w:val="center"/>
                </w:tcPr>
                <w:p w14:paraId="05084CE6">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5C06401D">
                  <w:pPr>
                    <w:pStyle w:val="25"/>
                    <w:jc w:val="left"/>
                    <w:rPr>
                      <w:color w:val="000000"/>
                      <w:highlight w:val="none"/>
                    </w:rPr>
                  </w:pPr>
                  <w:r>
                    <w:rPr>
                      <w:color w:val="000000"/>
                      <w:highlight w:val="none"/>
                    </w:rPr>
                    <w:t>试油工程</w:t>
                  </w:r>
                </w:p>
              </w:tc>
              <w:tc>
                <w:tcPr>
                  <w:tcW w:w="3316" w:type="pct"/>
                  <w:tcBorders>
                    <w:top w:val="single" w:color="auto" w:sz="4" w:space="0"/>
                    <w:bottom w:val="single" w:color="auto" w:sz="4" w:space="0"/>
                  </w:tcBorders>
                  <w:noWrap w:val="0"/>
                  <w:vAlign w:val="center"/>
                </w:tcPr>
                <w:p w14:paraId="7DD2CE2C">
                  <w:pPr>
                    <w:pStyle w:val="25"/>
                    <w:jc w:val="left"/>
                    <w:rPr>
                      <w:color w:val="000000"/>
                      <w:highlight w:val="none"/>
                    </w:rPr>
                  </w:pPr>
                  <w:r>
                    <w:rPr>
                      <w:color w:val="000000"/>
                      <w:highlight w:val="none"/>
                    </w:rPr>
                    <w:t>对完钻井进行通井、洗井、试压、射孔、诱喷、求产等工序，并配套洗井液注入泵等试油设备。单井试油期180天，试油作业人数2人</w:t>
                  </w:r>
                </w:p>
              </w:tc>
            </w:tr>
            <w:tr w14:paraId="0952F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498" w:type="pct"/>
                  <w:vMerge w:val="continue"/>
                  <w:noWrap w:val="0"/>
                  <w:vAlign w:val="center"/>
                </w:tcPr>
                <w:p w14:paraId="2D21656B">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283055C3">
                  <w:pPr>
                    <w:pStyle w:val="25"/>
                    <w:jc w:val="left"/>
                    <w:rPr>
                      <w:color w:val="000000"/>
                      <w:highlight w:val="none"/>
                    </w:rPr>
                  </w:pPr>
                  <w:r>
                    <w:rPr>
                      <w:color w:val="000000"/>
                      <w:highlight w:val="none"/>
                    </w:rPr>
                    <w:t>完井</w:t>
                  </w:r>
                </w:p>
              </w:tc>
              <w:tc>
                <w:tcPr>
                  <w:tcW w:w="3316" w:type="pct"/>
                  <w:tcBorders>
                    <w:top w:val="single" w:color="auto" w:sz="4" w:space="0"/>
                    <w:bottom w:val="single" w:color="auto" w:sz="4" w:space="0"/>
                  </w:tcBorders>
                  <w:noWrap w:val="0"/>
                  <w:vAlign w:val="center"/>
                </w:tcPr>
                <w:p w14:paraId="77EB4BA0">
                  <w:pPr>
                    <w:pStyle w:val="25"/>
                    <w:jc w:val="left"/>
                    <w:rPr>
                      <w:color w:val="000000"/>
                      <w:highlight w:val="none"/>
                    </w:rPr>
                  </w:pPr>
                  <w:r>
                    <w:rPr>
                      <w:color w:val="000000"/>
                      <w:highlight w:val="none"/>
                    </w:rPr>
                    <w:t>根据试油结果进行关井或封井作业，最后撤去所有生产设施，清理、平整井场</w:t>
                  </w:r>
                </w:p>
              </w:tc>
            </w:tr>
            <w:tr w14:paraId="5498C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restart"/>
                  <w:noWrap w:val="0"/>
                  <w:vAlign w:val="center"/>
                </w:tcPr>
                <w:p w14:paraId="7D42AD62">
                  <w:pPr>
                    <w:pStyle w:val="25"/>
                    <w:jc w:val="left"/>
                    <w:rPr>
                      <w:color w:val="000000"/>
                      <w:highlight w:val="none"/>
                    </w:rPr>
                  </w:pPr>
                  <w:r>
                    <w:rPr>
                      <w:color w:val="000000"/>
                      <w:highlight w:val="none"/>
                    </w:rPr>
                    <w:t>辅助</w:t>
                  </w:r>
                </w:p>
                <w:p w14:paraId="094984F2">
                  <w:pPr>
                    <w:pStyle w:val="25"/>
                    <w:jc w:val="left"/>
                    <w:rPr>
                      <w:color w:val="000000"/>
                      <w:highlight w:val="none"/>
                    </w:rPr>
                  </w:pPr>
                  <w:r>
                    <w:rPr>
                      <w:color w:val="000000"/>
                      <w:highlight w:val="none"/>
                    </w:rPr>
                    <w:t>工程</w:t>
                  </w:r>
                </w:p>
              </w:tc>
              <w:tc>
                <w:tcPr>
                  <w:tcW w:w="1184" w:type="pct"/>
                  <w:gridSpan w:val="2"/>
                  <w:noWrap w:val="0"/>
                  <w:vAlign w:val="center"/>
                </w:tcPr>
                <w:p w14:paraId="14EC87B0">
                  <w:pPr>
                    <w:pStyle w:val="25"/>
                    <w:jc w:val="left"/>
                    <w:rPr>
                      <w:color w:val="000000"/>
                      <w:highlight w:val="none"/>
                    </w:rPr>
                  </w:pPr>
                  <w:r>
                    <w:rPr>
                      <w:color w:val="000000"/>
                      <w:highlight w:val="none"/>
                    </w:rPr>
                    <w:t>井口基础</w:t>
                  </w:r>
                </w:p>
              </w:tc>
              <w:tc>
                <w:tcPr>
                  <w:tcW w:w="3316" w:type="pct"/>
                  <w:noWrap w:val="0"/>
                  <w:vAlign w:val="center"/>
                </w:tcPr>
                <w:p w14:paraId="12AFDA40">
                  <w:pPr>
                    <w:pStyle w:val="25"/>
                    <w:jc w:val="left"/>
                    <w:rPr>
                      <w:color w:val="000000"/>
                      <w:highlight w:val="none"/>
                    </w:rPr>
                  </w:pPr>
                  <w:r>
                    <w:rPr>
                      <w:color w:val="000000"/>
                      <w:highlight w:val="none"/>
                    </w:rPr>
                    <w:t>加固井口，方便其他配套设施安装</w:t>
                  </w:r>
                </w:p>
              </w:tc>
            </w:tr>
            <w:tr w14:paraId="21416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498" w:type="pct"/>
                  <w:vMerge w:val="continue"/>
                  <w:tcBorders>
                    <w:bottom w:val="single" w:color="auto" w:sz="4" w:space="0"/>
                  </w:tcBorders>
                  <w:noWrap w:val="0"/>
                  <w:vAlign w:val="center"/>
                </w:tcPr>
                <w:p w14:paraId="1F3258F3">
                  <w:pPr>
                    <w:pStyle w:val="25"/>
                    <w:jc w:val="left"/>
                    <w:rPr>
                      <w:color w:val="000000"/>
                      <w:highlight w:val="none"/>
                    </w:rPr>
                  </w:pPr>
                </w:p>
              </w:tc>
              <w:tc>
                <w:tcPr>
                  <w:tcW w:w="1184" w:type="pct"/>
                  <w:gridSpan w:val="2"/>
                  <w:tcBorders>
                    <w:bottom w:val="single" w:color="auto" w:sz="4" w:space="0"/>
                  </w:tcBorders>
                  <w:noWrap w:val="0"/>
                  <w:vAlign w:val="center"/>
                </w:tcPr>
                <w:p w14:paraId="593C9A0B">
                  <w:pPr>
                    <w:pStyle w:val="25"/>
                    <w:jc w:val="left"/>
                    <w:rPr>
                      <w:color w:val="000000"/>
                      <w:highlight w:val="none"/>
                    </w:rPr>
                  </w:pPr>
                  <w:r>
                    <w:rPr>
                      <w:color w:val="000000"/>
                      <w:highlight w:val="none"/>
                    </w:rPr>
                    <w:t>生活营地</w:t>
                  </w:r>
                </w:p>
              </w:tc>
              <w:tc>
                <w:tcPr>
                  <w:tcW w:w="3316" w:type="pct"/>
                  <w:tcBorders>
                    <w:bottom w:val="single" w:color="auto" w:sz="4" w:space="0"/>
                  </w:tcBorders>
                  <w:noWrap w:val="0"/>
                  <w:vAlign w:val="center"/>
                </w:tcPr>
                <w:p w14:paraId="57F04D24">
                  <w:pPr>
                    <w:pStyle w:val="25"/>
                    <w:jc w:val="left"/>
                    <w:rPr>
                      <w:color w:val="000000"/>
                      <w:highlight w:val="none"/>
                    </w:rPr>
                  </w:pPr>
                  <w:r>
                    <w:rPr>
                      <w:color w:val="000000"/>
                      <w:highlight w:val="none"/>
                    </w:rPr>
                    <w:t>生活营地2座，占地面积共5900m</w:t>
                  </w:r>
                  <w:r>
                    <w:rPr>
                      <w:color w:val="000000"/>
                      <w:highlight w:val="none"/>
                      <w:vertAlign w:val="superscript"/>
                    </w:rPr>
                    <w:t>2</w:t>
                  </w:r>
                </w:p>
              </w:tc>
            </w:tr>
            <w:tr w14:paraId="3F467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498" w:type="pct"/>
                  <w:vMerge w:val="restart"/>
                  <w:tcBorders>
                    <w:top w:val="single" w:color="auto" w:sz="4" w:space="0"/>
                  </w:tcBorders>
                  <w:noWrap w:val="0"/>
                  <w:vAlign w:val="center"/>
                </w:tcPr>
                <w:p w14:paraId="5E54D95F">
                  <w:pPr>
                    <w:pStyle w:val="25"/>
                    <w:jc w:val="left"/>
                    <w:rPr>
                      <w:color w:val="000000"/>
                      <w:highlight w:val="none"/>
                    </w:rPr>
                  </w:pPr>
                  <w:r>
                    <w:rPr>
                      <w:color w:val="000000"/>
                      <w:highlight w:val="none"/>
                    </w:rPr>
                    <w:t>储运</w:t>
                  </w:r>
                </w:p>
                <w:p w14:paraId="588C2FD7">
                  <w:pPr>
                    <w:pStyle w:val="25"/>
                    <w:jc w:val="left"/>
                    <w:rPr>
                      <w:color w:val="000000"/>
                      <w:highlight w:val="none"/>
                    </w:rPr>
                  </w:pPr>
                  <w:r>
                    <w:rPr>
                      <w:color w:val="000000"/>
                      <w:highlight w:val="none"/>
                    </w:rPr>
                    <w:t>工程</w:t>
                  </w:r>
                </w:p>
              </w:tc>
              <w:tc>
                <w:tcPr>
                  <w:tcW w:w="1184" w:type="pct"/>
                  <w:gridSpan w:val="2"/>
                  <w:tcBorders>
                    <w:top w:val="single" w:color="auto" w:sz="4" w:space="0"/>
                    <w:bottom w:val="single" w:color="auto" w:sz="4" w:space="0"/>
                  </w:tcBorders>
                  <w:noWrap w:val="0"/>
                  <w:vAlign w:val="center"/>
                </w:tcPr>
                <w:p w14:paraId="3B5CD303">
                  <w:pPr>
                    <w:pStyle w:val="25"/>
                    <w:jc w:val="left"/>
                    <w:rPr>
                      <w:color w:val="000000"/>
                      <w:highlight w:val="none"/>
                    </w:rPr>
                  </w:pPr>
                  <w:r>
                    <w:rPr>
                      <w:color w:val="000000"/>
                      <w:highlight w:val="none"/>
                    </w:rPr>
                    <w:t>柴油罐区</w:t>
                  </w:r>
                </w:p>
              </w:tc>
              <w:tc>
                <w:tcPr>
                  <w:tcW w:w="3316" w:type="pct"/>
                  <w:tcBorders>
                    <w:top w:val="single" w:color="auto" w:sz="4" w:space="0"/>
                    <w:bottom w:val="single" w:color="auto" w:sz="4" w:space="0"/>
                  </w:tcBorders>
                  <w:noWrap w:val="0"/>
                  <w:vAlign w:val="center"/>
                </w:tcPr>
                <w:p w14:paraId="5D0FF3AD">
                  <w:pPr>
                    <w:pStyle w:val="25"/>
                    <w:jc w:val="left"/>
                    <w:rPr>
                      <w:color w:val="000000"/>
                      <w:highlight w:val="none"/>
                    </w:rPr>
                  </w:pPr>
                  <w:r>
                    <w:rPr>
                      <w:color w:val="000000"/>
                      <w:highlight w:val="none"/>
                    </w:rPr>
                    <w:t>井场内设1个柴油罐，存储钻井用柴油，20m</w:t>
                  </w:r>
                  <w:r>
                    <w:rPr>
                      <w:color w:val="000000"/>
                      <w:highlight w:val="none"/>
                      <w:vertAlign w:val="superscript"/>
                    </w:rPr>
                    <w:t>3</w:t>
                  </w:r>
                  <w:r>
                    <w:rPr>
                      <w:color w:val="000000"/>
                      <w:highlight w:val="none"/>
                    </w:rPr>
                    <w:t>/个，最大储存量约16.7t，地坪基础防渗，设30cm高围堰</w:t>
                  </w:r>
                </w:p>
              </w:tc>
            </w:tr>
            <w:tr w14:paraId="21350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498" w:type="pct"/>
                  <w:vMerge w:val="continue"/>
                  <w:noWrap w:val="0"/>
                  <w:vAlign w:val="center"/>
                </w:tcPr>
                <w:p w14:paraId="14845D72">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508B3C5F">
                  <w:pPr>
                    <w:pStyle w:val="25"/>
                    <w:jc w:val="left"/>
                    <w:rPr>
                      <w:color w:val="000000"/>
                      <w:highlight w:val="none"/>
                    </w:rPr>
                  </w:pPr>
                  <w:r>
                    <w:rPr>
                      <w:color w:val="000000"/>
                      <w:highlight w:val="none"/>
                    </w:rPr>
                    <w:t>泥浆储备罐区</w:t>
                  </w:r>
                </w:p>
              </w:tc>
              <w:tc>
                <w:tcPr>
                  <w:tcW w:w="3316" w:type="pct"/>
                  <w:tcBorders>
                    <w:top w:val="single" w:color="auto" w:sz="4" w:space="0"/>
                    <w:bottom w:val="single" w:color="auto" w:sz="4" w:space="0"/>
                  </w:tcBorders>
                  <w:noWrap w:val="0"/>
                  <w:vAlign w:val="center"/>
                </w:tcPr>
                <w:p w14:paraId="0013C57C">
                  <w:pPr>
                    <w:pStyle w:val="25"/>
                    <w:jc w:val="left"/>
                    <w:rPr>
                      <w:color w:val="000000"/>
                      <w:highlight w:val="none"/>
                    </w:rPr>
                  </w:pPr>
                  <w:r>
                    <w:rPr>
                      <w:color w:val="000000"/>
                      <w:highlight w:val="none"/>
                    </w:rPr>
                    <w:t>位于泥浆循环系统区域，用于储备压井泥浆。罐区周边设置围堰</w:t>
                  </w:r>
                </w:p>
              </w:tc>
            </w:tr>
            <w:tr w14:paraId="76D3D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498" w:type="pct"/>
                  <w:vMerge w:val="continue"/>
                  <w:noWrap w:val="0"/>
                  <w:vAlign w:val="center"/>
                </w:tcPr>
                <w:p w14:paraId="60BA1C2F">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5139ABFC">
                  <w:pPr>
                    <w:pStyle w:val="25"/>
                    <w:jc w:val="left"/>
                    <w:rPr>
                      <w:color w:val="000000"/>
                      <w:highlight w:val="none"/>
                    </w:rPr>
                  </w:pPr>
                  <w:r>
                    <w:rPr>
                      <w:color w:val="000000"/>
                      <w:highlight w:val="none"/>
                    </w:rPr>
                    <w:t>材料储存区</w:t>
                  </w:r>
                </w:p>
              </w:tc>
              <w:tc>
                <w:tcPr>
                  <w:tcW w:w="3316" w:type="pct"/>
                  <w:tcBorders>
                    <w:top w:val="single" w:color="auto" w:sz="4" w:space="0"/>
                    <w:bottom w:val="single" w:color="auto" w:sz="4" w:space="0"/>
                  </w:tcBorders>
                  <w:noWrap w:val="0"/>
                  <w:vAlign w:val="center"/>
                </w:tcPr>
                <w:p w14:paraId="356020B9">
                  <w:pPr>
                    <w:pStyle w:val="25"/>
                    <w:jc w:val="left"/>
                    <w:rPr>
                      <w:color w:val="000000"/>
                      <w:highlight w:val="none"/>
                    </w:rPr>
                  </w:pPr>
                  <w:r>
                    <w:rPr>
                      <w:color w:val="000000"/>
                      <w:highlight w:val="none"/>
                    </w:rPr>
                    <w:t>井场内设置1处材料堆存区</w:t>
                  </w:r>
                </w:p>
              </w:tc>
            </w:tr>
            <w:tr w14:paraId="0C4FC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8" w:type="pct"/>
                  <w:vMerge w:val="continue"/>
                  <w:noWrap w:val="0"/>
                  <w:vAlign w:val="center"/>
                </w:tcPr>
                <w:p w14:paraId="50AC3748">
                  <w:pPr>
                    <w:pStyle w:val="25"/>
                    <w:jc w:val="left"/>
                    <w:rPr>
                      <w:color w:val="000000"/>
                      <w:highlight w:val="none"/>
                    </w:rPr>
                  </w:pPr>
                </w:p>
              </w:tc>
              <w:tc>
                <w:tcPr>
                  <w:tcW w:w="1184" w:type="pct"/>
                  <w:gridSpan w:val="2"/>
                  <w:tcBorders>
                    <w:top w:val="single" w:color="auto" w:sz="4" w:space="0"/>
                  </w:tcBorders>
                  <w:noWrap w:val="0"/>
                  <w:vAlign w:val="center"/>
                </w:tcPr>
                <w:p w14:paraId="2E2B90D5">
                  <w:pPr>
                    <w:pStyle w:val="25"/>
                    <w:jc w:val="left"/>
                    <w:rPr>
                      <w:color w:val="000000"/>
                      <w:highlight w:val="none"/>
                    </w:rPr>
                  </w:pPr>
                  <w:r>
                    <w:rPr>
                      <w:color w:val="000000"/>
                      <w:highlight w:val="none"/>
                    </w:rPr>
                    <w:t>采出液临时储罐</w:t>
                  </w:r>
                </w:p>
              </w:tc>
              <w:tc>
                <w:tcPr>
                  <w:tcW w:w="3316" w:type="pct"/>
                  <w:tcBorders>
                    <w:top w:val="single" w:color="auto" w:sz="4" w:space="0"/>
                    <w:bottom w:val="single" w:color="auto" w:sz="4" w:space="0"/>
                  </w:tcBorders>
                  <w:noWrap w:val="0"/>
                  <w:vAlign w:val="center"/>
                </w:tcPr>
                <w:p w14:paraId="316B9427">
                  <w:pPr>
                    <w:pStyle w:val="25"/>
                    <w:jc w:val="left"/>
                    <w:rPr>
                      <w:color w:val="000000"/>
                      <w:highlight w:val="none"/>
                    </w:rPr>
                  </w:pPr>
                  <w:r>
                    <w:rPr>
                      <w:color w:val="000000"/>
                      <w:highlight w:val="none"/>
                    </w:rPr>
                    <w:t>井场内设置4个20m</w:t>
                  </w:r>
                  <w:r>
                    <w:rPr>
                      <w:color w:val="000000"/>
                      <w:highlight w:val="none"/>
                      <w:vertAlign w:val="superscript"/>
                    </w:rPr>
                    <w:t>3</w:t>
                  </w:r>
                  <w:r>
                    <w:rPr>
                      <w:color w:val="000000"/>
                      <w:highlight w:val="none"/>
                    </w:rPr>
                    <w:t>采出液临时储罐</w:t>
                  </w:r>
                </w:p>
              </w:tc>
            </w:tr>
            <w:tr w14:paraId="03885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8" w:type="pct"/>
                  <w:vMerge w:val="restart"/>
                  <w:noWrap w:val="0"/>
                  <w:vAlign w:val="center"/>
                </w:tcPr>
                <w:p w14:paraId="4D359AE3">
                  <w:pPr>
                    <w:pStyle w:val="25"/>
                    <w:jc w:val="left"/>
                    <w:rPr>
                      <w:color w:val="000000"/>
                      <w:highlight w:val="none"/>
                    </w:rPr>
                  </w:pPr>
                  <w:r>
                    <w:rPr>
                      <w:color w:val="000000"/>
                      <w:highlight w:val="none"/>
                    </w:rPr>
                    <w:t>公用</w:t>
                  </w:r>
                </w:p>
                <w:p w14:paraId="7836D59E">
                  <w:pPr>
                    <w:pStyle w:val="25"/>
                    <w:jc w:val="left"/>
                    <w:rPr>
                      <w:color w:val="000000"/>
                      <w:highlight w:val="none"/>
                    </w:rPr>
                  </w:pPr>
                  <w:r>
                    <w:rPr>
                      <w:color w:val="000000"/>
                      <w:highlight w:val="none"/>
                    </w:rPr>
                    <w:t>工程</w:t>
                  </w:r>
                </w:p>
              </w:tc>
              <w:tc>
                <w:tcPr>
                  <w:tcW w:w="1184" w:type="pct"/>
                  <w:gridSpan w:val="2"/>
                  <w:noWrap w:val="0"/>
                  <w:vAlign w:val="center"/>
                </w:tcPr>
                <w:p w14:paraId="60071DE4">
                  <w:pPr>
                    <w:pStyle w:val="25"/>
                    <w:jc w:val="left"/>
                    <w:rPr>
                      <w:color w:val="000000"/>
                      <w:highlight w:val="none"/>
                    </w:rPr>
                  </w:pPr>
                  <w:r>
                    <w:rPr>
                      <w:color w:val="000000"/>
                      <w:highlight w:val="none"/>
                    </w:rPr>
                    <w:t>供配电</w:t>
                  </w:r>
                </w:p>
              </w:tc>
              <w:tc>
                <w:tcPr>
                  <w:tcW w:w="3316" w:type="pct"/>
                  <w:tcBorders>
                    <w:top w:val="single" w:color="auto" w:sz="4" w:space="0"/>
                  </w:tcBorders>
                  <w:noWrap w:val="0"/>
                  <w:vAlign w:val="center"/>
                </w:tcPr>
                <w:p w14:paraId="26C5FDDA">
                  <w:pPr>
                    <w:pStyle w:val="25"/>
                    <w:jc w:val="left"/>
                    <w:rPr>
                      <w:color w:val="000000"/>
                      <w:highlight w:val="none"/>
                    </w:rPr>
                  </w:pPr>
                  <w:r>
                    <w:rPr>
                      <w:color w:val="000000"/>
                      <w:highlight w:val="none"/>
                    </w:rPr>
                    <w:t>钻机、生活、办公等通过柴油机、发电机供电</w:t>
                  </w:r>
                </w:p>
              </w:tc>
            </w:tr>
            <w:tr w14:paraId="156F9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498" w:type="pct"/>
                  <w:vMerge w:val="continue"/>
                  <w:noWrap w:val="0"/>
                  <w:vAlign w:val="center"/>
                </w:tcPr>
                <w:p w14:paraId="50D043C4">
                  <w:pPr>
                    <w:pStyle w:val="25"/>
                    <w:jc w:val="left"/>
                    <w:rPr>
                      <w:color w:val="000000"/>
                      <w:highlight w:val="none"/>
                    </w:rPr>
                  </w:pPr>
                </w:p>
              </w:tc>
              <w:tc>
                <w:tcPr>
                  <w:tcW w:w="1184" w:type="pct"/>
                  <w:gridSpan w:val="2"/>
                  <w:noWrap w:val="0"/>
                  <w:vAlign w:val="center"/>
                </w:tcPr>
                <w:p w14:paraId="23E9F3AC">
                  <w:pPr>
                    <w:pStyle w:val="25"/>
                    <w:jc w:val="left"/>
                    <w:rPr>
                      <w:color w:val="000000"/>
                      <w:highlight w:val="none"/>
                    </w:rPr>
                  </w:pPr>
                  <w:r>
                    <w:rPr>
                      <w:color w:val="000000"/>
                      <w:highlight w:val="none"/>
                    </w:rPr>
                    <w:t>供水</w:t>
                  </w:r>
                </w:p>
              </w:tc>
              <w:tc>
                <w:tcPr>
                  <w:tcW w:w="3316" w:type="pct"/>
                  <w:noWrap w:val="0"/>
                  <w:vAlign w:val="center"/>
                </w:tcPr>
                <w:p w14:paraId="4534FC2A">
                  <w:pPr>
                    <w:pStyle w:val="25"/>
                    <w:jc w:val="left"/>
                    <w:rPr>
                      <w:color w:val="000000"/>
                      <w:highlight w:val="none"/>
                    </w:rPr>
                  </w:pPr>
                  <w:r>
                    <w:rPr>
                      <w:color w:val="000000"/>
                      <w:highlight w:val="none"/>
                    </w:rPr>
                    <w:t>项目用水量为350m</w:t>
                  </w:r>
                  <w:r>
                    <w:rPr>
                      <w:color w:val="000000"/>
                      <w:highlight w:val="none"/>
                      <w:vertAlign w:val="superscript"/>
                    </w:rPr>
                    <w:t>3</w:t>
                  </w:r>
                  <w:r>
                    <w:rPr>
                      <w:color w:val="000000"/>
                      <w:highlight w:val="none"/>
                    </w:rPr>
                    <w:t>，就近采用罐车拉运至井场</w:t>
                  </w:r>
                </w:p>
              </w:tc>
            </w:tr>
            <w:tr w14:paraId="1172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0E10876B">
                  <w:pPr>
                    <w:pStyle w:val="25"/>
                    <w:jc w:val="left"/>
                    <w:rPr>
                      <w:color w:val="000000"/>
                      <w:highlight w:val="none"/>
                    </w:rPr>
                  </w:pPr>
                </w:p>
              </w:tc>
              <w:tc>
                <w:tcPr>
                  <w:tcW w:w="1184" w:type="pct"/>
                  <w:gridSpan w:val="2"/>
                  <w:noWrap w:val="0"/>
                  <w:vAlign w:val="center"/>
                </w:tcPr>
                <w:p w14:paraId="57157E47">
                  <w:pPr>
                    <w:pStyle w:val="25"/>
                    <w:jc w:val="left"/>
                    <w:rPr>
                      <w:color w:val="000000"/>
                      <w:highlight w:val="none"/>
                    </w:rPr>
                  </w:pPr>
                  <w:r>
                    <w:rPr>
                      <w:color w:val="000000"/>
                      <w:highlight w:val="none"/>
                    </w:rPr>
                    <w:t>供热</w:t>
                  </w:r>
                </w:p>
              </w:tc>
              <w:tc>
                <w:tcPr>
                  <w:tcW w:w="3316" w:type="pct"/>
                  <w:noWrap w:val="0"/>
                  <w:vAlign w:val="center"/>
                </w:tcPr>
                <w:p w14:paraId="4E35C324">
                  <w:pPr>
                    <w:pStyle w:val="25"/>
                    <w:jc w:val="left"/>
                    <w:rPr>
                      <w:color w:val="000000"/>
                      <w:highlight w:val="none"/>
                    </w:rPr>
                  </w:pPr>
                  <w:r>
                    <w:rPr>
                      <w:color w:val="000000"/>
                      <w:highlight w:val="none"/>
                    </w:rPr>
                    <w:t>项目冬季不施工，无供暖设施</w:t>
                  </w:r>
                </w:p>
              </w:tc>
            </w:tr>
            <w:tr w14:paraId="755AA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7AC3AA7E">
                  <w:pPr>
                    <w:pStyle w:val="25"/>
                    <w:jc w:val="left"/>
                    <w:rPr>
                      <w:color w:val="000000"/>
                      <w:highlight w:val="none"/>
                    </w:rPr>
                  </w:pPr>
                </w:p>
              </w:tc>
              <w:tc>
                <w:tcPr>
                  <w:tcW w:w="1184" w:type="pct"/>
                  <w:gridSpan w:val="2"/>
                  <w:noWrap w:val="0"/>
                  <w:vAlign w:val="center"/>
                </w:tcPr>
                <w:p w14:paraId="64F52ACC">
                  <w:pPr>
                    <w:pStyle w:val="25"/>
                    <w:jc w:val="left"/>
                    <w:rPr>
                      <w:color w:val="000000"/>
                      <w:highlight w:val="none"/>
                    </w:rPr>
                  </w:pPr>
                  <w:r>
                    <w:rPr>
                      <w:color w:val="000000"/>
                      <w:highlight w:val="none"/>
                    </w:rPr>
                    <w:t>道路</w:t>
                  </w:r>
                </w:p>
              </w:tc>
              <w:tc>
                <w:tcPr>
                  <w:tcW w:w="3316" w:type="pct"/>
                  <w:noWrap w:val="0"/>
                  <w:vAlign w:val="center"/>
                </w:tcPr>
                <w:p w14:paraId="7C84E7AB">
                  <w:pPr>
                    <w:pStyle w:val="25"/>
                    <w:jc w:val="left"/>
                    <w:rPr>
                      <w:color w:val="000000"/>
                      <w:highlight w:val="none"/>
                    </w:rPr>
                  </w:pPr>
                  <w:r>
                    <w:rPr>
                      <w:color w:val="000000"/>
                      <w:highlight w:val="none"/>
                    </w:rPr>
                    <w:t>修建临时道路共3388.4km，道路占地面积69093m</w:t>
                  </w:r>
                  <w:r>
                    <w:rPr>
                      <w:color w:val="000000"/>
                      <w:highlight w:val="none"/>
                      <w:vertAlign w:val="superscript"/>
                    </w:rPr>
                    <w:t>2</w:t>
                  </w:r>
                  <w:r>
                    <w:rPr>
                      <w:color w:val="000000"/>
                      <w:highlight w:val="none"/>
                    </w:rPr>
                    <w:t>，其中：莫173井井场道路长1488.4m，宽29m，生活营地道路长15m，宽10m；莫174H井井场道路长1900km，宽13.5m，生活营地道路长10m，宽8m</w:t>
                  </w:r>
                </w:p>
              </w:tc>
            </w:tr>
            <w:tr w14:paraId="03BD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restart"/>
                  <w:noWrap w:val="0"/>
                  <w:vAlign w:val="center"/>
                </w:tcPr>
                <w:p w14:paraId="35E9B4A4">
                  <w:pPr>
                    <w:pStyle w:val="25"/>
                    <w:jc w:val="left"/>
                    <w:rPr>
                      <w:color w:val="000000"/>
                      <w:highlight w:val="none"/>
                    </w:rPr>
                  </w:pPr>
                  <w:r>
                    <w:rPr>
                      <w:color w:val="000000"/>
                      <w:highlight w:val="none"/>
                    </w:rPr>
                    <w:t>环保工程</w:t>
                  </w:r>
                </w:p>
              </w:tc>
              <w:tc>
                <w:tcPr>
                  <w:tcW w:w="272" w:type="pct"/>
                  <w:vMerge w:val="restart"/>
                  <w:noWrap w:val="0"/>
                  <w:vAlign w:val="center"/>
                </w:tcPr>
                <w:p w14:paraId="0032D84D">
                  <w:pPr>
                    <w:pStyle w:val="25"/>
                    <w:jc w:val="left"/>
                    <w:rPr>
                      <w:color w:val="000000"/>
                      <w:highlight w:val="none"/>
                    </w:rPr>
                  </w:pPr>
                  <w:r>
                    <w:rPr>
                      <w:color w:val="000000"/>
                      <w:highlight w:val="none"/>
                    </w:rPr>
                    <w:t>废气</w:t>
                  </w:r>
                </w:p>
              </w:tc>
              <w:tc>
                <w:tcPr>
                  <w:tcW w:w="912" w:type="pct"/>
                  <w:noWrap w:val="0"/>
                  <w:vAlign w:val="center"/>
                </w:tcPr>
                <w:p w14:paraId="7414AF05">
                  <w:pPr>
                    <w:pStyle w:val="25"/>
                    <w:jc w:val="left"/>
                    <w:rPr>
                      <w:color w:val="000000"/>
                      <w:highlight w:val="none"/>
                    </w:rPr>
                  </w:pPr>
                  <w:r>
                    <w:rPr>
                      <w:color w:val="000000"/>
                      <w:highlight w:val="none"/>
                    </w:rPr>
                    <w:t>柴油发电机废气</w:t>
                  </w:r>
                </w:p>
              </w:tc>
              <w:tc>
                <w:tcPr>
                  <w:tcW w:w="3316" w:type="pct"/>
                  <w:noWrap w:val="0"/>
                  <w:vAlign w:val="center"/>
                </w:tcPr>
                <w:p w14:paraId="1A2E4AC4">
                  <w:pPr>
                    <w:pStyle w:val="25"/>
                    <w:jc w:val="left"/>
                    <w:rPr>
                      <w:color w:val="000000"/>
                      <w:highlight w:val="none"/>
                    </w:rPr>
                  </w:pPr>
                  <w:r>
                    <w:rPr>
                      <w:color w:val="000000"/>
                      <w:highlight w:val="none"/>
                    </w:rPr>
                    <w:t>废气产生量较少，属无组织排放</w:t>
                  </w:r>
                </w:p>
              </w:tc>
            </w:tr>
            <w:tr w14:paraId="436E3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319DB642">
                  <w:pPr>
                    <w:pStyle w:val="25"/>
                    <w:jc w:val="left"/>
                    <w:rPr>
                      <w:color w:val="000000"/>
                      <w:highlight w:val="none"/>
                    </w:rPr>
                  </w:pPr>
                </w:p>
              </w:tc>
              <w:tc>
                <w:tcPr>
                  <w:tcW w:w="272" w:type="pct"/>
                  <w:vMerge w:val="continue"/>
                  <w:noWrap w:val="0"/>
                  <w:vAlign w:val="center"/>
                </w:tcPr>
                <w:p w14:paraId="0B28D474">
                  <w:pPr>
                    <w:pStyle w:val="25"/>
                    <w:jc w:val="left"/>
                    <w:rPr>
                      <w:color w:val="000000"/>
                      <w:highlight w:val="none"/>
                    </w:rPr>
                  </w:pPr>
                </w:p>
              </w:tc>
              <w:tc>
                <w:tcPr>
                  <w:tcW w:w="912" w:type="pct"/>
                  <w:noWrap w:val="0"/>
                  <w:vAlign w:val="center"/>
                </w:tcPr>
                <w:p w14:paraId="1C23F929">
                  <w:pPr>
                    <w:pStyle w:val="25"/>
                    <w:jc w:val="left"/>
                    <w:rPr>
                      <w:color w:val="000000"/>
                      <w:highlight w:val="none"/>
                    </w:rPr>
                  </w:pPr>
                  <w:r>
                    <w:rPr>
                      <w:color w:val="000000"/>
                      <w:highlight w:val="none"/>
                    </w:rPr>
                    <w:t>施工扬尘</w:t>
                  </w:r>
                </w:p>
              </w:tc>
              <w:tc>
                <w:tcPr>
                  <w:tcW w:w="3316" w:type="pct"/>
                  <w:noWrap w:val="0"/>
                  <w:vAlign w:val="center"/>
                </w:tcPr>
                <w:p w14:paraId="4B416F2C">
                  <w:pPr>
                    <w:pStyle w:val="25"/>
                    <w:jc w:val="left"/>
                    <w:rPr>
                      <w:color w:val="000000"/>
                      <w:highlight w:val="none"/>
                    </w:rPr>
                  </w:pPr>
                  <w:r>
                    <w:rPr>
                      <w:color w:val="000000"/>
                      <w:highlight w:val="none"/>
                    </w:rPr>
                    <w:t>产生量较少，属无组织排放，采取场区洒水抑尘措施</w:t>
                  </w:r>
                </w:p>
              </w:tc>
            </w:tr>
            <w:tr w14:paraId="62F80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98" w:type="pct"/>
                  <w:vMerge w:val="continue"/>
                  <w:noWrap w:val="0"/>
                  <w:vAlign w:val="center"/>
                </w:tcPr>
                <w:p w14:paraId="73BA4C0C">
                  <w:pPr>
                    <w:pStyle w:val="25"/>
                    <w:jc w:val="left"/>
                    <w:rPr>
                      <w:color w:val="000000"/>
                      <w:highlight w:val="none"/>
                    </w:rPr>
                  </w:pPr>
                </w:p>
              </w:tc>
              <w:tc>
                <w:tcPr>
                  <w:tcW w:w="272" w:type="pct"/>
                  <w:vMerge w:val="continue"/>
                  <w:noWrap w:val="0"/>
                  <w:vAlign w:val="center"/>
                </w:tcPr>
                <w:p w14:paraId="68DB2C47">
                  <w:pPr>
                    <w:pStyle w:val="25"/>
                    <w:jc w:val="left"/>
                    <w:rPr>
                      <w:color w:val="000000"/>
                      <w:highlight w:val="none"/>
                    </w:rPr>
                  </w:pPr>
                </w:p>
              </w:tc>
              <w:tc>
                <w:tcPr>
                  <w:tcW w:w="912" w:type="pct"/>
                  <w:tcBorders>
                    <w:bottom w:val="single" w:color="auto" w:sz="4" w:space="0"/>
                  </w:tcBorders>
                  <w:noWrap w:val="0"/>
                  <w:vAlign w:val="center"/>
                </w:tcPr>
                <w:p w14:paraId="7181D318">
                  <w:pPr>
                    <w:pStyle w:val="25"/>
                    <w:jc w:val="left"/>
                    <w:rPr>
                      <w:color w:val="000000"/>
                      <w:highlight w:val="none"/>
                    </w:rPr>
                  </w:pPr>
                  <w:r>
                    <w:rPr>
                      <w:color w:val="000000"/>
                      <w:highlight w:val="none"/>
                    </w:rPr>
                    <w:t>伴生气燃烧</w:t>
                  </w:r>
                </w:p>
              </w:tc>
              <w:tc>
                <w:tcPr>
                  <w:tcW w:w="3316" w:type="pct"/>
                  <w:tcBorders>
                    <w:bottom w:val="single" w:color="auto" w:sz="4" w:space="0"/>
                  </w:tcBorders>
                  <w:noWrap w:val="0"/>
                  <w:vAlign w:val="center"/>
                </w:tcPr>
                <w:p w14:paraId="36633CD9">
                  <w:pPr>
                    <w:pStyle w:val="25"/>
                    <w:jc w:val="left"/>
                    <w:rPr>
                      <w:color w:val="000000"/>
                      <w:highlight w:val="none"/>
                    </w:rPr>
                  </w:pPr>
                  <w:r>
                    <w:rPr>
                      <w:color w:val="000000"/>
                      <w:highlight w:val="none"/>
                    </w:rPr>
                    <w:t>伴生气经过液气分离后通过放散管点火排放</w:t>
                  </w:r>
                </w:p>
              </w:tc>
            </w:tr>
            <w:tr w14:paraId="612B7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98" w:type="pct"/>
                  <w:vMerge w:val="continue"/>
                  <w:noWrap w:val="0"/>
                  <w:vAlign w:val="center"/>
                </w:tcPr>
                <w:p w14:paraId="5C225498">
                  <w:pPr>
                    <w:pStyle w:val="25"/>
                    <w:jc w:val="left"/>
                    <w:rPr>
                      <w:color w:val="000000"/>
                      <w:highlight w:val="none"/>
                    </w:rPr>
                  </w:pPr>
                </w:p>
              </w:tc>
              <w:tc>
                <w:tcPr>
                  <w:tcW w:w="272" w:type="pct"/>
                  <w:vMerge w:val="continue"/>
                  <w:noWrap w:val="0"/>
                  <w:vAlign w:val="center"/>
                </w:tcPr>
                <w:p w14:paraId="51927394">
                  <w:pPr>
                    <w:pStyle w:val="25"/>
                    <w:jc w:val="left"/>
                    <w:rPr>
                      <w:color w:val="000000"/>
                      <w:highlight w:val="none"/>
                    </w:rPr>
                  </w:pPr>
                </w:p>
              </w:tc>
              <w:tc>
                <w:tcPr>
                  <w:tcW w:w="912" w:type="pct"/>
                  <w:tcBorders>
                    <w:bottom w:val="single" w:color="auto" w:sz="4" w:space="0"/>
                  </w:tcBorders>
                  <w:noWrap w:val="0"/>
                  <w:vAlign w:val="center"/>
                </w:tcPr>
                <w:p w14:paraId="443BECA8">
                  <w:pPr>
                    <w:pStyle w:val="25"/>
                    <w:jc w:val="left"/>
                    <w:rPr>
                      <w:color w:val="000000"/>
                      <w:highlight w:val="none"/>
                    </w:rPr>
                  </w:pPr>
                  <w:r>
                    <w:rPr>
                      <w:color w:val="000000"/>
                      <w:highlight w:val="none"/>
                    </w:rPr>
                    <w:t>临时储罐废气和采出液装卸废气</w:t>
                  </w:r>
                </w:p>
              </w:tc>
              <w:tc>
                <w:tcPr>
                  <w:tcW w:w="3316" w:type="pct"/>
                  <w:tcBorders>
                    <w:bottom w:val="single" w:color="auto" w:sz="4" w:space="0"/>
                  </w:tcBorders>
                  <w:noWrap w:val="0"/>
                  <w:vAlign w:val="center"/>
                </w:tcPr>
                <w:p w14:paraId="1ABB68BA">
                  <w:pPr>
                    <w:pStyle w:val="25"/>
                    <w:jc w:val="left"/>
                    <w:rPr>
                      <w:color w:val="000000"/>
                      <w:highlight w:val="none"/>
                    </w:rPr>
                  </w:pPr>
                  <w:r>
                    <w:rPr>
                      <w:color w:val="000000"/>
                      <w:highlight w:val="none"/>
                    </w:rPr>
                    <w:t>临时储罐废气产生量较少，通过密闭底部装载方式减少废气的排放，排放方式均为无组织排放</w:t>
                  </w:r>
                </w:p>
              </w:tc>
            </w:tr>
            <w:tr w14:paraId="27867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atLeast"/>
                <w:jc w:val="center"/>
              </w:trPr>
              <w:tc>
                <w:tcPr>
                  <w:tcW w:w="498" w:type="pct"/>
                  <w:vMerge w:val="continue"/>
                  <w:noWrap w:val="0"/>
                  <w:vAlign w:val="center"/>
                </w:tcPr>
                <w:p w14:paraId="347863DA">
                  <w:pPr>
                    <w:pStyle w:val="25"/>
                    <w:jc w:val="left"/>
                    <w:rPr>
                      <w:color w:val="000000"/>
                      <w:highlight w:val="none"/>
                    </w:rPr>
                  </w:pPr>
                </w:p>
              </w:tc>
              <w:tc>
                <w:tcPr>
                  <w:tcW w:w="272" w:type="pct"/>
                  <w:vMerge w:val="restart"/>
                  <w:noWrap w:val="0"/>
                  <w:vAlign w:val="center"/>
                </w:tcPr>
                <w:p w14:paraId="25006F20">
                  <w:pPr>
                    <w:pStyle w:val="25"/>
                    <w:jc w:val="left"/>
                    <w:rPr>
                      <w:color w:val="000000"/>
                      <w:highlight w:val="none"/>
                    </w:rPr>
                  </w:pPr>
                  <w:r>
                    <w:rPr>
                      <w:color w:val="000000"/>
                      <w:highlight w:val="none"/>
                    </w:rPr>
                    <w:t>废水</w:t>
                  </w:r>
                </w:p>
              </w:tc>
              <w:tc>
                <w:tcPr>
                  <w:tcW w:w="912" w:type="pct"/>
                  <w:noWrap w:val="0"/>
                  <w:vAlign w:val="center"/>
                </w:tcPr>
                <w:p w14:paraId="309A89B4">
                  <w:pPr>
                    <w:pStyle w:val="25"/>
                    <w:jc w:val="left"/>
                    <w:rPr>
                      <w:color w:val="000000"/>
                      <w:highlight w:val="none"/>
                    </w:rPr>
                  </w:pPr>
                  <w:r>
                    <w:rPr>
                      <w:color w:val="000000"/>
                      <w:highlight w:val="none"/>
                    </w:rPr>
                    <w:t>井下作业废水（洗井废水、压裂返排液）</w:t>
                  </w:r>
                </w:p>
              </w:tc>
              <w:tc>
                <w:tcPr>
                  <w:tcW w:w="3316" w:type="pct"/>
                  <w:noWrap w:val="0"/>
                  <w:vAlign w:val="center"/>
                </w:tcPr>
                <w:p w14:paraId="649EDB9A">
                  <w:pPr>
                    <w:pStyle w:val="25"/>
                    <w:jc w:val="left"/>
                    <w:rPr>
                      <w:color w:val="000000"/>
                      <w:highlight w:val="none"/>
                    </w:rPr>
                  </w:pPr>
                  <w:r>
                    <w:rPr>
                      <w:color w:val="000000"/>
                      <w:highlight w:val="none"/>
                    </w:rPr>
                    <w:t>项目井下作业废水采取带罐作业，采用专用废液收集罐收集后运至石西集中处理站采出水处理系统处理</w:t>
                  </w:r>
                </w:p>
              </w:tc>
            </w:tr>
            <w:tr w14:paraId="68670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8" w:type="pct"/>
                  <w:vMerge w:val="continue"/>
                  <w:noWrap w:val="0"/>
                  <w:vAlign w:val="center"/>
                </w:tcPr>
                <w:p w14:paraId="65518145">
                  <w:pPr>
                    <w:pStyle w:val="25"/>
                    <w:jc w:val="left"/>
                    <w:rPr>
                      <w:color w:val="000000"/>
                      <w:highlight w:val="none"/>
                    </w:rPr>
                  </w:pPr>
                </w:p>
              </w:tc>
              <w:tc>
                <w:tcPr>
                  <w:tcW w:w="272" w:type="pct"/>
                  <w:vMerge w:val="continue"/>
                  <w:noWrap w:val="0"/>
                  <w:vAlign w:val="center"/>
                </w:tcPr>
                <w:p w14:paraId="1D560105">
                  <w:pPr>
                    <w:pStyle w:val="25"/>
                    <w:jc w:val="left"/>
                    <w:rPr>
                      <w:color w:val="000000"/>
                      <w:highlight w:val="none"/>
                    </w:rPr>
                  </w:pPr>
                </w:p>
              </w:tc>
              <w:tc>
                <w:tcPr>
                  <w:tcW w:w="912" w:type="pct"/>
                  <w:noWrap w:val="0"/>
                  <w:vAlign w:val="center"/>
                </w:tcPr>
                <w:p w14:paraId="0BF8C40A">
                  <w:pPr>
                    <w:pStyle w:val="25"/>
                    <w:jc w:val="left"/>
                    <w:rPr>
                      <w:color w:val="000000"/>
                      <w:highlight w:val="none"/>
                    </w:rPr>
                  </w:pPr>
                  <w:r>
                    <w:rPr>
                      <w:color w:val="000000"/>
                      <w:highlight w:val="none"/>
                    </w:rPr>
                    <w:t>生活污水</w:t>
                  </w:r>
                </w:p>
              </w:tc>
              <w:tc>
                <w:tcPr>
                  <w:tcW w:w="3316" w:type="pct"/>
                  <w:noWrap w:val="0"/>
                  <w:vAlign w:val="center"/>
                </w:tcPr>
                <w:p w14:paraId="34816490">
                  <w:pPr>
                    <w:pStyle w:val="25"/>
                    <w:jc w:val="left"/>
                    <w:rPr>
                      <w:color w:val="000000"/>
                      <w:highlight w:val="none"/>
                    </w:rPr>
                  </w:pPr>
                  <w:r>
                    <w:rPr>
                      <w:color w:val="000000"/>
                      <w:highlight w:val="none"/>
                    </w:rPr>
                    <w:t>生活污水排入防渗污水收集池（30m</w:t>
                  </w:r>
                  <w:r>
                    <w:rPr>
                      <w:color w:val="000000"/>
                      <w:highlight w:val="none"/>
                      <w:vertAlign w:val="superscript"/>
                    </w:rPr>
                    <w:t>3</w:t>
                  </w:r>
                  <w:r>
                    <w:rPr>
                      <w:color w:val="000000"/>
                      <w:highlight w:val="none"/>
                    </w:rPr>
                    <w:t>），定期清运至石西油田作业区生活区污水处理站处理</w:t>
                  </w:r>
                </w:p>
              </w:tc>
            </w:tr>
            <w:tr w14:paraId="17813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6803B541">
                  <w:pPr>
                    <w:pStyle w:val="25"/>
                    <w:jc w:val="left"/>
                    <w:rPr>
                      <w:color w:val="000000"/>
                      <w:highlight w:val="none"/>
                    </w:rPr>
                  </w:pPr>
                </w:p>
              </w:tc>
              <w:tc>
                <w:tcPr>
                  <w:tcW w:w="272" w:type="pct"/>
                  <w:vMerge w:val="restart"/>
                  <w:noWrap w:val="0"/>
                  <w:vAlign w:val="center"/>
                </w:tcPr>
                <w:p w14:paraId="68C5E94E">
                  <w:pPr>
                    <w:pStyle w:val="25"/>
                    <w:jc w:val="left"/>
                    <w:rPr>
                      <w:color w:val="000000"/>
                      <w:highlight w:val="none"/>
                    </w:rPr>
                  </w:pPr>
                  <w:r>
                    <w:rPr>
                      <w:color w:val="000000"/>
                      <w:highlight w:val="none"/>
                    </w:rPr>
                    <w:t>噪声</w:t>
                  </w:r>
                </w:p>
              </w:tc>
              <w:tc>
                <w:tcPr>
                  <w:tcW w:w="912" w:type="pct"/>
                  <w:noWrap w:val="0"/>
                  <w:vAlign w:val="center"/>
                </w:tcPr>
                <w:p w14:paraId="01D60CBC">
                  <w:pPr>
                    <w:pStyle w:val="25"/>
                    <w:jc w:val="left"/>
                    <w:rPr>
                      <w:color w:val="000000"/>
                      <w:highlight w:val="none"/>
                    </w:rPr>
                  </w:pPr>
                  <w:r>
                    <w:rPr>
                      <w:color w:val="000000"/>
                      <w:highlight w:val="none"/>
                    </w:rPr>
                    <w:t>施工设备、钻井机械噪声</w:t>
                  </w:r>
                </w:p>
              </w:tc>
              <w:tc>
                <w:tcPr>
                  <w:tcW w:w="3316" w:type="pct"/>
                  <w:noWrap w:val="0"/>
                  <w:vAlign w:val="center"/>
                </w:tcPr>
                <w:p w14:paraId="54EA613C">
                  <w:pPr>
                    <w:pStyle w:val="25"/>
                    <w:jc w:val="left"/>
                    <w:rPr>
                      <w:color w:val="000000"/>
                      <w:highlight w:val="none"/>
                    </w:rPr>
                  </w:pPr>
                  <w:r>
                    <w:rPr>
                      <w:color w:val="000000"/>
                      <w:highlight w:val="none"/>
                    </w:rPr>
                    <w:t>减振、隔声降噪措施</w:t>
                  </w:r>
                </w:p>
              </w:tc>
            </w:tr>
            <w:tr w14:paraId="618DD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60642BF5">
                  <w:pPr>
                    <w:pStyle w:val="25"/>
                    <w:jc w:val="left"/>
                    <w:rPr>
                      <w:color w:val="000000"/>
                      <w:highlight w:val="none"/>
                    </w:rPr>
                  </w:pPr>
                </w:p>
              </w:tc>
              <w:tc>
                <w:tcPr>
                  <w:tcW w:w="272" w:type="pct"/>
                  <w:vMerge w:val="continue"/>
                  <w:noWrap w:val="0"/>
                  <w:vAlign w:val="center"/>
                </w:tcPr>
                <w:p w14:paraId="795774CC">
                  <w:pPr>
                    <w:pStyle w:val="25"/>
                    <w:jc w:val="left"/>
                    <w:rPr>
                      <w:color w:val="000000"/>
                      <w:highlight w:val="none"/>
                    </w:rPr>
                  </w:pPr>
                </w:p>
              </w:tc>
              <w:tc>
                <w:tcPr>
                  <w:tcW w:w="912" w:type="pct"/>
                  <w:noWrap w:val="0"/>
                  <w:vAlign w:val="center"/>
                </w:tcPr>
                <w:p w14:paraId="7E3060A0">
                  <w:pPr>
                    <w:pStyle w:val="25"/>
                    <w:jc w:val="left"/>
                    <w:rPr>
                      <w:color w:val="000000"/>
                      <w:highlight w:val="none"/>
                    </w:rPr>
                  </w:pPr>
                  <w:r>
                    <w:rPr>
                      <w:color w:val="000000"/>
                      <w:highlight w:val="none"/>
                    </w:rPr>
                    <w:t>试油期机械噪声</w:t>
                  </w:r>
                </w:p>
              </w:tc>
              <w:tc>
                <w:tcPr>
                  <w:tcW w:w="3316" w:type="pct"/>
                  <w:noWrap w:val="0"/>
                  <w:vAlign w:val="center"/>
                </w:tcPr>
                <w:p w14:paraId="10BC63E2">
                  <w:pPr>
                    <w:pStyle w:val="25"/>
                    <w:jc w:val="left"/>
                    <w:rPr>
                      <w:color w:val="000000"/>
                      <w:highlight w:val="none"/>
                    </w:rPr>
                  </w:pPr>
                  <w:r>
                    <w:rPr>
                      <w:color w:val="000000"/>
                      <w:highlight w:val="none"/>
                    </w:rPr>
                    <w:t>选用低噪声设备，安装基础减振垫</w:t>
                  </w:r>
                </w:p>
              </w:tc>
            </w:tr>
            <w:tr w14:paraId="33D19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05D237C1">
                  <w:pPr>
                    <w:pStyle w:val="25"/>
                    <w:jc w:val="left"/>
                    <w:rPr>
                      <w:color w:val="000000"/>
                      <w:highlight w:val="none"/>
                    </w:rPr>
                  </w:pPr>
                </w:p>
              </w:tc>
              <w:tc>
                <w:tcPr>
                  <w:tcW w:w="272" w:type="pct"/>
                  <w:vMerge w:val="restart"/>
                  <w:noWrap w:val="0"/>
                  <w:vAlign w:val="center"/>
                </w:tcPr>
                <w:p w14:paraId="4FF32717">
                  <w:pPr>
                    <w:pStyle w:val="25"/>
                    <w:jc w:val="left"/>
                    <w:rPr>
                      <w:color w:val="000000"/>
                      <w:highlight w:val="none"/>
                    </w:rPr>
                  </w:pPr>
                  <w:r>
                    <w:rPr>
                      <w:color w:val="000000"/>
                      <w:highlight w:val="none"/>
                    </w:rPr>
                    <w:t>固废</w:t>
                  </w:r>
                </w:p>
              </w:tc>
              <w:tc>
                <w:tcPr>
                  <w:tcW w:w="912" w:type="pct"/>
                  <w:noWrap w:val="0"/>
                  <w:vAlign w:val="center"/>
                </w:tcPr>
                <w:p w14:paraId="411E376B">
                  <w:pPr>
                    <w:pStyle w:val="25"/>
                    <w:jc w:val="left"/>
                    <w:rPr>
                      <w:color w:val="000000"/>
                      <w:highlight w:val="none"/>
                    </w:rPr>
                  </w:pPr>
                  <w:r>
                    <w:rPr>
                      <w:color w:val="000000"/>
                      <w:highlight w:val="none"/>
                    </w:rPr>
                    <w:t>岩屑</w:t>
                  </w:r>
                </w:p>
              </w:tc>
              <w:tc>
                <w:tcPr>
                  <w:tcW w:w="3316" w:type="pct"/>
                  <w:noWrap w:val="0"/>
                  <w:vAlign w:val="center"/>
                </w:tcPr>
                <w:p w14:paraId="36922FCB">
                  <w:pPr>
                    <w:pStyle w:val="25"/>
                    <w:jc w:val="left"/>
                    <w:rPr>
                      <w:color w:val="000000"/>
                      <w:highlight w:val="none"/>
                    </w:rPr>
                  </w:pPr>
                  <w:r>
                    <w:rPr>
                      <w:color w:val="000000"/>
                      <w:highlight w:val="none"/>
                    </w:rPr>
                    <w:t>水基岩屑和油基岩屑分别临时贮存在井场内的岩屑储罐，及时清运，</w:t>
                  </w:r>
                  <w:r>
                    <w:rPr>
                      <w:rStyle w:val="18"/>
                      <w:color w:val="000000"/>
                      <w:szCs w:val="24"/>
                      <w:highlight w:val="none"/>
                    </w:rPr>
                    <w:t>水基岩屑由第三方合规处置，油基岩屑委托具有危废处置资质的单位处置</w:t>
                  </w:r>
                </w:p>
              </w:tc>
            </w:tr>
            <w:tr w14:paraId="5FC41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8" w:type="pct"/>
                  <w:vMerge w:val="continue"/>
                  <w:noWrap w:val="0"/>
                  <w:vAlign w:val="center"/>
                </w:tcPr>
                <w:p w14:paraId="743E89F7">
                  <w:pPr>
                    <w:pStyle w:val="25"/>
                    <w:jc w:val="left"/>
                    <w:rPr>
                      <w:color w:val="000000"/>
                      <w:highlight w:val="none"/>
                    </w:rPr>
                  </w:pPr>
                </w:p>
              </w:tc>
              <w:tc>
                <w:tcPr>
                  <w:tcW w:w="272" w:type="pct"/>
                  <w:vMerge w:val="continue"/>
                  <w:noWrap w:val="0"/>
                  <w:vAlign w:val="center"/>
                </w:tcPr>
                <w:p w14:paraId="27B25606">
                  <w:pPr>
                    <w:pStyle w:val="25"/>
                    <w:jc w:val="left"/>
                    <w:rPr>
                      <w:color w:val="000000"/>
                      <w:highlight w:val="none"/>
                    </w:rPr>
                  </w:pPr>
                </w:p>
              </w:tc>
              <w:tc>
                <w:tcPr>
                  <w:tcW w:w="912" w:type="pct"/>
                  <w:noWrap w:val="0"/>
                  <w:vAlign w:val="center"/>
                </w:tcPr>
                <w:p w14:paraId="7B2638A2">
                  <w:pPr>
                    <w:pStyle w:val="25"/>
                    <w:jc w:val="left"/>
                    <w:rPr>
                      <w:color w:val="000000"/>
                      <w:highlight w:val="none"/>
                    </w:rPr>
                  </w:pPr>
                  <w:r>
                    <w:rPr>
                      <w:color w:val="000000"/>
                      <w:highlight w:val="none"/>
                    </w:rPr>
                    <w:t>生活垃圾</w:t>
                  </w:r>
                </w:p>
              </w:tc>
              <w:tc>
                <w:tcPr>
                  <w:tcW w:w="3316" w:type="pct"/>
                  <w:noWrap w:val="0"/>
                  <w:vAlign w:val="center"/>
                </w:tcPr>
                <w:p w14:paraId="7EDCC5AC">
                  <w:pPr>
                    <w:pStyle w:val="25"/>
                    <w:jc w:val="left"/>
                    <w:rPr>
                      <w:color w:val="000000"/>
                      <w:highlight w:val="none"/>
                    </w:rPr>
                  </w:pPr>
                  <w:r>
                    <w:rPr>
                      <w:color w:val="000000"/>
                      <w:highlight w:val="none"/>
                    </w:rPr>
                    <w:t>集中收集后统一拉运至石西油田作业区生活垃圾填埋场处理</w:t>
                  </w:r>
                </w:p>
              </w:tc>
            </w:tr>
            <w:tr w14:paraId="13DCF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498" w:type="pct"/>
                  <w:vMerge w:val="continue"/>
                  <w:noWrap w:val="0"/>
                  <w:vAlign w:val="center"/>
                </w:tcPr>
                <w:p w14:paraId="476C4E9D">
                  <w:pPr>
                    <w:pStyle w:val="25"/>
                    <w:jc w:val="left"/>
                    <w:rPr>
                      <w:color w:val="000000"/>
                      <w:highlight w:val="none"/>
                    </w:rPr>
                  </w:pPr>
                </w:p>
              </w:tc>
              <w:tc>
                <w:tcPr>
                  <w:tcW w:w="272" w:type="pct"/>
                  <w:vMerge w:val="continue"/>
                  <w:noWrap w:val="0"/>
                  <w:vAlign w:val="center"/>
                </w:tcPr>
                <w:p w14:paraId="71BE838C">
                  <w:pPr>
                    <w:pStyle w:val="25"/>
                    <w:jc w:val="left"/>
                    <w:rPr>
                      <w:color w:val="000000"/>
                      <w:highlight w:val="none"/>
                    </w:rPr>
                  </w:pPr>
                </w:p>
              </w:tc>
              <w:tc>
                <w:tcPr>
                  <w:tcW w:w="912" w:type="pct"/>
                  <w:tcBorders>
                    <w:top w:val="single" w:color="auto" w:sz="4" w:space="0"/>
                    <w:bottom w:val="single" w:color="auto" w:sz="4" w:space="0"/>
                  </w:tcBorders>
                  <w:noWrap w:val="0"/>
                  <w:vAlign w:val="center"/>
                </w:tcPr>
                <w:p w14:paraId="137C238B">
                  <w:pPr>
                    <w:pStyle w:val="25"/>
                    <w:jc w:val="left"/>
                    <w:rPr>
                      <w:color w:val="000000"/>
                      <w:highlight w:val="none"/>
                    </w:rPr>
                  </w:pPr>
                  <w:r>
                    <w:rPr>
                      <w:color w:val="000000"/>
                      <w:highlight w:val="none"/>
                    </w:rPr>
                    <w:t>废弃防渗膜</w:t>
                  </w:r>
                </w:p>
              </w:tc>
              <w:tc>
                <w:tcPr>
                  <w:tcW w:w="3316" w:type="pct"/>
                  <w:tcBorders>
                    <w:top w:val="single" w:color="auto" w:sz="4" w:space="0"/>
                    <w:bottom w:val="single" w:color="auto" w:sz="4" w:space="0"/>
                  </w:tcBorders>
                  <w:noWrap w:val="0"/>
                  <w:vAlign w:val="center"/>
                </w:tcPr>
                <w:p w14:paraId="58250D2D">
                  <w:pPr>
                    <w:pStyle w:val="25"/>
                    <w:ind w:left="-105" w:right="-105"/>
                    <w:jc w:val="left"/>
                    <w:rPr>
                      <w:color w:val="000000"/>
                      <w:highlight w:val="none"/>
                    </w:rPr>
                  </w:pPr>
                  <w:r>
                    <w:rPr>
                      <w:color w:val="000000"/>
                      <w:highlight w:val="none"/>
                    </w:rPr>
                    <w:t>集中收集后委托有危废处置资质的单位处置</w:t>
                  </w:r>
                </w:p>
              </w:tc>
            </w:tr>
            <w:tr w14:paraId="3C7D7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498" w:type="pct"/>
                  <w:vMerge w:val="continue"/>
                  <w:noWrap w:val="0"/>
                  <w:vAlign w:val="center"/>
                </w:tcPr>
                <w:p w14:paraId="4231E03B">
                  <w:pPr>
                    <w:pStyle w:val="25"/>
                    <w:jc w:val="left"/>
                    <w:rPr>
                      <w:color w:val="000000"/>
                      <w:highlight w:val="none"/>
                    </w:rPr>
                  </w:pPr>
                </w:p>
              </w:tc>
              <w:tc>
                <w:tcPr>
                  <w:tcW w:w="272" w:type="pct"/>
                  <w:vMerge w:val="continue"/>
                  <w:noWrap w:val="0"/>
                  <w:vAlign w:val="center"/>
                </w:tcPr>
                <w:p w14:paraId="1ED77098">
                  <w:pPr>
                    <w:pStyle w:val="25"/>
                    <w:jc w:val="left"/>
                    <w:rPr>
                      <w:color w:val="000000"/>
                      <w:highlight w:val="none"/>
                    </w:rPr>
                  </w:pPr>
                </w:p>
              </w:tc>
              <w:tc>
                <w:tcPr>
                  <w:tcW w:w="912" w:type="pct"/>
                  <w:tcBorders>
                    <w:top w:val="single" w:color="auto" w:sz="4" w:space="0"/>
                    <w:bottom w:val="single" w:color="auto" w:sz="4" w:space="0"/>
                  </w:tcBorders>
                  <w:noWrap w:val="0"/>
                  <w:vAlign w:val="center"/>
                </w:tcPr>
                <w:p w14:paraId="0B10EACC">
                  <w:pPr>
                    <w:pStyle w:val="25"/>
                    <w:jc w:val="left"/>
                    <w:rPr>
                      <w:color w:val="000000"/>
                      <w:highlight w:val="none"/>
                    </w:rPr>
                  </w:pPr>
                  <w:r>
                    <w:rPr>
                      <w:color w:val="000000"/>
                      <w:highlight w:val="none"/>
                    </w:rPr>
                    <w:t>机械设备废油</w:t>
                  </w:r>
                </w:p>
              </w:tc>
              <w:tc>
                <w:tcPr>
                  <w:tcW w:w="3316" w:type="pct"/>
                  <w:tcBorders>
                    <w:top w:val="single" w:color="auto" w:sz="4" w:space="0"/>
                    <w:bottom w:val="single" w:color="auto" w:sz="4" w:space="0"/>
                  </w:tcBorders>
                  <w:noWrap w:val="0"/>
                  <w:vAlign w:val="center"/>
                </w:tcPr>
                <w:p w14:paraId="0ACABC83">
                  <w:pPr>
                    <w:pStyle w:val="25"/>
                    <w:jc w:val="left"/>
                    <w:rPr>
                      <w:color w:val="000000"/>
                      <w:highlight w:val="none"/>
                    </w:rPr>
                  </w:pPr>
                  <w:r>
                    <w:rPr>
                      <w:color w:val="000000"/>
                      <w:highlight w:val="none"/>
                    </w:rPr>
                    <w:t>委托有危废处置资质的单位处置</w:t>
                  </w:r>
                </w:p>
              </w:tc>
            </w:tr>
            <w:tr w14:paraId="2CE61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498" w:type="pct"/>
                  <w:vMerge w:val="continue"/>
                  <w:noWrap w:val="0"/>
                  <w:vAlign w:val="center"/>
                </w:tcPr>
                <w:p w14:paraId="0F5A412A">
                  <w:pPr>
                    <w:pStyle w:val="25"/>
                    <w:jc w:val="left"/>
                    <w:rPr>
                      <w:color w:val="000000"/>
                      <w:highlight w:val="none"/>
                    </w:rPr>
                  </w:pPr>
                </w:p>
              </w:tc>
              <w:tc>
                <w:tcPr>
                  <w:tcW w:w="1184" w:type="pct"/>
                  <w:gridSpan w:val="2"/>
                  <w:noWrap w:val="0"/>
                  <w:vAlign w:val="center"/>
                </w:tcPr>
                <w:p w14:paraId="0A6C13FF">
                  <w:pPr>
                    <w:pStyle w:val="25"/>
                    <w:jc w:val="left"/>
                    <w:rPr>
                      <w:color w:val="000000"/>
                      <w:highlight w:val="none"/>
                    </w:rPr>
                  </w:pPr>
                  <w:r>
                    <w:rPr>
                      <w:color w:val="000000"/>
                      <w:highlight w:val="none"/>
                    </w:rPr>
                    <w:t>生态恢复</w:t>
                  </w:r>
                </w:p>
              </w:tc>
              <w:tc>
                <w:tcPr>
                  <w:tcW w:w="3316" w:type="pct"/>
                  <w:noWrap w:val="0"/>
                  <w:vAlign w:val="center"/>
                </w:tcPr>
                <w:p w14:paraId="5786EE87">
                  <w:pPr>
                    <w:pStyle w:val="25"/>
                    <w:jc w:val="left"/>
                    <w:rPr>
                      <w:color w:val="000000"/>
                      <w:highlight w:val="none"/>
                    </w:rPr>
                  </w:pPr>
                  <w:r>
                    <w:rPr>
                      <w:color w:val="000000"/>
                      <w:highlight w:val="none"/>
                    </w:rPr>
                    <w:t>施工结束后井场周边平整场地，自然恢复</w:t>
                  </w:r>
                </w:p>
              </w:tc>
            </w:tr>
            <w:tr w14:paraId="3AABD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8" w:type="pct"/>
                  <w:vMerge w:val="restart"/>
                  <w:tcBorders>
                    <w:right w:val="single" w:color="auto" w:sz="4" w:space="0"/>
                  </w:tcBorders>
                  <w:noWrap w:val="0"/>
                  <w:vAlign w:val="center"/>
                </w:tcPr>
                <w:p w14:paraId="26193ED1">
                  <w:pPr>
                    <w:pStyle w:val="25"/>
                    <w:jc w:val="left"/>
                    <w:rPr>
                      <w:color w:val="000000"/>
                      <w:highlight w:val="none"/>
                    </w:rPr>
                  </w:pPr>
                  <w:r>
                    <w:rPr>
                      <w:color w:val="000000"/>
                      <w:highlight w:val="none"/>
                    </w:rPr>
                    <w:t>依托工程</w:t>
                  </w:r>
                </w:p>
              </w:tc>
              <w:tc>
                <w:tcPr>
                  <w:tcW w:w="1184" w:type="pct"/>
                  <w:gridSpan w:val="2"/>
                  <w:tcBorders>
                    <w:left w:val="single" w:color="auto" w:sz="4" w:space="0"/>
                    <w:bottom w:val="single" w:color="auto" w:sz="4" w:space="0"/>
                  </w:tcBorders>
                  <w:noWrap w:val="0"/>
                  <w:vAlign w:val="center"/>
                </w:tcPr>
                <w:p w14:paraId="735EAF52">
                  <w:pPr>
                    <w:pStyle w:val="25"/>
                    <w:rPr>
                      <w:color w:val="000000"/>
                      <w:highlight w:val="none"/>
                    </w:rPr>
                  </w:pPr>
                  <w:r>
                    <w:rPr>
                      <w:color w:val="000000"/>
                      <w:highlight w:val="none"/>
                    </w:rPr>
                    <w:t>石西集中处理站</w:t>
                  </w:r>
                </w:p>
              </w:tc>
              <w:tc>
                <w:tcPr>
                  <w:tcW w:w="3316" w:type="pct"/>
                  <w:tcBorders>
                    <w:bottom w:val="single" w:color="auto" w:sz="4" w:space="0"/>
                  </w:tcBorders>
                  <w:noWrap w:val="0"/>
                  <w:vAlign w:val="center"/>
                </w:tcPr>
                <w:p w14:paraId="0627CB07">
                  <w:pPr>
                    <w:jc w:val="both"/>
                    <w:rPr>
                      <w:color w:val="000000"/>
                      <w:highlight w:val="none"/>
                    </w:rPr>
                  </w:pPr>
                  <w:r>
                    <w:rPr>
                      <w:color w:val="000000"/>
                      <w:sz w:val="21"/>
                      <w:szCs w:val="21"/>
                      <w:highlight w:val="none"/>
                    </w:rPr>
                    <w:t>石西集中处理站采出水处理系统设计处理规模2600m</w:t>
                  </w:r>
                  <w:r>
                    <w:rPr>
                      <w:color w:val="000000"/>
                      <w:sz w:val="21"/>
                      <w:szCs w:val="21"/>
                      <w:highlight w:val="none"/>
                      <w:vertAlign w:val="superscript"/>
                    </w:rPr>
                    <w:t>3</w:t>
                  </w:r>
                  <w:r>
                    <w:rPr>
                      <w:color w:val="000000"/>
                      <w:sz w:val="21"/>
                      <w:szCs w:val="21"/>
                      <w:highlight w:val="none"/>
                    </w:rPr>
                    <w:t>/d，目前实际日处理量约2200m</w:t>
                  </w:r>
                  <w:r>
                    <w:rPr>
                      <w:color w:val="000000"/>
                      <w:sz w:val="21"/>
                      <w:szCs w:val="21"/>
                      <w:highlight w:val="none"/>
                      <w:vertAlign w:val="superscript"/>
                    </w:rPr>
                    <w:t>3</w:t>
                  </w:r>
                  <w:r>
                    <w:rPr>
                      <w:color w:val="000000"/>
                      <w:sz w:val="21"/>
                      <w:szCs w:val="21"/>
                      <w:highlight w:val="none"/>
                    </w:rPr>
                    <w:t>/d，富余处理能力为400m</w:t>
                  </w:r>
                  <w:r>
                    <w:rPr>
                      <w:color w:val="000000"/>
                      <w:sz w:val="21"/>
                      <w:szCs w:val="21"/>
                      <w:highlight w:val="none"/>
                      <w:vertAlign w:val="superscript"/>
                    </w:rPr>
                    <w:t>3</w:t>
                  </w:r>
                  <w:r>
                    <w:rPr>
                      <w:color w:val="000000"/>
                      <w:sz w:val="21"/>
                      <w:szCs w:val="21"/>
                      <w:highlight w:val="none"/>
                    </w:rPr>
                    <w:t>/d，本项目的井下作业废水产生量约54.26m</w:t>
                  </w:r>
                  <w:r>
                    <w:rPr>
                      <w:color w:val="000000"/>
                      <w:sz w:val="21"/>
                      <w:szCs w:val="21"/>
                      <w:highlight w:val="none"/>
                      <w:vertAlign w:val="superscript"/>
                    </w:rPr>
                    <w:t>3</w:t>
                  </w:r>
                  <w:r>
                    <w:rPr>
                      <w:color w:val="000000"/>
                      <w:sz w:val="21"/>
                      <w:szCs w:val="21"/>
                      <w:highlight w:val="none"/>
                    </w:rPr>
                    <w:t>/次，压裂返排液产生量约为306.42m</w:t>
                  </w:r>
                  <w:r>
                    <w:rPr>
                      <w:color w:val="000000"/>
                      <w:sz w:val="21"/>
                      <w:szCs w:val="21"/>
                      <w:highlight w:val="none"/>
                      <w:vertAlign w:val="superscript"/>
                    </w:rPr>
                    <w:t>3</w:t>
                  </w:r>
                  <w:r>
                    <w:rPr>
                      <w:color w:val="000000"/>
                      <w:sz w:val="21"/>
                      <w:szCs w:val="21"/>
                      <w:highlight w:val="none"/>
                    </w:rPr>
                    <w:t>/次。井下作业废水和压裂返排液用专用罐车拉运至石西集中处理站修井废液池中后再回收至石西采出水处理系统处理，依托可行。</w:t>
                  </w:r>
                </w:p>
              </w:tc>
            </w:tr>
            <w:tr w14:paraId="1C99B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498" w:type="pct"/>
                  <w:vMerge w:val="continue"/>
                  <w:tcBorders>
                    <w:right w:val="single" w:color="auto" w:sz="4" w:space="0"/>
                  </w:tcBorders>
                  <w:noWrap w:val="0"/>
                  <w:vAlign w:val="center"/>
                </w:tcPr>
                <w:p w14:paraId="0DA9AEE5">
                  <w:pPr>
                    <w:pStyle w:val="25"/>
                    <w:jc w:val="left"/>
                    <w:rPr>
                      <w:color w:val="000000"/>
                      <w:highlight w:val="none"/>
                    </w:rPr>
                  </w:pPr>
                </w:p>
              </w:tc>
              <w:tc>
                <w:tcPr>
                  <w:tcW w:w="1184" w:type="pct"/>
                  <w:gridSpan w:val="2"/>
                  <w:tcBorders>
                    <w:top w:val="single" w:color="auto" w:sz="4" w:space="0"/>
                    <w:left w:val="single" w:color="auto" w:sz="4" w:space="0"/>
                    <w:bottom w:val="single" w:color="auto" w:sz="4" w:space="0"/>
                  </w:tcBorders>
                  <w:noWrap w:val="0"/>
                  <w:vAlign w:val="center"/>
                </w:tcPr>
                <w:p w14:paraId="6EE046B4">
                  <w:pPr>
                    <w:pStyle w:val="25"/>
                    <w:rPr>
                      <w:color w:val="000000"/>
                      <w:highlight w:val="none"/>
                    </w:rPr>
                  </w:pPr>
                  <w:r>
                    <w:rPr>
                      <w:color w:val="000000"/>
                      <w:highlight w:val="none"/>
                    </w:rPr>
                    <w:t>石西油田作业区生活区污水处理站</w:t>
                  </w:r>
                </w:p>
              </w:tc>
              <w:tc>
                <w:tcPr>
                  <w:tcW w:w="3316" w:type="pct"/>
                  <w:tcBorders>
                    <w:top w:val="single" w:color="auto" w:sz="4" w:space="0"/>
                    <w:bottom w:val="single" w:color="auto" w:sz="4" w:space="0"/>
                  </w:tcBorders>
                  <w:noWrap w:val="0"/>
                  <w:vAlign w:val="center"/>
                </w:tcPr>
                <w:p w14:paraId="0E748B9F">
                  <w:pPr>
                    <w:pStyle w:val="25"/>
                    <w:jc w:val="both"/>
                    <w:rPr>
                      <w:bCs/>
                      <w:color w:val="000000"/>
                      <w:highlight w:val="none"/>
                    </w:rPr>
                  </w:pPr>
                  <w:r>
                    <w:rPr>
                      <w:bCs/>
                      <w:color w:val="000000"/>
                      <w:highlight w:val="none"/>
                    </w:rPr>
                    <w:t>施工人员产生的生活污水由防渗生活污水收集池收集后，定期由吸污车拉运至石西油田作业区生活污水处理站进行处理。</w:t>
                  </w:r>
                </w:p>
                <w:p w14:paraId="0B8E6EC8">
                  <w:pPr>
                    <w:pStyle w:val="25"/>
                    <w:jc w:val="both"/>
                    <w:rPr>
                      <w:color w:val="000000"/>
                      <w:highlight w:val="none"/>
                    </w:rPr>
                  </w:pPr>
                  <w:r>
                    <w:rPr>
                      <w:bCs/>
                      <w:color w:val="000000"/>
                      <w:highlight w:val="none"/>
                    </w:rPr>
                    <w:t>石西油田作业区生活污水处理系统设计处理规模为600m</w:t>
                  </w:r>
                  <w:r>
                    <w:rPr>
                      <w:bCs/>
                      <w:color w:val="000000"/>
                      <w:highlight w:val="none"/>
                      <w:vertAlign w:val="superscript"/>
                    </w:rPr>
                    <w:t>3</w:t>
                  </w:r>
                  <w:r>
                    <w:rPr>
                      <w:bCs/>
                      <w:color w:val="000000"/>
                      <w:highlight w:val="none"/>
                    </w:rPr>
                    <w:t>/d，采用“接触氧化＋斜板沉淀+二氧化氯消毒”的处理工艺，出水水质可满足《城镇污水处理厂污染物排放标准》（GB18918-2002）的二级标准和《城市污水再生利用城市</w:t>
                  </w:r>
                  <w:r>
                    <w:rPr>
                      <w:rFonts w:hint="eastAsia"/>
                      <w:bCs/>
                      <w:color w:val="000000"/>
                      <w:highlight w:val="none"/>
                    </w:rPr>
                    <w:t xml:space="preserve"> </w:t>
                  </w:r>
                  <w:r>
                    <w:rPr>
                      <w:bCs/>
                      <w:color w:val="000000"/>
                      <w:highlight w:val="none"/>
                    </w:rPr>
                    <w:t>杂用水水质标准》（GB/T18920-2020）中城市绿化指标，处理达标后用于厂区及周围植被的绿化。目前石西油田作业区生活污水处理系统实际处理量为540m</w:t>
                  </w:r>
                  <w:r>
                    <w:rPr>
                      <w:bCs/>
                      <w:color w:val="000000"/>
                      <w:highlight w:val="none"/>
                      <w:vertAlign w:val="superscript"/>
                    </w:rPr>
                    <w:t>3</w:t>
                  </w:r>
                  <w:r>
                    <w:rPr>
                      <w:bCs/>
                      <w:color w:val="000000"/>
                      <w:highlight w:val="none"/>
                    </w:rPr>
                    <w:t>/d，剩余处理能力60m</w:t>
                  </w:r>
                  <w:r>
                    <w:rPr>
                      <w:bCs/>
                      <w:color w:val="000000"/>
                      <w:highlight w:val="none"/>
                      <w:vertAlign w:val="superscript"/>
                    </w:rPr>
                    <w:t>3</w:t>
                  </w:r>
                  <w:r>
                    <w:rPr>
                      <w:bCs/>
                      <w:color w:val="000000"/>
                      <w:highlight w:val="none"/>
                    </w:rPr>
                    <w:t>/d。本项目施工期钻井队的生活污水最大产生量为2.24m</w:t>
                  </w:r>
                  <w:r>
                    <w:rPr>
                      <w:bCs/>
                      <w:color w:val="000000"/>
                      <w:highlight w:val="none"/>
                      <w:vertAlign w:val="superscript"/>
                    </w:rPr>
                    <w:t>3</w:t>
                  </w:r>
                  <w:r>
                    <w:rPr>
                      <w:bCs/>
                      <w:color w:val="000000"/>
                      <w:highlight w:val="none"/>
                    </w:rPr>
                    <w:t>/d（280m</w:t>
                  </w:r>
                  <w:r>
                    <w:rPr>
                      <w:bCs/>
                      <w:color w:val="000000"/>
                      <w:highlight w:val="none"/>
                      <w:vertAlign w:val="superscript"/>
                    </w:rPr>
                    <w:t>3</w:t>
                  </w:r>
                  <w:r>
                    <w:rPr>
                      <w:bCs/>
                      <w:color w:val="000000"/>
                      <w:highlight w:val="none"/>
                    </w:rPr>
                    <w:t>/施工期），依托可行。</w:t>
                  </w:r>
                </w:p>
              </w:tc>
            </w:tr>
            <w:tr w14:paraId="7E2C6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498" w:type="pct"/>
                  <w:vMerge w:val="continue"/>
                  <w:tcBorders>
                    <w:right w:val="single" w:color="auto" w:sz="4" w:space="0"/>
                  </w:tcBorders>
                  <w:noWrap w:val="0"/>
                  <w:vAlign w:val="center"/>
                </w:tcPr>
                <w:p w14:paraId="0F962585">
                  <w:pPr>
                    <w:pStyle w:val="25"/>
                    <w:jc w:val="left"/>
                    <w:rPr>
                      <w:color w:val="000000"/>
                      <w:highlight w:val="none"/>
                    </w:rPr>
                  </w:pPr>
                </w:p>
              </w:tc>
              <w:tc>
                <w:tcPr>
                  <w:tcW w:w="1184" w:type="pct"/>
                  <w:gridSpan w:val="2"/>
                  <w:tcBorders>
                    <w:top w:val="single" w:color="auto" w:sz="4" w:space="0"/>
                    <w:bottom w:val="single" w:color="auto" w:sz="4" w:space="0"/>
                  </w:tcBorders>
                  <w:noWrap w:val="0"/>
                  <w:vAlign w:val="center"/>
                </w:tcPr>
                <w:p w14:paraId="2ADB7A41">
                  <w:pPr>
                    <w:pStyle w:val="25"/>
                    <w:rPr>
                      <w:color w:val="000000"/>
                      <w:highlight w:val="none"/>
                    </w:rPr>
                  </w:pPr>
                  <w:r>
                    <w:rPr>
                      <w:color w:val="000000"/>
                      <w:highlight w:val="none"/>
                    </w:rPr>
                    <w:t>石西油田作业区生活垃圾填埋场</w:t>
                  </w:r>
                </w:p>
              </w:tc>
              <w:tc>
                <w:tcPr>
                  <w:tcW w:w="3316" w:type="pct"/>
                  <w:tcBorders>
                    <w:top w:val="single" w:color="auto" w:sz="4" w:space="0"/>
                    <w:bottom w:val="single" w:color="auto" w:sz="4" w:space="0"/>
                  </w:tcBorders>
                  <w:noWrap w:val="0"/>
                  <w:vAlign w:val="center"/>
                </w:tcPr>
                <w:p w14:paraId="5CBC96D6">
                  <w:pPr>
                    <w:pStyle w:val="25"/>
                    <w:jc w:val="both"/>
                    <w:rPr>
                      <w:bCs/>
                      <w:color w:val="000000"/>
                      <w:highlight w:val="none"/>
                    </w:rPr>
                  </w:pPr>
                  <w:r>
                    <w:rPr>
                      <w:bCs/>
                      <w:color w:val="000000"/>
                      <w:highlight w:val="none"/>
                    </w:rPr>
                    <w:t>本项目施工期生活垃圾运送至石西油田作业区生活垃圾填埋场填埋处置。</w:t>
                  </w:r>
                </w:p>
                <w:p w14:paraId="064D6D82">
                  <w:pPr>
                    <w:pStyle w:val="25"/>
                    <w:jc w:val="both"/>
                    <w:rPr>
                      <w:color w:val="000000"/>
                      <w:highlight w:val="none"/>
                    </w:rPr>
                  </w:pPr>
                  <w:r>
                    <w:rPr>
                      <w:bCs/>
                      <w:color w:val="000000"/>
                      <w:highlight w:val="none"/>
                    </w:rPr>
                    <w:t>石西油田作业区在2017年已建1座生活垃圾填埋场，位于石西公寓西北偏西方向2.5km处。生活垃圾卫生填埋场占地22900m</w:t>
                  </w:r>
                  <w:r>
                    <w:rPr>
                      <w:bCs/>
                      <w:color w:val="000000"/>
                      <w:highlight w:val="none"/>
                      <w:vertAlign w:val="superscript"/>
                    </w:rPr>
                    <w:t>2</w:t>
                  </w:r>
                  <w:r>
                    <w:rPr>
                      <w:bCs/>
                      <w:color w:val="000000"/>
                      <w:highlight w:val="none"/>
                    </w:rPr>
                    <w:t>，设计库容为25000m</w:t>
                  </w:r>
                  <w:r>
                    <w:rPr>
                      <w:bCs/>
                      <w:color w:val="000000"/>
                      <w:highlight w:val="none"/>
                      <w:vertAlign w:val="superscript"/>
                    </w:rPr>
                    <w:t>3</w:t>
                  </w:r>
                  <w:r>
                    <w:rPr>
                      <w:bCs/>
                      <w:color w:val="000000"/>
                      <w:highlight w:val="none"/>
                    </w:rPr>
                    <w:t>，处理规模为1320t/a</w:t>
                  </w:r>
                  <w:r>
                    <w:rPr>
                      <w:color w:val="000000"/>
                      <w:kern w:val="2"/>
                      <w:szCs w:val="24"/>
                      <w:highlight w:val="none"/>
                    </w:rPr>
                    <w:t xml:space="preserve">，采用人工合成材料防渗衬层，设计使用年限15年。本项目施工期生活垃圾产生量为2.18t，相对石西油田作业区生活垃圾填埋场处理量占比较小，可满足本项目生活垃圾处理要求。 </w:t>
                  </w:r>
                </w:p>
              </w:tc>
            </w:tr>
          </w:tbl>
          <w:p w14:paraId="65EA5E4E">
            <w:pPr>
              <w:keepNext/>
              <w:keepLines/>
              <w:spacing w:line="360" w:lineRule="auto"/>
              <w:jc w:val="left"/>
              <w:outlineLvl w:val="1"/>
              <w:rPr>
                <w:b/>
                <w:bCs/>
                <w:color w:val="000000"/>
                <w:sz w:val="28"/>
                <w:szCs w:val="28"/>
                <w:highlight w:val="none"/>
              </w:rPr>
            </w:pPr>
            <w:r>
              <w:rPr>
                <w:b/>
                <w:bCs/>
                <w:color w:val="000000"/>
                <w:sz w:val="28"/>
                <w:szCs w:val="28"/>
                <w:highlight w:val="none"/>
              </w:rPr>
              <w:t>2 油气储层情况</w:t>
            </w:r>
          </w:p>
          <w:p w14:paraId="0FE4FDEA">
            <w:pPr>
              <w:keepNext/>
              <w:keepLines/>
              <w:spacing w:line="360" w:lineRule="auto"/>
              <w:jc w:val="left"/>
              <w:outlineLvl w:val="1"/>
              <w:rPr>
                <w:b/>
                <w:bCs/>
                <w:color w:val="000000"/>
                <w:highlight w:val="none"/>
              </w:rPr>
            </w:pPr>
            <w:r>
              <w:rPr>
                <w:b/>
                <w:bCs/>
                <w:color w:val="000000"/>
                <w:highlight w:val="none"/>
              </w:rPr>
              <w:t>2.1构造层位、储层性质描述</w:t>
            </w:r>
          </w:p>
          <w:p w14:paraId="30190F6D">
            <w:pPr>
              <w:spacing w:line="360" w:lineRule="auto"/>
              <w:ind w:firstLine="480" w:firstLineChars="200"/>
              <w:jc w:val="both"/>
              <w:rPr>
                <w:color w:val="000000"/>
                <w:highlight w:val="none"/>
              </w:rPr>
            </w:pPr>
            <w:r>
              <w:rPr>
                <w:color w:val="000000"/>
                <w:highlight w:val="none"/>
              </w:rPr>
              <w:t>根</w:t>
            </w:r>
            <w:r>
              <w:rPr>
                <w:color w:val="000000"/>
                <w:spacing w:val="4"/>
                <w:highlight w:val="none"/>
              </w:rPr>
              <w:t>据钻井和地震资料分析，</w:t>
            </w:r>
            <w:r>
              <w:rPr>
                <w:color w:val="000000"/>
                <w:highlight w:val="none"/>
              </w:rPr>
              <w:t>莫17区块地层发育较全，自上而下钻揭的地层有第四系（Q），新近系（N），古近系（E），白垩系东沟组（K</w:t>
            </w:r>
            <w:r>
              <w:rPr>
                <w:color w:val="000000"/>
                <w:highlight w:val="none"/>
                <w:vertAlign w:val="subscript"/>
              </w:rPr>
              <w:t>2</w:t>
            </w:r>
            <w:r>
              <w:rPr>
                <w:i/>
                <w:color w:val="000000"/>
                <w:highlight w:val="none"/>
              </w:rPr>
              <w:t>d</w:t>
            </w:r>
            <w:r>
              <w:rPr>
                <w:color w:val="000000"/>
                <w:highlight w:val="none"/>
              </w:rPr>
              <w:t>）、连木沁组（K</w:t>
            </w:r>
            <w:r>
              <w:rPr>
                <w:color w:val="000000"/>
                <w:highlight w:val="none"/>
                <w:vertAlign w:val="subscript"/>
              </w:rPr>
              <w:t>1</w:t>
            </w:r>
            <w:r>
              <w:rPr>
                <w:i/>
                <w:color w:val="000000"/>
                <w:highlight w:val="none"/>
              </w:rPr>
              <w:t>l</w:t>
            </w:r>
            <w:r>
              <w:rPr>
                <w:color w:val="000000"/>
                <w:highlight w:val="none"/>
              </w:rPr>
              <w:t>）、胜金口组（K</w:t>
            </w:r>
            <w:r>
              <w:rPr>
                <w:color w:val="000000"/>
                <w:highlight w:val="none"/>
                <w:vertAlign w:val="subscript"/>
              </w:rPr>
              <w:t>1</w:t>
            </w:r>
            <w:r>
              <w:rPr>
                <w:i/>
                <w:color w:val="000000"/>
                <w:highlight w:val="none"/>
              </w:rPr>
              <w:t>s</w:t>
            </w:r>
            <w:r>
              <w:rPr>
                <w:color w:val="000000"/>
                <w:highlight w:val="none"/>
              </w:rPr>
              <w:t>）、呼图壁组（K</w:t>
            </w:r>
            <w:r>
              <w:rPr>
                <w:color w:val="000000"/>
                <w:highlight w:val="none"/>
                <w:vertAlign w:val="subscript"/>
              </w:rPr>
              <w:t>1</w:t>
            </w:r>
            <w:r>
              <w:rPr>
                <w:i/>
                <w:color w:val="000000"/>
                <w:highlight w:val="none"/>
              </w:rPr>
              <w:t>h</w:t>
            </w:r>
            <w:r>
              <w:rPr>
                <w:color w:val="000000"/>
                <w:highlight w:val="none"/>
              </w:rPr>
              <w:t>）、清水河组（K</w:t>
            </w:r>
            <w:r>
              <w:rPr>
                <w:color w:val="000000"/>
                <w:highlight w:val="none"/>
                <w:vertAlign w:val="subscript"/>
              </w:rPr>
              <w:t>1</w:t>
            </w:r>
            <w:r>
              <w:rPr>
                <w:i/>
                <w:color w:val="000000"/>
                <w:highlight w:val="none"/>
              </w:rPr>
              <w:t>q</w:t>
            </w:r>
            <w:r>
              <w:rPr>
                <w:color w:val="000000"/>
                <w:highlight w:val="none"/>
              </w:rPr>
              <w:t>），侏罗系头屯河组（J</w:t>
            </w:r>
            <w:r>
              <w:rPr>
                <w:color w:val="000000"/>
                <w:highlight w:val="none"/>
                <w:vertAlign w:val="subscript"/>
              </w:rPr>
              <w:t>2</w:t>
            </w:r>
            <w:r>
              <w:rPr>
                <w:i/>
                <w:iCs/>
                <w:color w:val="000000"/>
                <w:highlight w:val="none"/>
              </w:rPr>
              <w:t>t</w:t>
            </w:r>
            <w:r>
              <w:rPr>
                <w:color w:val="000000"/>
                <w:highlight w:val="none"/>
              </w:rPr>
              <w:t>）、西山窑组（J</w:t>
            </w:r>
            <w:r>
              <w:rPr>
                <w:color w:val="000000"/>
                <w:highlight w:val="none"/>
                <w:vertAlign w:val="subscript"/>
              </w:rPr>
              <w:t>2</w:t>
            </w:r>
            <w:r>
              <w:rPr>
                <w:i/>
                <w:iCs/>
                <w:color w:val="000000"/>
                <w:highlight w:val="none"/>
              </w:rPr>
              <w:t>x</w:t>
            </w:r>
            <w:r>
              <w:rPr>
                <w:color w:val="000000"/>
                <w:highlight w:val="none"/>
              </w:rPr>
              <w:t>）、三工河组（J</w:t>
            </w:r>
            <w:r>
              <w:rPr>
                <w:color w:val="000000"/>
                <w:highlight w:val="none"/>
                <w:vertAlign w:val="subscript"/>
              </w:rPr>
              <w:t>1</w:t>
            </w:r>
            <w:r>
              <w:rPr>
                <w:i/>
                <w:iCs/>
                <w:color w:val="000000"/>
                <w:highlight w:val="none"/>
              </w:rPr>
              <w:t>s</w:t>
            </w:r>
            <w:r>
              <w:rPr>
                <w:color w:val="000000"/>
                <w:highlight w:val="none"/>
              </w:rPr>
              <w:t>）、八道湾组（J</w:t>
            </w:r>
            <w:r>
              <w:rPr>
                <w:color w:val="000000"/>
                <w:highlight w:val="none"/>
                <w:vertAlign w:val="subscript"/>
              </w:rPr>
              <w:t>1</w:t>
            </w:r>
            <w:r>
              <w:rPr>
                <w:i/>
                <w:iCs/>
                <w:color w:val="000000"/>
                <w:highlight w:val="none"/>
              </w:rPr>
              <w:t>b</w:t>
            </w:r>
            <w:r>
              <w:rPr>
                <w:color w:val="000000"/>
                <w:highlight w:val="none"/>
              </w:rPr>
              <w:t>），三叠系白碱滩组（T</w:t>
            </w:r>
            <w:r>
              <w:rPr>
                <w:color w:val="000000"/>
                <w:highlight w:val="none"/>
                <w:vertAlign w:val="subscript"/>
              </w:rPr>
              <w:t>3</w:t>
            </w:r>
            <w:r>
              <w:rPr>
                <w:i/>
                <w:iCs/>
                <w:color w:val="000000"/>
                <w:highlight w:val="none"/>
              </w:rPr>
              <w:t>b</w:t>
            </w:r>
            <w:r>
              <w:rPr>
                <w:color w:val="000000"/>
                <w:highlight w:val="none"/>
              </w:rPr>
              <w:t>）、克拉玛依组（T</w:t>
            </w:r>
            <w:r>
              <w:rPr>
                <w:color w:val="000000"/>
                <w:highlight w:val="none"/>
                <w:vertAlign w:val="subscript"/>
              </w:rPr>
              <w:t>2</w:t>
            </w:r>
            <w:r>
              <w:rPr>
                <w:i/>
                <w:iCs/>
                <w:color w:val="000000"/>
                <w:highlight w:val="none"/>
              </w:rPr>
              <w:t>k</w:t>
            </w:r>
            <w:r>
              <w:rPr>
                <w:color w:val="000000"/>
                <w:highlight w:val="none"/>
              </w:rPr>
              <w:t>）、百口泉（T</w:t>
            </w:r>
            <w:r>
              <w:rPr>
                <w:color w:val="000000"/>
                <w:highlight w:val="none"/>
                <w:vertAlign w:val="subscript"/>
              </w:rPr>
              <w:t>1</w:t>
            </w:r>
            <w:r>
              <w:rPr>
                <w:i/>
                <w:iCs/>
                <w:color w:val="000000"/>
                <w:highlight w:val="none"/>
              </w:rPr>
              <w:t>b</w:t>
            </w:r>
            <w:r>
              <w:rPr>
                <w:color w:val="000000"/>
                <w:highlight w:val="none"/>
              </w:rPr>
              <w:t>），二叠系上乌尔禾组（P</w:t>
            </w:r>
            <w:r>
              <w:rPr>
                <w:color w:val="000000"/>
                <w:highlight w:val="none"/>
                <w:vertAlign w:val="subscript"/>
              </w:rPr>
              <w:t>3</w:t>
            </w:r>
            <w:r>
              <w:rPr>
                <w:i/>
                <w:iCs/>
                <w:color w:val="000000"/>
                <w:highlight w:val="none"/>
              </w:rPr>
              <w:t>w</w:t>
            </w:r>
            <w:r>
              <w:rPr>
                <w:color w:val="000000"/>
                <w:highlight w:val="none"/>
              </w:rPr>
              <w:t>）、下乌尔禾（P</w:t>
            </w:r>
            <w:r>
              <w:rPr>
                <w:color w:val="000000"/>
                <w:highlight w:val="none"/>
                <w:vertAlign w:val="subscript"/>
              </w:rPr>
              <w:t>2</w:t>
            </w:r>
            <w:r>
              <w:rPr>
                <w:i/>
                <w:iCs/>
                <w:color w:val="000000"/>
                <w:highlight w:val="none"/>
              </w:rPr>
              <w:t>w</w:t>
            </w:r>
            <w:r>
              <w:rPr>
                <w:color w:val="000000"/>
                <w:highlight w:val="none"/>
              </w:rPr>
              <w:t>）、夏子街组（P</w:t>
            </w:r>
            <w:r>
              <w:rPr>
                <w:color w:val="000000"/>
                <w:highlight w:val="none"/>
                <w:vertAlign w:val="subscript"/>
              </w:rPr>
              <w:t>2</w:t>
            </w:r>
            <w:r>
              <w:rPr>
                <w:i/>
                <w:iCs/>
                <w:color w:val="000000"/>
                <w:highlight w:val="none"/>
              </w:rPr>
              <w:t>x</w:t>
            </w:r>
            <w:r>
              <w:rPr>
                <w:color w:val="000000"/>
                <w:highlight w:val="none"/>
              </w:rPr>
              <w:t>）、风城组（P</w:t>
            </w:r>
            <w:r>
              <w:rPr>
                <w:color w:val="000000"/>
                <w:highlight w:val="none"/>
                <w:vertAlign w:val="subscript"/>
              </w:rPr>
              <w:t>1</w:t>
            </w:r>
            <w:r>
              <w:rPr>
                <w:i/>
                <w:iCs/>
                <w:color w:val="000000"/>
                <w:highlight w:val="none"/>
              </w:rPr>
              <w:t>f</w:t>
            </w:r>
            <w:r>
              <w:rPr>
                <w:color w:val="000000"/>
                <w:highlight w:val="none"/>
              </w:rPr>
              <w:t>）、佳木河组（P</w:t>
            </w:r>
            <w:r>
              <w:rPr>
                <w:color w:val="000000"/>
                <w:highlight w:val="none"/>
                <w:vertAlign w:val="subscript"/>
              </w:rPr>
              <w:t>1</w:t>
            </w:r>
            <w:r>
              <w:rPr>
                <w:i/>
                <w:iCs/>
                <w:color w:val="000000"/>
                <w:highlight w:val="none"/>
              </w:rPr>
              <w:t>j</w:t>
            </w:r>
            <w:r>
              <w:rPr>
                <w:color w:val="000000"/>
                <w:highlight w:val="none"/>
              </w:rPr>
              <w:t>）和石炭系（C）。该区缺失上侏罗统（J），其中二叠系（P）与三叠系（T）、白垩系（K）与侏罗系（J）为区域不整合接触关系，侏罗系内部头屯河组（J</w:t>
            </w:r>
            <w:r>
              <w:rPr>
                <w:color w:val="000000"/>
                <w:highlight w:val="none"/>
                <w:vertAlign w:val="subscript"/>
              </w:rPr>
              <w:t>2</w:t>
            </w:r>
            <w:r>
              <w:rPr>
                <w:i/>
                <w:color w:val="000000"/>
                <w:highlight w:val="none"/>
              </w:rPr>
              <w:t>t</w:t>
            </w:r>
            <w:r>
              <w:rPr>
                <w:color w:val="000000"/>
                <w:highlight w:val="none"/>
              </w:rPr>
              <w:t>）与下伏地层为不整合接触关系。本次评价目的层为侏罗系三工河组二段（J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rPr>
              <w:t>）。</w:t>
            </w:r>
          </w:p>
          <w:p w14:paraId="4E7B3141">
            <w:pPr>
              <w:spacing w:line="360" w:lineRule="auto"/>
              <w:ind w:firstLine="480" w:firstLineChars="200"/>
              <w:jc w:val="both"/>
              <w:rPr>
                <w:color w:val="000000"/>
                <w:highlight w:val="none"/>
              </w:rPr>
            </w:pPr>
            <w:r>
              <w:rPr>
                <w:color w:val="000000"/>
                <w:highlight w:val="none"/>
              </w:rPr>
              <w:t>侏罗系三工河组地层根据岩性、电性及地震响应特征自下而上可分为三段：三工河组一段（J</w:t>
            </w:r>
            <w:r>
              <w:rPr>
                <w:color w:val="000000"/>
                <w:highlight w:val="none"/>
                <w:vertAlign w:val="subscript"/>
              </w:rPr>
              <w:t>1</w:t>
            </w:r>
            <w:r>
              <w:rPr>
                <w:i/>
                <w:color w:val="000000"/>
                <w:highlight w:val="none"/>
              </w:rPr>
              <w:t>s</w:t>
            </w:r>
            <w:r>
              <w:rPr>
                <w:color w:val="000000"/>
                <w:highlight w:val="none"/>
                <w:vertAlign w:val="subscript"/>
              </w:rPr>
              <w:t>1</w:t>
            </w:r>
            <w:r>
              <w:rPr>
                <w:color w:val="000000"/>
                <w:highlight w:val="none"/>
              </w:rPr>
              <w:t>）、三工河组二段（J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rPr>
              <w:t>）、三工河组三段（J</w:t>
            </w:r>
            <w:r>
              <w:rPr>
                <w:color w:val="000000"/>
                <w:highlight w:val="none"/>
                <w:vertAlign w:val="subscript"/>
              </w:rPr>
              <w:t>1</w:t>
            </w:r>
            <w:r>
              <w:rPr>
                <w:i/>
                <w:color w:val="000000"/>
                <w:highlight w:val="none"/>
              </w:rPr>
              <w:t>s</w:t>
            </w:r>
            <w:r>
              <w:rPr>
                <w:color w:val="000000"/>
                <w:highlight w:val="none"/>
                <w:vertAlign w:val="subscript"/>
              </w:rPr>
              <w:t>3</w:t>
            </w:r>
            <w:r>
              <w:rPr>
                <w:color w:val="000000"/>
                <w:highlight w:val="none"/>
              </w:rPr>
              <w:t>）。评价区三工河组一段（J</w:t>
            </w:r>
            <w:r>
              <w:rPr>
                <w:color w:val="000000"/>
                <w:highlight w:val="none"/>
                <w:vertAlign w:val="subscript"/>
              </w:rPr>
              <w:t>1</w:t>
            </w:r>
            <w:r>
              <w:rPr>
                <w:i/>
                <w:color w:val="000000"/>
                <w:highlight w:val="none"/>
              </w:rPr>
              <w:t>s</w:t>
            </w:r>
            <w:r>
              <w:rPr>
                <w:color w:val="000000"/>
                <w:highlight w:val="none"/>
                <w:vertAlign w:val="subscript"/>
              </w:rPr>
              <w:t>1</w:t>
            </w:r>
            <w:r>
              <w:rPr>
                <w:color w:val="000000"/>
                <w:highlight w:val="none"/>
              </w:rPr>
              <w:t>）、三工河二段（J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rPr>
              <w:t>）、三工河三段（J</w:t>
            </w:r>
            <w:r>
              <w:rPr>
                <w:color w:val="000000"/>
                <w:highlight w:val="none"/>
                <w:vertAlign w:val="subscript"/>
              </w:rPr>
              <w:t>1</w:t>
            </w:r>
            <w:r>
              <w:rPr>
                <w:i/>
                <w:color w:val="000000"/>
                <w:highlight w:val="none"/>
              </w:rPr>
              <w:t>s</w:t>
            </w:r>
            <w:r>
              <w:rPr>
                <w:color w:val="000000"/>
                <w:highlight w:val="none"/>
                <w:vertAlign w:val="subscript"/>
              </w:rPr>
              <w:t>3</w:t>
            </w:r>
            <w:r>
              <w:rPr>
                <w:color w:val="000000"/>
                <w:highlight w:val="none"/>
              </w:rPr>
              <w:t>）全区分布，三工河组地层厚度118~139m，相对较稳定。本次评价区目的层为侏罗系三工河组二段，可进一步细分为J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1</w:t>
            </w:r>
            <w:r>
              <w:rPr>
                <w:color w:val="000000"/>
                <w:highlight w:val="none"/>
              </w:rPr>
              <w:t>、J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2</w:t>
            </w:r>
            <w:r>
              <w:rPr>
                <w:color w:val="000000"/>
                <w:highlight w:val="none"/>
              </w:rPr>
              <w:t>两个砂层组，全区分布稳定。其中J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1</w:t>
            </w:r>
            <w:r>
              <w:rPr>
                <w:color w:val="000000"/>
                <w:highlight w:val="none"/>
              </w:rPr>
              <w:t>砂层组厚度48～62m， 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2</w:t>
            </w:r>
            <w:r>
              <w:rPr>
                <w:color w:val="000000"/>
                <w:highlight w:val="none"/>
              </w:rPr>
              <w:t>砂层组厚度55～75m，本区油层主要分布在J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1</w:t>
            </w:r>
            <w:r>
              <w:rPr>
                <w:color w:val="000000"/>
                <w:highlight w:val="none"/>
              </w:rPr>
              <w:t>砂层组，其次为J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vertAlign w:val="superscript"/>
              </w:rPr>
              <w:t>2</w:t>
            </w:r>
            <w:r>
              <w:rPr>
                <w:color w:val="000000"/>
                <w:highlight w:val="none"/>
              </w:rPr>
              <w:t>砂层组。</w:t>
            </w:r>
          </w:p>
          <w:p w14:paraId="73C5FDA0">
            <w:pPr>
              <w:pStyle w:val="28"/>
              <w:ind w:firstLine="480"/>
              <w:jc w:val="both"/>
              <w:rPr>
                <w:color w:val="000000"/>
                <w:kern w:val="2"/>
                <w:szCs w:val="24"/>
                <w:highlight w:val="none"/>
              </w:rPr>
            </w:pPr>
            <w:r>
              <w:rPr>
                <w:color w:val="000000"/>
                <w:kern w:val="2"/>
                <w:szCs w:val="24"/>
                <w:highlight w:val="none"/>
              </w:rPr>
              <w:t>根据邻井取心和薄片特征分析，研究区三工河组二段二砂组储层岩性主要为灰色细－中粒长石岩屑砂岩及不等粒长石岩屑砂岩，三工河组二段二砂组储层孔隙度为5.3%～17.3%，平均为11.4%；渗透率为0.022～189mD，平均为5.71mD，</w:t>
            </w:r>
            <w:r>
              <w:rPr>
                <w:bCs/>
                <w:color w:val="000000"/>
                <w:highlight w:val="none"/>
              </w:rPr>
              <w:t>属于低孔、低渗储层</w:t>
            </w:r>
            <w:r>
              <w:rPr>
                <w:color w:val="000000"/>
                <w:kern w:val="2"/>
                <w:szCs w:val="24"/>
                <w:highlight w:val="none"/>
              </w:rPr>
              <w:t>。三工河组二段一砂组储层孔隙度为5.5%～15.7%，平均为11.7%；渗透率为0.044～73.4mD，平均为4.28mD，</w:t>
            </w:r>
            <w:r>
              <w:rPr>
                <w:bCs/>
                <w:color w:val="000000"/>
                <w:highlight w:val="none"/>
              </w:rPr>
              <w:t>属于低孔、特低渗储层</w:t>
            </w:r>
            <w:r>
              <w:rPr>
                <w:color w:val="000000"/>
                <w:kern w:val="2"/>
                <w:szCs w:val="24"/>
                <w:highlight w:val="none"/>
              </w:rPr>
              <w:t>。</w:t>
            </w:r>
          </w:p>
          <w:p w14:paraId="416E114F">
            <w:pPr>
              <w:widowControl/>
              <w:spacing w:line="360" w:lineRule="auto"/>
              <w:jc w:val="both"/>
              <w:outlineLvl w:val="2"/>
              <w:rPr>
                <w:b/>
                <w:bCs/>
                <w:color w:val="000000"/>
                <w:kern w:val="0"/>
                <w:highlight w:val="none"/>
              </w:rPr>
            </w:pPr>
            <w:r>
              <w:rPr>
                <w:b/>
                <w:bCs/>
                <w:color w:val="000000"/>
                <w:highlight w:val="none"/>
              </w:rPr>
              <w:t>2.2</w:t>
            </w:r>
            <w:r>
              <w:rPr>
                <w:b/>
                <w:bCs/>
                <w:color w:val="000000"/>
                <w:kern w:val="0"/>
                <w:highlight w:val="none"/>
              </w:rPr>
              <w:t>油气藏类型</w:t>
            </w:r>
          </w:p>
          <w:p w14:paraId="7F2104FC">
            <w:pPr>
              <w:pStyle w:val="28"/>
              <w:ind w:firstLine="480"/>
              <w:jc w:val="both"/>
              <w:rPr>
                <w:color w:val="000000"/>
                <w:highlight w:val="none"/>
              </w:rPr>
            </w:pPr>
            <w:r>
              <w:rPr>
                <w:color w:val="000000"/>
                <w:highlight w:val="none"/>
              </w:rPr>
              <w:t>莫17区块侏罗系三工河组二段一砂组储层区域上发育稳定，成藏主要受岩性和断裂控制，为构造-岩性油气藏；三工河组二段二砂组成藏主要受断裂控制，为构造油气藏。</w:t>
            </w:r>
          </w:p>
          <w:p w14:paraId="769143EA">
            <w:pPr>
              <w:pStyle w:val="28"/>
              <w:ind w:firstLine="0" w:firstLineChars="0"/>
              <w:jc w:val="both"/>
              <w:rPr>
                <w:b/>
                <w:bCs/>
                <w:color w:val="000000"/>
                <w:szCs w:val="24"/>
                <w:highlight w:val="none"/>
              </w:rPr>
            </w:pPr>
            <w:r>
              <w:rPr>
                <w:b/>
                <w:bCs/>
                <w:color w:val="000000"/>
                <w:szCs w:val="24"/>
                <w:highlight w:val="none"/>
              </w:rPr>
              <w:t>2.3流体性质</w:t>
            </w:r>
          </w:p>
          <w:p w14:paraId="5F0FE7B1">
            <w:pPr>
              <w:pStyle w:val="28"/>
              <w:adjustRightInd/>
              <w:snapToGrid/>
              <w:ind w:firstLine="0" w:firstLineChars="0"/>
              <w:jc w:val="both"/>
              <w:rPr>
                <w:color w:val="000000"/>
                <w:spacing w:val="4"/>
                <w:highlight w:val="none"/>
              </w:rPr>
            </w:pPr>
            <w:r>
              <w:rPr>
                <w:color w:val="000000"/>
                <w:spacing w:val="4"/>
                <w:highlight w:val="none"/>
              </w:rPr>
              <w:t>2.3.1地面原油性质</w:t>
            </w:r>
          </w:p>
          <w:p w14:paraId="1CD48356">
            <w:pPr>
              <w:pStyle w:val="28"/>
              <w:adjustRightInd/>
              <w:snapToGrid/>
              <w:ind w:firstLine="496"/>
              <w:jc w:val="both"/>
              <w:rPr>
                <w:snapToGrid w:val="0"/>
                <w:color w:val="000000"/>
                <w:spacing w:val="-4"/>
                <w:highlight w:val="none"/>
              </w:rPr>
            </w:pPr>
            <w:r>
              <w:rPr>
                <w:color w:val="000000"/>
                <w:spacing w:val="4"/>
                <w:highlight w:val="none"/>
              </w:rPr>
              <w:t>根据《盆1井西凹陷莫17区块侏罗系三工河组油气藏评价井位部署意见》，</w:t>
            </w:r>
            <w:r>
              <w:rPr>
                <w:snapToGrid w:val="0"/>
                <w:color w:val="000000"/>
                <w:spacing w:val="-4"/>
                <w:highlight w:val="none"/>
              </w:rPr>
              <w:t>该区侏罗系三工河组为常规轻质原油，密度为0.7672</w:t>
            </w:r>
            <w:r>
              <w:rPr>
                <w:bCs/>
                <w:color w:val="000000"/>
                <w:highlight w:val="none"/>
              </w:rPr>
              <w:t>～0.8712</w:t>
            </w:r>
            <w:r>
              <w:rPr>
                <w:snapToGrid w:val="0"/>
                <w:color w:val="000000"/>
                <w:spacing w:val="-4"/>
                <w:highlight w:val="none"/>
              </w:rPr>
              <w:t>g/cm</w:t>
            </w:r>
            <w:r>
              <w:rPr>
                <w:snapToGrid w:val="0"/>
                <w:color w:val="000000"/>
                <w:spacing w:val="-4"/>
                <w:highlight w:val="none"/>
                <w:vertAlign w:val="superscript"/>
              </w:rPr>
              <w:t>3</w:t>
            </w:r>
            <w:r>
              <w:rPr>
                <w:snapToGrid w:val="0"/>
                <w:color w:val="000000"/>
                <w:spacing w:val="-4"/>
                <w:highlight w:val="none"/>
              </w:rPr>
              <w:t>，地层原油性质为一般黑油。原油详细情况见表2-3。</w:t>
            </w:r>
          </w:p>
          <w:p w14:paraId="521C0BA1">
            <w:pPr>
              <w:pStyle w:val="19"/>
              <w:rPr>
                <w:color w:val="000000"/>
                <w:highlight w:val="none"/>
              </w:rPr>
            </w:pPr>
            <w:r>
              <w:rPr>
                <w:color w:val="000000"/>
                <w:highlight w:val="none"/>
              </w:rPr>
              <w:t>表2-3  达132井区侏罗系八道湾组地面原油性质参数表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1684"/>
              <w:gridCol w:w="1677"/>
              <w:gridCol w:w="1305"/>
              <w:gridCol w:w="1279"/>
              <w:gridCol w:w="1414"/>
            </w:tblGrid>
            <w:tr w14:paraId="3058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4" w:hRule="atLeast"/>
                <w:jc w:val="center"/>
              </w:trPr>
              <w:tc>
                <w:tcPr>
                  <w:tcW w:w="471" w:type="pct"/>
                  <w:vMerge w:val="restart"/>
                  <w:noWrap w:val="0"/>
                  <w:vAlign w:val="center"/>
                </w:tcPr>
                <w:p w14:paraId="4F516E31">
                  <w:pPr>
                    <w:pStyle w:val="19"/>
                    <w:rPr>
                      <w:color w:val="000000"/>
                      <w:highlight w:val="none"/>
                    </w:rPr>
                  </w:pPr>
                  <w:r>
                    <w:rPr>
                      <w:color w:val="000000"/>
                      <w:highlight w:val="none"/>
                    </w:rPr>
                    <w:t>井区</w:t>
                  </w:r>
                </w:p>
              </w:tc>
              <w:tc>
                <w:tcPr>
                  <w:tcW w:w="1036" w:type="pct"/>
                  <w:vMerge w:val="restart"/>
                  <w:noWrap w:val="0"/>
                  <w:tcMar>
                    <w:top w:w="0" w:type="dxa"/>
                    <w:bottom w:w="0" w:type="dxa"/>
                  </w:tcMar>
                  <w:vAlign w:val="center"/>
                </w:tcPr>
                <w:p w14:paraId="0DA49631">
                  <w:pPr>
                    <w:pStyle w:val="19"/>
                    <w:rPr>
                      <w:color w:val="000000"/>
                      <w:highlight w:val="none"/>
                    </w:rPr>
                  </w:pPr>
                  <w:r>
                    <w:rPr>
                      <w:color w:val="000000"/>
                      <w:highlight w:val="none"/>
                    </w:rPr>
                    <w:t>层位</w:t>
                  </w:r>
                </w:p>
              </w:tc>
              <w:tc>
                <w:tcPr>
                  <w:tcW w:w="3492" w:type="pct"/>
                  <w:gridSpan w:val="4"/>
                  <w:noWrap w:val="0"/>
                  <w:tcMar>
                    <w:top w:w="0" w:type="dxa"/>
                    <w:bottom w:w="0" w:type="dxa"/>
                  </w:tcMar>
                  <w:vAlign w:val="center"/>
                </w:tcPr>
                <w:p w14:paraId="46953B36">
                  <w:pPr>
                    <w:pStyle w:val="19"/>
                    <w:rPr>
                      <w:color w:val="000000"/>
                      <w:highlight w:val="none"/>
                    </w:rPr>
                  </w:pPr>
                  <w:r>
                    <w:rPr>
                      <w:color w:val="000000"/>
                      <w:highlight w:val="none"/>
                    </w:rPr>
                    <w:t>地面原油</w:t>
                  </w:r>
                </w:p>
              </w:tc>
            </w:tr>
            <w:tr w14:paraId="5F1D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471" w:type="pct"/>
                  <w:vMerge w:val="continue"/>
                  <w:noWrap w:val="0"/>
                  <w:vAlign w:val="center"/>
                </w:tcPr>
                <w:p w14:paraId="56AE7D91">
                  <w:pPr>
                    <w:pStyle w:val="19"/>
                    <w:rPr>
                      <w:color w:val="000000"/>
                      <w:highlight w:val="none"/>
                    </w:rPr>
                  </w:pPr>
                </w:p>
              </w:tc>
              <w:tc>
                <w:tcPr>
                  <w:tcW w:w="1036" w:type="pct"/>
                  <w:vMerge w:val="continue"/>
                  <w:noWrap w:val="0"/>
                  <w:tcMar>
                    <w:top w:w="0" w:type="dxa"/>
                    <w:bottom w:w="0" w:type="dxa"/>
                  </w:tcMar>
                  <w:vAlign w:val="center"/>
                </w:tcPr>
                <w:p w14:paraId="2DA41206">
                  <w:pPr>
                    <w:pStyle w:val="19"/>
                    <w:rPr>
                      <w:color w:val="000000"/>
                      <w:highlight w:val="none"/>
                    </w:rPr>
                  </w:pPr>
                </w:p>
              </w:tc>
              <w:tc>
                <w:tcPr>
                  <w:tcW w:w="1032" w:type="pct"/>
                  <w:noWrap w:val="0"/>
                  <w:tcMar>
                    <w:top w:w="0" w:type="dxa"/>
                    <w:bottom w:w="0" w:type="dxa"/>
                  </w:tcMar>
                  <w:vAlign w:val="center"/>
                </w:tcPr>
                <w:p w14:paraId="3CFF136E">
                  <w:pPr>
                    <w:pStyle w:val="19"/>
                    <w:rPr>
                      <w:color w:val="000000"/>
                      <w:highlight w:val="none"/>
                    </w:rPr>
                  </w:pPr>
                  <w:r>
                    <w:rPr>
                      <w:color w:val="000000"/>
                      <w:highlight w:val="none"/>
                    </w:rPr>
                    <w:t>密度</w:t>
                  </w:r>
                </w:p>
                <w:p w14:paraId="02C7DF48">
                  <w:pPr>
                    <w:pStyle w:val="19"/>
                    <w:rPr>
                      <w:color w:val="000000"/>
                      <w:highlight w:val="none"/>
                    </w:rPr>
                  </w:pPr>
                  <w:r>
                    <w:rPr>
                      <w:color w:val="000000"/>
                      <w:highlight w:val="none"/>
                    </w:rPr>
                    <w:t>g/cm</w:t>
                  </w:r>
                  <w:r>
                    <w:rPr>
                      <w:color w:val="000000"/>
                      <w:highlight w:val="none"/>
                      <w:vertAlign w:val="superscript"/>
                    </w:rPr>
                    <w:t>3</w:t>
                  </w:r>
                </w:p>
              </w:tc>
              <w:tc>
                <w:tcPr>
                  <w:tcW w:w="803" w:type="pct"/>
                  <w:noWrap w:val="0"/>
                  <w:tcMar>
                    <w:top w:w="0" w:type="dxa"/>
                    <w:bottom w:w="0" w:type="dxa"/>
                  </w:tcMar>
                  <w:vAlign w:val="center"/>
                </w:tcPr>
                <w:p w14:paraId="25E016A3">
                  <w:pPr>
                    <w:pStyle w:val="19"/>
                    <w:rPr>
                      <w:color w:val="000000"/>
                      <w:highlight w:val="none"/>
                    </w:rPr>
                  </w:pPr>
                  <w:r>
                    <w:rPr>
                      <w:color w:val="000000"/>
                      <w:highlight w:val="none"/>
                    </w:rPr>
                    <w:t>50℃粘度</w:t>
                  </w:r>
                </w:p>
                <w:p w14:paraId="31EE1D8C">
                  <w:pPr>
                    <w:pStyle w:val="19"/>
                    <w:rPr>
                      <w:color w:val="000000"/>
                      <w:highlight w:val="none"/>
                    </w:rPr>
                  </w:pPr>
                  <w:r>
                    <w:rPr>
                      <w:color w:val="000000"/>
                      <w:highlight w:val="none"/>
                    </w:rPr>
                    <w:t>mPa·s</w:t>
                  </w:r>
                </w:p>
              </w:tc>
              <w:tc>
                <w:tcPr>
                  <w:tcW w:w="787" w:type="pct"/>
                  <w:noWrap w:val="0"/>
                  <w:tcMar>
                    <w:top w:w="0" w:type="dxa"/>
                    <w:bottom w:w="0" w:type="dxa"/>
                  </w:tcMar>
                  <w:vAlign w:val="center"/>
                </w:tcPr>
                <w:p w14:paraId="1AD977F7">
                  <w:pPr>
                    <w:pStyle w:val="19"/>
                    <w:rPr>
                      <w:color w:val="000000"/>
                      <w:highlight w:val="none"/>
                    </w:rPr>
                  </w:pPr>
                  <w:r>
                    <w:rPr>
                      <w:color w:val="000000"/>
                      <w:highlight w:val="none"/>
                    </w:rPr>
                    <w:t>含蜡</w:t>
                  </w:r>
                </w:p>
                <w:p w14:paraId="0DFB7526">
                  <w:pPr>
                    <w:pStyle w:val="19"/>
                    <w:rPr>
                      <w:color w:val="000000"/>
                      <w:highlight w:val="none"/>
                    </w:rPr>
                  </w:pPr>
                  <w:r>
                    <w:rPr>
                      <w:color w:val="000000"/>
                      <w:highlight w:val="none"/>
                    </w:rPr>
                    <w:t>%</w:t>
                  </w:r>
                </w:p>
              </w:tc>
              <w:tc>
                <w:tcPr>
                  <w:tcW w:w="868" w:type="pct"/>
                  <w:noWrap w:val="0"/>
                  <w:tcMar>
                    <w:top w:w="0" w:type="dxa"/>
                    <w:bottom w:w="0" w:type="dxa"/>
                  </w:tcMar>
                  <w:vAlign w:val="center"/>
                </w:tcPr>
                <w:p w14:paraId="5FB2483E">
                  <w:pPr>
                    <w:pStyle w:val="19"/>
                    <w:rPr>
                      <w:color w:val="000000"/>
                      <w:highlight w:val="none"/>
                    </w:rPr>
                  </w:pPr>
                  <w:r>
                    <w:rPr>
                      <w:color w:val="000000"/>
                      <w:highlight w:val="none"/>
                    </w:rPr>
                    <w:t>凝固点</w:t>
                  </w:r>
                </w:p>
                <w:p w14:paraId="14F65664">
                  <w:pPr>
                    <w:pStyle w:val="19"/>
                    <w:rPr>
                      <w:color w:val="000000"/>
                      <w:highlight w:val="none"/>
                    </w:rPr>
                  </w:pPr>
                  <w:r>
                    <w:rPr>
                      <w:color w:val="000000"/>
                      <w:highlight w:val="none"/>
                    </w:rPr>
                    <w:t>℃</w:t>
                  </w:r>
                </w:p>
              </w:tc>
            </w:tr>
            <w:tr w14:paraId="44B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471" w:type="pct"/>
                  <w:vMerge w:val="restart"/>
                  <w:noWrap w:val="0"/>
                  <w:vAlign w:val="center"/>
                </w:tcPr>
                <w:p w14:paraId="4601CD29">
                  <w:pPr>
                    <w:pStyle w:val="19"/>
                    <w:rPr>
                      <w:b w:val="0"/>
                      <w:bCs/>
                      <w:color w:val="000000"/>
                      <w:highlight w:val="none"/>
                    </w:rPr>
                  </w:pPr>
                  <w:r>
                    <w:rPr>
                      <w:b w:val="0"/>
                      <w:bCs/>
                      <w:color w:val="000000"/>
                      <w:highlight w:val="none"/>
                    </w:rPr>
                    <w:t>莫17</w:t>
                  </w:r>
                </w:p>
              </w:tc>
              <w:tc>
                <w:tcPr>
                  <w:tcW w:w="1036" w:type="pct"/>
                  <w:noWrap w:val="0"/>
                  <w:tcMar>
                    <w:top w:w="0" w:type="dxa"/>
                    <w:bottom w:w="0" w:type="dxa"/>
                  </w:tcMar>
                  <w:vAlign w:val="center"/>
                </w:tcPr>
                <w:p w14:paraId="24EF61A7">
                  <w:pPr>
                    <w:pStyle w:val="19"/>
                    <w:rPr>
                      <w:b w:val="0"/>
                      <w:bCs/>
                      <w:color w:val="000000"/>
                      <w:highlight w:val="none"/>
                    </w:rPr>
                  </w:pPr>
                  <w:r>
                    <w:rPr>
                      <w:b w:val="0"/>
                      <w:bCs/>
                      <w:color w:val="000000"/>
                      <w:highlight w:val="none"/>
                    </w:rPr>
                    <w:t>侏罗系三工河组二段一砂组</w:t>
                  </w:r>
                </w:p>
              </w:tc>
              <w:tc>
                <w:tcPr>
                  <w:tcW w:w="1032" w:type="pct"/>
                  <w:noWrap w:val="0"/>
                  <w:tcMar>
                    <w:top w:w="0" w:type="dxa"/>
                    <w:bottom w:w="0" w:type="dxa"/>
                  </w:tcMar>
                  <w:vAlign w:val="center"/>
                </w:tcPr>
                <w:p w14:paraId="5771CC7F">
                  <w:pPr>
                    <w:pStyle w:val="19"/>
                    <w:rPr>
                      <w:b w:val="0"/>
                      <w:bCs/>
                      <w:color w:val="000000"/>
                      <w:highlight w:val="none"/>
                    </w:rPr>
                  </w:pPr>
                  <w:r>
                    <w:rPr>
                      <w:b w:val="0"/>
                      <w:bCs/>
                      <w:color w:val="000000"/>
                      <w:highlight w:val="none"/>
                    </w:rPr>
                    <w:t>0.7672～0.8707</w:t>
                  </w:r>
                </w:p>
              </w:tc>
              <w:tc>
                <w:tcPr>
                  <w:tcW w:w="803" w:type="pct"/>
                  <w:noWrap w:val="0"/>
                  <w:tcMar>
                    <w:top w:w="0" w:type="dxa"/>
                    <w:bottom w:w="0" w:type="dxa"/>
                  </w:tcMar>
                  <w:vAlign w:val="center"/>
                </w:tcPr>
                <w:p w14:paraId="4B1E6E11">
                  <w:pPr>
                    <w:pStyle w:val="19"/>
                    <w:rPr>
                      <w:b w:val="0"/>
                      <w:bCs/>
                      <w:color w:val="000000"/>
                      <w:highlight w:val="none"/>
                    </w:rPr>
                  </w:pPr>
                  <w:r>
                    <w:rPr>
                      <w:b w:val="0"/>
                      <w:bCs/>
                      <w:color w:val="000000"/>
                      <w:highlight w:val="none"/>
                    </w:rPr>
                    <w:t>0.81～20.53</w:t>
                  </w:r>
                </w:p>
              </w:tc>
              <w:tc>
                <w:tcPr>
                  <w:tcW w:w="787" w:type="pct"/>
                  <w:noWrap w:val="0"/>
                  <w:tcMar>
                    <w:top w:w="0" w:type="dxa"/>
                    <w:bottom w:w="0" w:type="dxa"/>
                  </w:tcMar>
                  <w:vAlign w:val="center"/>
                </w:tcPr>
                <w:p w14:paraId="52DD0516">
                  <w:pPr>
                    <w:pStyle w:val="19"/>
                    <w:rPr>
                      <w:b w:val="0"/>
                      <w:bCs/>
                      <w:color w:val="000000"/>
                      <w:highlight w:val="none"/>
                    </w:rPr>
                  </w:pPr>
                  <w:r>
                    <w:rPr>
                      <w:b w:val="0"/>
                      <w:bCs/>
                      <w:color w:val="000000"/>
                      <w:highlight w:val="none"/>
                    </w:rPr>
                    <w:t>0.65～9.56</w:t>
                  </w:r>
                </w:p>
              </w:tc>
              <w:tc>
                <w:tcPr>
                  <w:tcW w:w="868" w:type="pct"/>
                  <w:noWrap w:val="0"/>
                  <w:tcMar>
                    <w:top w:w="0" w:type="dxa"/>
                    <w:bottom w:w="0" w:type="dxa"/>
                  </w:tcMar>
                  <w:vAlign w:val="center"/>
                </w:tcPr>
                <w:p w14:paraId="71BB4C06">
                  <w:pPr>
                    <w:pStyle w:val="19"/>
                    <w:rPr>
                      <w:b w:val="0"/>
                      <w:bCs/>
                      <w:color w:val="000000"/>
                      <w:highlight w:val="none"/>
                    </w:rPr>
                  </w:pPr>
                  <w:r>
                    <w:rPr>
                      <w:b w:val="0"/>
                      <w:bCs/>
                      <w:color w:val="000000"/>
                      <w:highlight w:val="none"/>
                    </w:rPr>
                    <w:t>-28～20</w:t>
                  </w:r>
                </w:p>
              </w:tc>
            </w:tr>
            <w:tr w14:paraId="6531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471" w:type="pct"/>
                  <w:vMerge w:val="continue"/>
                  <w:noWrap w:val="0"/>
                  <w:vAlign w:val="center"/>
                </w:tcPr>
                <w:p w14:paraId="0DCF99CE">
                  <w:pPr>
                    <w:pStyle w:val="19"/>
                    <w:rPr>
                      <w:b w:val="0"/>
                      <w:bCs/>
                      <w:color w:val="000000"/>
                      <w:highlight w:val="none"/>
                    </w:rPr>
                  </w:pPr>
                </w:p>
              </w:tc>
              <w:tc>
                <w:tcPr>
                  <w:tcW w:w="1036" w:type="pct"/>
                  <w:noWrap w:val="0"/>
                  <w:tcMar>
                    <w:top w:w="0" w:type="dxa"/>
                    <w:bottom w:w="0" w:type="dxa"/>
                  </w:tcMar>
                  <w:vAlign w:val="center"/>
                </w:tcPr>
                <w:p w14:paraId="3A13A900">
                  <w:pPr>
                    <w:pStyle w:val="19"/>
                    <w:rPr>
                      <w:b w:val="0"/>
                      <w:bCs/>
                      <w:color w:val="000000"/>
                      <w:highlight w:val="none"/>
                    </w:rPr>
                  </w:pPr>
                  <w:r>
                    <w:rPr>
                      <w:b w:val="0"/>
                      <w:bCs/>
                      <w:color w:val="000000"/>
                      <w:highlight w:val="none"/>
                    </w:rPr>
                    <w:t>侏罗系三工河组二段二砂组</w:t>
                  </w:r>
                </w:p>
              </w:tc>
              <w:tc>
                <w:tcPr>
                  <w:tcW w:w="1032" w:type="pct"/>
                  <w:noWrap w:val="0"/>
                  <w:tcMar>
                    <w:top w:w="0" w:type="dxa"/>
                    <w:bottom w:w="0" w:type="dxa"/>
                  </w:tcMar>
                  <w:vAlign w:val="center"/>
                </w:tcPr>
                <w:p w14:paraId="5C7144BC">
                  <w:pPr>
                    <w:pStyle w:val="19"/>
                    <w:rPr>
                      <w:b w:val="0"/>
                      <w:bCs/>
                      <w:color w:val="000000"/>
                      <w:highlight w:val="none"/>
                    </w:rPr>
                  </w:pPr>
                  <w:r>
                    <w:rPr>
                      <w:b w:val="0"/>
                      <w:bCs/>
                      <w:color w:val="000000"/>
                      <w:highlight w:val="none"/>
                    </w:rPr>
                    <w:t>0.8482～0.8712</w:t>
                  </w:r>
                </w:p>
              </w:tc>
              <w:tc>
                <w:tcPr>
                  <w:tcW w:w="803" w:type="pct"/>
                  <w:noWrap w:val="0"/>
                  <w:tcMar>
                    <w:top w:w="0" w:type="dxa"/>
                    <w:bottom w:w="0" w:type="dxa"/>
                  </w:tcMar>
                  <w:vAlign w:val="center"/>
                </w:tcPr>
                <w:p w14:paraId="62EA1B70">
                  <w:pPr>
                    <w:pStyle w:val="19"/>
                    <w:rPr>
                      <w:b w:val="0"/>
                      <w:bCs/>
                      <w:color w:val="000000"/>
                      <w:highlight w:val="none"/>
                    </w:rPr>
                  </w:pPr>
                  <w:r>
                    <w:rPr>
                      <w:b w:val="0"/>
                      <w:bCs/>
                      <w:color w:val="000000"/>
                      <w:highlight w:val="none"/>
                    </w:rPr>
                    <w:t>7.88～23.71</w:t>
                  </w:r>
                </w:p>
              </w:tc>
              <w:tc>
                <w:tcPr>
                  <w:tcW w:w="787" w:type="pct"/>
                  <w:noWrap w:val="0"/>
                  <w:tcMar>
                    <w:top w:w="0" w:type="dxa"/>
                    <w:bottom w:w="0" w:type="dxa"/>
                  </w:tcMar>
                  <w:vAlign w:val="center"/>
                </w:tcPr>
                <w:p w14:paraId="04FE487D">
                  <w:pPr>
                    <w:pStyle w:val="19"/>
                    <w:rPr>
                      <w:b w:val="0"/>
                      <w:bCs/>
                      <w:color w:val="000000"/>
                      <w:highlight w:val="none"/>
                    </w:rPr>
                  </w:pPr>
                  <w:r>
                    <w:rPr>
                      <w:b w:val="0"/>
                      <w:bCs/>
                      <w:color w:val="000000"/>
                      <w:highlight w:val="none"/>
                    </w:rPr>
                    <w:t>4.34～11.13</w:t>
                  </w:r>
                </w:p>
              </w:tc>
              <w:tc>
                <w:tcPr>
                  <w:tcW w:w="868" w:type="pct"/>
                  <w:noWrap w:val="0"/>
                  <w:tcMar>
                    <w:top w:w="0" w:type="dxa"/>
                    <w:bottom w:w="0" w:type="dxa"/>
                  </w:tcMar>
                  <w:vAlign w:val="center"/>
                </w:tcPr>
                <w:p w14:paraId="5EBFDF20">
                  <w:pPr>
                    <w:pStyle w:val="19"/>
                    <w:rPr>
                      <w:b w:val="0"/>
                      <w:bCs/>
                      <w:color w:val="000000"/>
                      <w:highlight w:val="none"/>
                    </w:rPr>
                  </w:pPr>
                  <w:r>
                    <w:rPr>
                      <w:b w:val="0"/>
                      <w:bCs/>
                      <w:color w:val="000000"/>
                      <w:highlight w:val="none"/>
                    </w:rPr>
                    <w:t>16～22</w:t>
                  </w:r>
                </w:p>
              </w:tc>
            </w:tr>
          </w:tbl>
          <w:p w14:paraId="16614726">
            <w:pPr>
              <w:keepNext/>
              <w:keepLines/>
              <w:spacing w:line="360" w:lineRule="auto"/>
              <w:jc w:val="both"/>
              <w:outlineLvl w:val="1"/>
              <w:rPr>
                <w:color w:val="000000"/>
                <w:highlight w:val="none"/>
              </w:rPr>
            </w:pPr>
            <w:r>
              <w:rPr>
                <w:color w:val="000000"/>
                <w:spacing w:val="4"/>
                <w:kern w:val="0"/>
                <w:szCs w:val="20"/>
                <w:highlight w:val="none"/>
              </w:rPr>
              <w:t>2.3.2天然气性质</w:t>
            </w:r>
          </w:p>
          <w:p w14:paraId="1D716821">
            <w:pPr>
              <w:keepNext/>
              <w:keepLines/>
              <w:spacing w:line="360" w:lineRule="auto"/>
              <w:ind w:firstLine="480" w:firstLineChars="200"/>
              <w:jc w:val="both"/>
              <w:outlineLvl w:val="1"/>
              <w:rPr>
                <w:color w:val="000000"/>
                <w:highlight w:val="none"/>
              </w:rPr>
            </w:pPr>
            <w:r>
              <w:rPr>
                <w:color w:val="000000"/>
                <w:highlight w:val="none"/>
              </w:rPr>
              <w:t xml:space="preserve">侏罗系三工河组二段一砂组天然气相对密度范围为0.6099～0.6628，甲烷含量范围为81.9%～91.07%，乙烷含量范围为4.19%～5.26%，丙烷含量范围为1.26%～1.92%，二氧化碳含量范围为0.23%～2.75%；侏罗系三工河组二段二砂组天然气相对密度范围为0.6165～0.6405，甲烷含量范围为87.62%～90.26%，乙烷含量范围为3.17%～6.65%，丙烷含量范围为1.25%～2.17%，二氧化碳含量范围为0.41%～0.55%。 </w:t>
            </w:r>
          </w:p>
          <w:p w14:paraId="20926775">
            <w:pPr>
              <w:keepNext/>
              <w:keepLines/>
              <w:spacing w:line="360" w:lineRule="auto"/>
              <w:jc w:val="both"/>
              <w:outlineLvl w:val="1"/>
              <w:rPr>
                <w:color w:val="000000"/>
                <w:highlight w:val="none"/>
              </w:rPr>
            </w:pPr>
            <w:r>
              <w:rPr>
                <w:color w:val="000000"/>
                <w:highlight w:val="none"/>
              </w:rPr>
              <w:t>2.3.3地层水性质</w:t>
            </w:r>
          </w:p>
          <w:p w14:paraId="4435D19E">
            <w:pPr>
              <w:keepNext/>
              <w:keepLines/>
              <w:spacing w:line="360" w:lineRule="auto"/>
              <w:ind w:firstLine="480" w:firstLineChars="200"/>
              <w:jc w:val="both"/>
              <w:outlineLvl w:val="1"/>
              <w:rPr>
                <w:color w:val="000000"/>
                <w:highlight w:val="none"/>
              </w:rPr>
            </w:pPr>
            <w:r>
              <w:rPr>
                <w:color w:val="000000"/>
                <w:highlight w:val="none"/>
              </w:rPr>
              <w:t>侏罗系三工河组二段一砂组地层水型为NaHCO</w:t>
            </w:r>
            <w:r>
              <w:rPr>
                <w:color w:val="000000"/>
                <w:highlight w:val="none"/>
                <w:vertAlign w:val="subscript"/>
              </w:rPr>
              <w:t>3</w:t>
            </w:r>
            <w:r>
              <w:rPr>
                <w:color w:val="000000"/>
                <w:highlight w:val="none"/>
              </w:rPr>
              <w:t>型，地层水密度范围为1.0212～1.0285g/cm</w:t>
            </w:r>
            <w:r>
              <w:rPr>
                <w:color w:val="000000"/>
                <w:highlight w:val="none"/>
                <w:vertAlign w:val="superscript"/>
              </w:rPr>
              <w:t>3</w:t>
            </w:r>
            <w:r>
              <w:rPr>
                <w:color w:val="000000"/>
                <w:highlight w:val="none"/>
              </w:rPr>
              <w:t>，Cl</w:t>
            </w:r>
            <w:r>
              <w:rPr>
                <w:color w:val="000000"/>
                <w:highlight w:val="none"/>
                <w:vertAlign w:val="superscript"/>
              </w:rPr>
              <w:t>-</w:t>
            </w:r>
            <w:r>
              <w:rPr>
                <w:color w:val="000000"/>
                <w:highlight w:val="none"/>
              </w:rPr>
              <w:t>含量范围为8422.39～113936.7mg/L，总矿化度范围为15994.12～126745.75mg/L；侏罗系三工河组二段二砂组地层水型为NaHCO</w:t>
            </w:r>
            <w:r>
              <w:rPr>
                <w:color w:val="000000"/>
                <w:highlight w:val="none"/>
                <w:vertAlign w:val="subscript"/>
              </w:rPr>
              <w:t>3</w:t>
            </w:r>
            <w:r>
              <w:rPr>
                <w:color w:val="000000"/>
                <w:highlight w:val="none"/>
              </w:rPr>
              <w:t>、CaCl</w:t>
            </w:r>
            <w:r>
              <w:rPr>
                <w:color w:val="000000"/>
                <w:highlight w:val="none"/>
                <w:vertAlign w:val="subscript"/>
              </w:rPr>
              <w:t>2</w:t>
            </w:r>
            <w:r>
              <w:rPr>
                <w:color w:val="000000"/>
                <w:highlight w:val="none"/>
              </w:rPr>
              <w:t>、MgCl</w:t>
            </w:r>
            <w:r>
              <w:rPr>
                <w:color w:val="000000"/>
                <w:highlight w:val="none"/>
                <w:vertAlign w:val="subscript"/>
              </w:rPr>
              <w:t>2</w:t>
            </w:r>
            <w:r>
              <w:rPr>
                <w:color w:val="000000"/>
                <w:highlight w:val="none"/>
              </w:rPr>
              <w:t>型，地层水密度范围为1.014～1.0285g/cm</w:t>
            </w:r>
            <w:r>
              <w:rPr>
                <w:color w:val="000000"/>
                <w:highlight w:val="none"/>
                <w:vertAlign w:val="superscript"/>
              </w:rPr>
              <w:t>3</w:t>
            </w:r>
            <w:r>
              <w:rPr>
                <w:color w:val="000000"/>
                <w:highlight w:val="none"/>
              </w:rPr>
              <w:t>，Cl</w:t>
            </w:r>
            <w:r>
              <w:rPr>
                <w:color w:val="000000"/>
                <w:highlight w:val="none"/>
                <w:vertAlign w:val="superscript"/>
              </w:rPr>
              <w:t>-</w:t>
            </w:r>
            <w:r>
              <w:rPr>
                <w:color w:val="000000"/>
                <w:highlight w:val="none"/>
              </w:rPr>
              <w:t>含量范围为9466.21～14694.38mg/L，总矿化度范围为16823.25～25333.63mg/L。</w:t>
            </w:r>
          </w:p>
          <w:p w14:paraId="0E3EB4B4">
            <w:pPr>
              <w:keepNext/>
              <w:keepLines/>
              <w:spacing w:line="360" w:lineRule="auto"/>
              <w:jc w:val="left"/>
              <w:outlineLvl w:val="1"/>
              <w:rPr>
                <w:b/>
                <w:bCs/>
                <w:color w:val="000000"/>
                <w:sz w:val="28"/>
                <w:szCs w:val="28"/>
                <w:highlight w:val="none"/>
              </w:rPr>
            </w:pPr>
            <w:r>
              <w:rPr>
                <w:b/>
                <w:bCs/>
                <w:color w:val="000000"/>
                <w:sz w:val="28"/>
                <w:szCs w:val="28"/>
                <w:highlight w:val="none"/>
              </w:rPr>
              <w:t>3技术经济指标</w:t>
            </w:r>
          </w:p>
          <w:p w14:paraId="371531C4">
            <w:pPr>
              <w:widowControl/>
              <w:spacing w:line="360" w:lineRule="auto"/>
              <w:ind w:firstLine="480" w:firstLineChars="200"/>
              <w:jc w:val="left"/>
              <w:rPr>
                <w:color w:val="000000"/>
                <w:highlight w:val="none"/>
              </w:rPr>
            </w:pPr>
            <w:r>
              <w:rPr>
                <w:color w:val="000000"/>
                <w:highlight w:val="none"/>
              </w:rPr>
              <w:t>本项目主要经济技术指标见表2-4。</w:t>
            </w:r>
          </w:p>
          <w:p w14:paraId="67096AD1">
            <w:pPr>
              <w:rPr>
                <w:b/>
                <w:bCs/>
                <w:color w:val="000000"/>
                <w:kern w:val="0"/>
                <w:sz w:val="21"/>
                <w:szCs w:val="21"/>
                <w:highlight w:val="none"/>
              </w:rPr>
            </w:pPr>
            <w:r>
              <w:rPr>
                <w:b/>
                <w:bCs/>
                <w:color w:val="000000"/>
                <w:kern w:val="0"/>
                <w:sz w:val="21"/>
                <w:szCs w:val="21"/>
                <w:highlight w:val="none"/>
              </w:rPr>
              <w:t>表2-4  本项目主要经济技术指标表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919"/>
              <w:gridCol w:w="1756"/>
              <w:gridCol w:w="2018"/>
              <w:gridCol w:w="2051"/>
            </w:tblGrid>
            <w:tr w14:paraId="55D2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6F2FD1BB">
                  <w:pPr>
                    <w:rPr>
                      <w:b/>
                      <w:bCs/>
                      <w:color w:val="000000"/>
                      <w:kern w:val="0"/>
                      <w:sz w:val="21"/>
                      <w:szCs w:val="21"/>
                      <w:highlight w:val="none"/>
                    </w:rPr>
                  </w:pPr>
                  <w:r>
                    <w:rPr>
                      <w:b/>
                      <w:bCs/>
                      <w:color w:val="000000"/>
                      <w:kern w:val="0"/>
                      <w:sz w:val="21"/>
                      <w:szCs w:val="21"/>
                      <w:highlight w:val="none"/>
                    </w:rPr>
                    <w:t>序号</w:t>
                  </w:r>
                </w:p>
              </w:tc>
              <w:tc>
                <w:tcPr>
                  <w:tcW w:w="2687" w:type="dxa"/>
                  <w:gridSpan w:val="2"/>
                  <w:noWrap w:val="0"/>
                  <w:vAlign w:val="center"/>
                </w:tcPr>
                <w:p w14:paraId="1320283A">
                  <w:pPr>
                    <w:rPr>
                      <w:b/>
                      <w:bCs/>
                      <w:color w:val="000000"/>
                      <w:kern w:val="0"/>
                      <w:sz w:val="21"/>
                      <w:szCs w:val="21"/>
                      <w:highlight w:val="none"/>
                    </w:rPr>
                  </w:pPr>
                  <w:r>
                    <w:rPr>
                      <w:b/>
                      <w:bCs/>
                      <w:color w:val="000000"/>
                      <w:kern w:val="0"/>
                      <w:sz w:val="21"/>
                      <w:szCs w:val="21"/>
                      <w:highlight w:val="none"/>
                    </w:rPr>
                    <w:t>项目</w:t>
                  </w:r>
                </w:p>
              </w:tc>
              <w:tc>
                <w:tcPr>
                  <w:tcW w:w="2029" w:type="dxa"/>
                  <w:noWrap w:val="0"/>
                  <w:vAlign w:val="center"/>
                </w:tcPr>
                <w:p w14:paraId="461B1257">
                  <w:pPr>
                    <w:rPr>
                      <w:b/>
                      <w:bCs/>
                      <w:color w:val="000000"/>
                      <w:kern w:val="0"/>
                      <w:sz w:val="21"/>
                      <w:szCs w:val="21"/>
                      <w:highlight w:val="none"/>
                    </w:rPr>
                  </w:pPr>
                  <w:r>
                    <w:rPr>
                      <w:b/>
                      <w:bCs/>
                      <w:color w:val="000000"/>
                      <w:kern w:val="0"/>
                      <w:sz w:val="21"/>
                      <w:szCs w:val="21"/>
                      <w:highlight w:val="none"/>
                    </w:rPr>
                    <w:t>单位</w:t>
                  </w:r>
                </w:p>
              </w:tc>
              <w:tc>
                <w:tcPr>
                  <w:tcW w:w="2059" w:type="dxa"/>
                  <w:noWrap w:val="0"/>
                  <w:vAlign w:val="center"/>
                </w:tcPr>
                <w:p w14:paraId="35A43AE7">
                  <w:pPr>
                    <w:rPr>
                      <w:b/>
                      <w:bCs/>
                      <w:color w:val="000000"/>
                      <w:kern w:val="0"/>
                      <w:sz w:val="21"/>
                      <w:szCs w:val="21"/>
                      <w:highlight w:val="none"/>
                    </w:rPr>
                  </w:pPr>
                  <w:r>
                    <w:rPr>
                      <w:b/>
                      <w:bCs/>
                      <w:color w:val="000000"/>
                      <w:kern w:val="0"/>
                      <w:sz w:val="21"/>
                      <w:szCs w:val="21"/>
                      <w:highlight w:val="none"/>
                    </w:rPr>
                    <w:t>数量</w:t>
                  </w:r>
                </w:p>
              </w:tc>
            </w:tr>
            <w:tr w14:paraId="2457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0360899E">
                  <w:pPr>
                    <w:rPr>
                      <w:color w:val="000000"/>
                      <w:kern w:val="0"/>
                      <w:sz w:val="21"/>
                      <w:szCs w:val="21"/>
                      <w:highlight w:val="none"/>
                    </w:rPr>
                  </w:pPr>
                  <w:r>
                    <w:rPr>
                      <w:color w:val="000000"/>
                      <w:kern w:val="0"/>
                      <w:sz w:val="21"/>
                      <w:szCs w:val="21"/>
                      <w:highlight w:val="none"/>
                    </w:rPr>
                    <w:t>1</w:t>
                  </w:r>
                </w:p>
              </w:tc>
              <w:tc>
                <w:tcPr>
                  <w:tcW w:w="2687" w:type="dxa"/>
                  <w:gridSpan w:val="2"/>
                  <w:noWrap w:val="0"/>
                  <w:vAlign w:val="center"/>
                </w:tcPr>
                <w:p w14:paraId="58AA0FCA">
                  <w:pPr>
                    <w:rPr>
                      <w:color w:val="000000"/>
                      <w:kern w:val="0"/>
                      <w:sz w:val="21"/>
                      <w:szCs w:val="21"/>
                      <w:highlight w:val="none"/>
                    </w:rPr>
                  </w:pPr>
                  <w:r>
                    <w:rPr>
                      <w:color w:val="000000"/>
                      <w:kern w:val="0"/>
                      <w:sz w:val="21"/>
                      <w:szCs w:val="21"/>
                      <w:highlight w:val="none"/>
                    </w:rPr>
                    <w:t>设计井数</w:t>
                  </w:r>
                </w:p>
              </w:tc>
              <w:tc>
                <w:tcPr>
                  <w:tcW w:w="2029" w:type="dxa"/>
                  <w:noWrap w:val="0"/>
                  <w:vAlign w:val="center"/>
                </w:tcPr>
                <w:p w14:paraId="629F59BA">
                  <w:pPr>
                    <w:rPr>
                      <w:color w:val="000000"/>
                      <w:kern w:val="0"/>
                      <w:sz w:val="21"/>
                      <w:szCs w:val="21"/>
                      <w:highlight w:val="none"/>
                    </w:rPr>
                  </w:pPr>
                  <w:r>
                    <w:rPr>
                      <w:color w:val="000000"/>
                      <w:kern w:val="0"/>
                      <w:sz w:val="21"/>
                      <w:szCs w:val="21"/>
                      <w:highlight w:val="none"/>
                    </w:rPr>
                    <w:t>口</w:t>
                  </w:r>
                </w:p>
              </w:tc>
              <w:tc>
                <w:tcPr>
                  <w:tcW w:w="2059" w:type="dxa"/>
                  <w:noWrap w:val="0"/>
                  <w:vAlign w:val="center"/>
                </w:tcPr>
                <w:p w14:paraId="4B74F120">
                  <w:pPr>
                    <w:rPr>
                      <w:color w:val="000000"/>
                      <w:kern w:val="0"/>
                      <w:sz w:val="21"/>
                      <w:szCs w:val="21"/>
                      <w:highlight w:val="none"/>
                    </w:rPr>
                  </w:pPr>
                  <w:r>
                    <w:rPr>
                      <w:color w:val="000000"/>
                      <w:kern w:val="0"/>
                      <w:sz w:val="21"/>
                      <w:szCs w:val="21"/>
                      <w:highlight w:val="none"/>
                    </w:rPr>
                    <w:t>2</w:t>
                  </w:r>
                </w:p>
              </w:tc>
            </w:tr>
            <w:tr w14:paraId="5777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89" w:type="dxa"/>
                  <w:noWrap w:val="0"/>
                  <w:vAlign w:val="center"/>
                </w:tcPr>
                <w:p w14:paraId="5D18B5B7">
                  <w:pPr>
                    <w:rPr>
                      <w:color w:val="000000"/>
                      <w:kern w:val="0"/>
                      <w:sz w:val="21"/>
                      <w:szCs w:val="21"/>
                      <w:highlight w:val="none"/>
                    </w:rPr>
                  </w:pPr>
                  <w:r>
                    <w:rPr>
                      <w:color w:val="000000"/>
                      <w:kern w:val="0"/>
                      <w:sz w:val="21"/>
                      <w:szCs w:val="21"/>
                      <w:highlight w:val="none"/>
                    </w:rPr>
                    <w:t>2</w:t>
                  </w:r>
                </w:p>
              </w:tc>
              <w:tc>
                <w:tcPr>
                  <w:tcW w:w="2687" w:type="dxa"/>
                  <w:gridSpan w:val="2"/>
                  <w:noWrap w:val="0"/>
                  <w:vAlign w:val="center"/>
                </w:tcPr>
                <w:p w14:paraId="22CE62C4">
                  <w:pPr>
                    <w:widowControl/>
                    <w:spacing w:line="300" w:lineRule="exact"/>
                    <w:rPr>
                      <w:color w:val="000000"/>
                      <w:kern w:val="0"/>
                      <w:sz w:val="21"/>
                      <w:szCs w:val="21"/>
                      <w:highlight w:val="none"/>
                    </w:rPr>
                  </w:pPr>
                  <w:r>
                    <w:rPr>
                      <w:color w:val="000000"/>
                      <w:sz w:val="21"/>
                      <w:szCs w:val="21"/>
                      <w:highlight w:val="none"/>
                    </w:rPr>
                    <w:t>水基钻井液</w:t>
                  </w:r>
                </w:p>
              </w:tc>
              <w:tc>
                <w:tcPr>
                  <w:tcW w:w="2029" w:type="dxa"/>
                  <w:noWrap w:val="0"/>
                  <w:vAlign w:val="center"/>
                </w:tcPr>
                <w:p w14:paraId="196E85EF">
                  <w:pPr>
                    <w:rPr>
                      <w:color w:val="000000"/>
                      <w:kern w:val="0"/>
                      <w:sz w:val="21"/>
                      <w:szCs w:val="21"/>
                      <w:highlight w:val="none"/>
                    </w:rPr>
                  </w:pPr>
                  <w:r>
                    <w:rPr>
                      <w:color w:val="000000"/>
                      <w:sz w:val="21"/>
                      <w:szCs w:val="21"/>
                      <w:highlight w:val="none"/>
                    </w:rPr>
                    <w:t>m</w:t>
                  </w:r>
                  <w:r>
                    <w:rPr>
                      <w:color w:val="000000"/>
                      <w:sz w:val="21"/>
                      <w:szCs w:val="21"/>
                      <w:highlight w:val="none"/>
                      <w:vertAlign w:val="superscript"/>
                    </w:rPr>
                    <w:t>3</w:t>
                  </w:r>
                </w:p>
              </w:tc>
              <w:tc>
                <w:tcPr>
                  <w:tcW w:w="2059" w:type="dxa"/>
                  <w:noWrap w:val="0"/>
                  <w:vAlign w:val="center"/>
                </w:tcPr>
                <w:p w14:paraId="5028EDE8">
                  <w:pPr>
                    <w:widowControl/>
                    <w:spacing w:line="300" w:lineRule="exact"/>
                    <w:rPr>
                      <w:color w:val="000000"/>
                      <w:kern w:val="0"/>
                      <w:sz w:val="21"/>
                      <w:szCs w:val="21"/>
                      <w:highlight w:val="none"/>
                    </w:rPr>
                  </w:pPr>
                  <w:r>
                    <w:rPr>
                      <w:color w:val="000000"/>
                      <w:sz w:val="21"/>
                      <w:szCs w:val="21"/>
                      <w:highlight w:val="none"/>
                    </w:rPr>
                    <w:t>1940</w:t>
                  </w:r>
                </w:p>
              </w:tc>
            </w:tr>
            <w:tr w14:paraId="0AF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89" w:type="dxa"/>
                  <w:noWrap w:val="0"/>
                  <w:vAlign w:val="center"/>
                </w:tcPr>
                <w:p w14:paraId="3870BF7E">
                  <w:pPr>
                    <w:rPr>
                      <w:color w:val="000000"/>
                      <w:kern w:val="0"/>
                      <w:sz w:val="21"/>
                      <w:szCs w:val="21"/>
                      <w:highlight w:val="none"/>
                    </w:rPr>
                  </w:pPr>
                  <w:r>
                    <w:rPr>
                      <w:color w:val="000000"/>
                      <w:kern w:val="0"/>
                      <w:sz w:val="21"/>
                      <w:szCs w:val="21"/>
                      <w:highlight w:val="none"/>
                    </w:rPr>
                    <w:t>3</w:t>
                  </w:r>
                </w:p>
              </w:tc>
              <w:tc>
                <w:tcPr>
                  <w:tcW w:w="2687" w:type="dxa"/>
                  <w:gridSpan w:val="2"/>
                  <w:noWrap w:val="0"/>
                  <w:vAlign w:val="center"/>
                </w:tcPr>
                <w:p w14:paraId="162732B3">
                  <w:pPr>
                    <w:widowControl/>
                    <w:spacing w:line="300" w:lineRule="exact"/>
                    <w:rPr>
                      <w:color w:val="000000"/>
                      <w:sz w:val="21"/>
                      <w:szCs w:val="21"/>
                      <w:highlight w:val="none"/>
                    </w:rPr>
                  </w:pPr>
                  <w:r>
                    <w:rPr>
                      <w:color w:val="000000"/>
                      <w:sz w:val="21"/>
                      <w:szCs w:val="21"/>
                      <w:highlight w:val="none"/>
                    </w:rPr>
                    <w:t>油基钻井液</w:t>
                  </w:r>
                </w:p>
              </w:tc>
              <w:tc>
                <w:tcPr>
                  <w:tcW w:w="2029" w:type="dxa"/>
                  <w:noWrap w:val="0"/>
                  <w:vAlign w:val="center"/>
                </w:tcPr>
                <w:p w14:paraId="5158E5F9">
                  <w:pPr>
                    <w:rPr>
                      <w:color w:val="000000"/>
                      <w:sz w:val="21"/>
                      <w:szCs w:val="21"/>
                      <w:highlight w:val="none"/>
                    </w:rPr>
                  </w:pPr>
                  <w:r>
                    <w:rPr>
                      <w:color w:val="000000"/>
                      <w:sz w:val="21"/>
                      <w:szCs w:val="21"/>
                      <w:highlight w:val="none"/>
                    </w:rPr>
                    <w:t>m</w:t>
                  </w:r>
                  <w:r>
                    <w:rPr>
                      <w:color w:val="000000"/>
                      <w:sz w:val="21"/>
                      <w:szCs w:val="21"/>
                      <w:highlight w:val="none"/>
                      <w:vertAlign w:val="superscript"/>
                    </w:rPr>
                    <w:t>3</w:t>
                  </w:r>
                </w:p>
              </w:tc>
              <w:tc>
                <w:tcPr>
                  <w:tcW w:w="2059" w:type="dxa"/>
                  <w:noWrap w:val="0"/>
                  <w:vAlign w:val="center"/>
                </w:tcPr>
                <w:p w14:paraId="44EF579D">
                  <w:pPr>
                    <w:widowControl/>
                    <w:spacing w:line="300" w:lineRule="exact"/>
                    <w:rPr>
                      <w:color w:val="000000"/>
                      <w:kern w:val="0"/>
                      <w:sz w:val="21"/>
                      <w:szCs w:val="21"/>
                      <w:highlight w:val="none"/>
                    </w:rPr>
                  </w:pPr>
                  <w:r>
                    <w:rPr>
                      <w:color w:val="000000"/>
                      <w:kern w:val="0"/>
                      <w:sz w:val="21"/>
                      <w:szCs w:val="21"/>
                      <w:highlight w:val="none"/>
                    </w:rPr>
                    <w:t>688</w:t>
                  </w:r>
                </w:p>
              </w:tc>
            </w:tr>
            <w:tr w14:paraId="62C0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2BE25DEC">
                  <w:pPr>
                    <w:rPr>
                      <w:color w:val="000000"/>
                      <w:kern w:val="0"/>
                      <w:sz w:val="21"/>
                      <w:szCs w:val="21"/>
                      <w:highlight w:val="none"/>
                    </w:rPr>
                  </w:pPr>
                  <w:r>
                    <w:rPr>
                      <w:color w:val="000000"/>
                      <w:kern w:val="0"/>
                      <w:sz w:val="21"/>
                      <w:szCs w:val="21"/>
                      <w:highlight w:val="none"/>
                    </w:rPr>
                    <w:t>4</w:t>
                  </w:r>
                </w:p>
              </w:tc>
              <w:tc>
                <w:tcPr>
                  <w:tcW w:w="2687" w:type="dxa"/>
                  <w:gridSpan w:val="2"/>
                  <w:noWrap w:val="0"/>
                  <w:vAlign w:val="center"/>
                </w:tcPr>
                <w:p w14:paraId="4E634658">
                  <w:pPr>
                    <w:widowControl/>
                    <w:spacing w:line="300" w:lineRule="exact"/>
                    <w:rPr>
                      <w:color w:val="000000"/>
                      <w:sz w:val="21"/>
                      <w:szCs w:val="21"/>
                      <w:highlight w:val="none"/>
                    </w:rPr>
                  </w:pPr>
                  <w:r>
                    <w:rPr>
                      <w:color w:val="000000"/>
                      <w:sz w:val="21"/>
                      <w:szCs w:val="21"/>
                      <w:highlight w:val="none"/>
                    </w:rPr>
                    <w:t>柴油</w:t>
                  </w:r>
                </w:p>
              </w:tc>
              <w:tc>
                <w:tcPr>
                  <w:tcW w:w="2029" w:type="dxa"/>
                  <w:noWrap w:val="0"/>
                  <w:vAlign w:val="center"/>
                </w:tcPr>
                <w:p w14:paraId="0994EA44">
                  <w:pPr>
                    <w:rPr>
                      <w:color w:val="000000"/>
                      <w:sz w:val="21"/>
                      <w:szCs w:val="21"/>
                      <w:highlight w:val="none"/>
                    </w:rPr>
                  </w:pPr>
                  <w:r>
                    <w:rPr>
                      <w:color w:val="000000"/>
                      <w:sz w:val="21"/>
                      <w:szCs w:val="21"/>
                      <w:highlight w:val="none"/>
                    </w:rPr>
                    <w:t>t</w:t>
                  </w:r>
                </w:p>
              </w:tc>
              <w:tc>
                <w:tcPr>
                  <w:tcW w:w="2059" w:type="dxa"/>
                  <w:noWrap w:val="0"/>
                  <w:vAlign w:val="center"/>
                </w:tcPr>
                <w:p w14:paraId="0C3CBA30">
                  <w:pPr>
                    <w:widowControl/>
                    <w:spacing w:line="300" w:lineRule="exact"/>
                    <w:rPr>
                      <w:bCs/>
                      <w:color w:val="000000"/>
                      <w:sz w:val="21"/>
                      <w:szCs w:val="21"/>
                      <w:highlight w:val="none"/>
                    </w:rPr>
                  </w:pPr>
                  <w:r>
                    <w:rPr>
                      <w:bCs/>
                      <w:color w:val="000000"/>
                      <w:sz w:val="21"/>
                      <w:szCs w:val="21"/>
                      <w:highlight w:val="none"/>
                    </w:rPr>
                    <w:t>216.3</w:t>
                  </w:r>
                </w:p>
              </w:tc>
            </w:tr>
            <w:tr w14:paraId="6B1D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5B61D4E9">
                  <w:pPr>
                    <w:rPr>
                      <w:color w:val="000000"/>
                      <w:kern w:val="0"/>
                      <w:sz w:val="21"/>
                      <w:szCs w:val="21"/>
                      <w:highlight w:val="none"/>
                    </w:rPr>
                  </w:pPr>
                  <w:r>
                    <w:rPr>
                      <w:color w:val="000000"/>
                      <w:kern w:val="0"/>
                      <w:sz w:val="21"/>
                      <w:szCs w:val="21"/>
                      <w:highlight w:val="none"/>
                    </w:rPr>
                    <w:t>5</w:t>
                  </w:r>
                </w:p>
              </w:tc>
              <w:tc>
                <w:tcPr>
                  <w:tcW w:w="922" w:type="dxa"/>
                  <w:vMerge w:val="restart"/>
                  <w:noWrap w:val="0"/>
                  <w:vAlign w:val="center"/>
                </w:tcPr>
                <w:p w14:paraId="421A5A48">
                  <w:pPr>
                    <w:widowControl/>
                    <w:spacing w:line="300" w:lineRule="exact"/>
                    <w:rPr>
                      <w:color w:val="000000"/>
                      <w:sz w:val="21"/>
                      <w:szCs w:val="21"/>
                      <w:highlight w:val="none"/>
                    </w:rPr>
                  </w:pPr>
                  <w:r>
                    <w:rPr>
                      <w:color w:val="000000"/>
                      <w:sz w:val="21"/>
                      <w:szCs w:val="21"/>
                      <w:highlight w:val="none"/>
                    </w:rPr>
                    <w:t>工程占地</w:t>
                  </w:r>
                </w:p>
              </w:tc>
              <w:tc>
                <w:tcPr>
                  <w:tcW w:w="1765" w:type="dxa"/>
                  <w:noWrap w:val="0"/>
                  <w:vAlign w:val="center"/>
                </w:tcPr>
                <w:p w14:paraId="3E6B91C3">
                  <w:pPr>
                    <w:widowControl/>
                    <w:spacing w:line="300" w:lineRule="exact"/>
                    <w:rPr>
                      <w:color w:val="000000"/>
                      <w:sz w:val="21"/>
                      <w:szCs w:val="21"/>
                      <w:highlight w:val="none"/>
                    </w:rPr>
                  </w:pPr>
                  <w:r>
                    <w:rPr>
                      <w:color w:val="000000"/>
                      <w:sz w:val="21"/>
                      <w:szCs w:val="21"/>
                      <w:highlight w:val="none"/>
                    </w:rPr>
                    <w:t>永久占地</w:t>
                  </w:r>
                </w:p>
              </w:tc>
              <w:tc>
                <w:tcPr>
                  <w:tcW w:w="2029" w:type="dxa"/>
                  <w:noWrap w:val="0"/>
                  <w:vAlign w:val="center"/>
                </w:tcPr>
                <w:p w14:paraId="29B6A57E">
                  <w:pPr>
                    <w:rPr>
                      <w:color w:val="000000"/>
                      <w:sz w:val="21"/>
                      <w:szCs w:val="21"/>
                      <w:highlight w:val="none"/>
                    </w:rPr>
                  </w:pPr>
                  <w:r>
                    <w:rPr>
                      <w:color w:val="000000"/>
                      <w:sz w:val="21"/>
                      <w:szCs w:val="21"/>
                      <w:highlight w:val="none"/>
                    </w:rPr>
                    <w:t>m</w:t>
                  </w:r>
                  <w:r>
                    <w:rPr>
                      <w:color w:val="000000"/>
                      <w:sz w:val="21"/>
                      <w:szCs w:val="21"/>
                      <w:highlight w:val="none"/>
                      <w:vertAlign w:val="superscript"/>
                    </w:rPr>
                    <w:t>2</w:t>
                  </w:r>
                </w:p>
              </w:tc>
              <w:tc>
                <w:tcPr>
                  <w:tcW w:w="2059" w:type="dxa"/>
                  <w:noWrap w:val="0"/>
                  <w:vAlign w:val="center"/>
                </w:tcPr>
                <w:p w14:paraId="73DDD9AA">
                  <w:pPr>
                    <w:widowControl/>
                    <w:spacing w:line="300" w:lineRule="exact"/>
                    <w:rPr>
                      <w:color w:val="000000"/>
                      <w:sz w:val="21"/>
                      <w:szCs w:val="21"/>
                      <w:highlight w:val="none"/>
                    </w:rPr>
                  </w:pPr>
                  <w:r>
                    <w:rPr>
                      <w:color w:val="000000"/>
                      <w:sz w:val="21"/>
                      <w:szCs w:val="21"/>
                      <w:highlight w:val="none"/>
                    </w:rPr>
                    <w:t>0</w:t>
                  </w:r>
                </w:p>
              </w:tc>
            </w:tr>
            <w:tr w14:paraId="4E26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03875088">
                  <w:pPr>
                    <w:rPr>
                      <w:color w:val="000000"/>
                      <w:kern w:val="0"/>
                      <w:sz w:val="21"/>
                      <w:szCs w:val="21"/>
                      <w:highlight w:val="none"/>
                    </w:rPr>
                  </w:pPr>
                  <w:r>
                    <w:rPr>
                      <w:color w:val="000000"/>
                      <w:kern w:val="0"/>
                      <w:sz w:val="21"/>
                      <w:szCs w:val="21"/>
                      <w:highlight w:val="none"/>
                    </w:rPr>
                    <w:t>6</w:t>
                  </w:r>
                </w:p>
              </w:tc>
              <w:tc>
                <w:tcPr>
                  <w:tcW w:w="922" w:type="dxa"/>
                  <w:vMerge w:val="continue"/>
                  <w:noWrap w:val="0"/>
                  <w:vAlign w:val="center"/>
                </w:tcPr>
                <w:p w14:paraId="325E39EF">
                  <w:pPr>
                    <w:widowControl/>
                    <w:spacing w:line="300" w:lineRule="exact"/>
                    <w:rPr>
                      <w:color w:val="000000"/>
                      <w:sz w:val="21"/>
                      <w:szCs w:val="21"/>
                      <w:highlight w:val="none"/>
                    </w:rPr>
                  </w:pPr>
                </w:p>
              </w:tc>
              <w:tc>
                <w:tcPr>
                  <w:tcW w:w="1765" w:type="dxa"/>
                  <w:noWrap w:val="0"/>
                  <w:vAlign w:val="center"/>
                </w:tcPr>
                <w:p w14:paraId="251D36B5">
                  <w:pPr>
                    <w:widowControl/>
                    <w:spacing w:line="300" w:lineRule="exact"/>
                    <w:rPr>
                      <w:color w:val="000000"/>
                      <w:sz w:val="21"/>
                      <w:szCs w:val="21"/>
                      <w:highlight w:val="none"/>
                    </w:rPr>
                  </w:pPr>
                  <w:r>
                    <w:rPr>
                      <w:color w:val="000000"/>
                      <w:sz w:val="21"/>
                      <w:szCs w:val="21"/>
                      <w:highlight w:val="none"/>
                    </w:rPr>
                    <w:t>临时占地</w:t>
                  </w:r>
                </w:p>
              </w:tc>
              <w:tc>
                <w:tcPr>
                  <w:tcW w:w="2029" w:type="dxa"/>
                  <w:noWrap w:val="0"/>
                  <w:vAlign w:val="center"/>
                </w:tcPr>
                <w:p w14:paraId="018CB67C">
                  <w:pPr>
                    <w:rPr>
                      <w:color w:val="000000"/>
                      <w:sz w:val="21"/>
                      <w:szCs w:val="21"/>
                      <w:highlight w:val="none"/>
                    </w:rPr>
                  </w:pPr>
                  <w:r>
                    <w:rPr>
                      <w:color w:val="000000"/>
                      <w:sz w:val="21"/>
                      <w:szCs w:val="21"/>
                      <w:highlight w:val="none"/>
                    </w:rPr>
                    <w:t>m</w:t>
                  </w:r>
                  <w:r>
                    <w:rPr>
                      <w:color w:val="000000"/>
                      <w:sz w:val="21"/>
                      <w:szCs w:val="21"/>
                      <w:highlight w:val="none"/>
                      <w:vertAlign w:val="superscript"/>
                    </w:rPr>
                    <w:t>2</w:t>
                  </w:r>
                </w:p>
              </w:tc>
              <w:tc>
                <w:tcPr>
                  <w:tcW w:w="2059" w:type="dxa"/>
                  <w:noWrap w:val="0"/>
                  <w:vAlign w:val="center"/>
                </w:tcPr>
                <w:p w14:paraId="3F5AA8AF">
                  <w:pPr>
                    <w:widowControl/>
                    <w:spacing w:line="300" w:lineRule="exact"/>
                    <w:rPr>
                      <w:color w:val="000000"/>
                      <w:sz w:val="21"/>
                      <w:szCs w:val="21"/>
                      <w:highlight w:val="none"/>
                    </w:rPr>
                  </w:pPr>
                  <w:r>
                    <w:rPr>
                      <w:color w:val="000000"/>
                      <w:sz w:val="21"/>
                      <w:szCs w:val="21"/>
                      <w:highlight w:val="none"/>
                    </w:rPr>
                    <w:t>113337</w:t>
                  </w:r>
                </w:p>
              </w:tc>
            </w:tr>
            <w:tr w14:paraId="4F1F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4E7E1561">
                  <w:pPr>
                    <w:rPr>
                      <w:color w:val="000000"/>
                      <w:kern w:val="0"/>
                      <w:sz w:val="21"/>
                      <w:szCs w:val="21"/>
                      <w:highlight w:val="none"/>
                    </w:rPr>
                  </w:pPr>
                  <w:r>
                    <w:rPr>
                      <w:color w:val="000000"/>
                      <w:kern w:val="0"/>
                      <w:sz w:val="21"/>
                      <w:szCs w:val="21"/>
                      <w:highlight w:val="none"/>
                    </w:rPr>
                    <w:t>7</w:t>
                  </w:r>
                </w:p>
              </w:tc>
              <w:tc>
                <w:tcPr>
                  <w:tcW w:w="2687" w:type="dxa"/>
                  <w:gridSpan w:val="2"/>
                  <w:noWrap w:val="0"/>
                  <w:vAlign w:val="center"/>
                </w:tcPr>
                <w:p w14:paraId="2F1F9845">
                  <w:pPr>
                    <w:widowControl/>
                    <w:spacing w:line="300" w:lineRule="exact"/>
                    <w:rPr>
                      <w:color w:val="000000"/>
                      <w:sz w:val="21"/>
                      <w:szCs w:val="21"/>
                      <w:highlight w:val="none"/>
                    </w:rPr>
                  </w:pPr>
                  <w:r>
                    <w:rPr>
                      <w:color w:val="000000"/>
                      <w:sz w:val="21"/>
                      <w:szCs w:val="21"/>
                      <w:highlight w:val="none"/>
                    </w:rPr>
                    <w:t>总投资</w:t>
                  </w:r>
                </w:p>
              </w:tc>
              <w:tc>
                <w:tcPr>
                  <w:tcW w:w="2029" w:type="dxa"/>
                  <w:noWrap w:val="0"/>
                  <w:vAlign w:val="center"/>
                </w:tcPr>
                <w:p w14:paraId="73811917">
                  <w:pPr>
                    <w:rPr>
                      <w:color w:val="000000"/>
                      <w:sz w:val="21"/>
                      <w:szCs w:val="21"/>
                      <w:highlight w:val="none"/>
                    </w:rPr>
                  </w:pPr>
                  <w:r>
                    <w:rPr>
                      <w:color w:val="000000"/>
                      <w:sz w:val="21"/>
                      <w:szCs w:val="21"/>
                      <w:highlight w:val="none"/>
                    </w:rPr>
                    <w:t>万元</w:t>
                  </w:r>
                </w:p>
              </w:tc>
              <w:tc>
                <w:tcPr>
                  <w:tcW w:w="2059" w:type="dxa"/>
                  <w:noWrap w:val="0"/>
                  <w:vAlign w:val="center"/>
                </w:tcPr>
                <w:p w14:paraId="7D447DE6">
                  <w:pPr>
                    <w:widowControl/>
                    <w:spacing w:line="300" w:lineRule="exact"/>
                    <w:rPr>
                      <w:color w:val="000000"/>
                      <w:sz w:val="21"/>
                      <w:szCs w:val="21"/>
                      <w:highlight w:val="none"/>
                    </w:rPr>
                  </w:pPr>
                  <w:r>
                    <w:rPr>
                      <w:color w:val="000000"/>
                      <w:sz w:val="21"/>
                      <w:szCs w:val="21"/>
                      <w:highlight w:val="none"/>
                    </w:rPr>
                    <w:t>1294.8</w:t>
                  </w:r>
                </w:p>
              </w:tc>
            </w:tr>
            <w:tr w14:paraId="38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noWrap w:val="0"/>
                  <w:vAlign w:val="center"/>
                </w:tcPr>
                <w:p w14:paraId="31F42A53">
                  <w:pPr>
                    <w:rPr>
                      <w:color w:val="000000"/>
                      <w:kern w:val="0"/>
                      <w:sz w:val="21"/>
                      <w:szCs w:val="21"/>
                      <w:highlight w:val="none"/>
                    </w:rPr>
                  </w:pPr>
                  <w:r>
                    <w:rPr>
                      <w:color w:val="000000"/>
                      <w:kern w:val="0"/>
                      <w:sz w:val="21"/>
                      <w:szCs w:val="21"/>
                      <w:highlight w:val="none"/>
                    </w:rPr>
                    <w:t>8</w:t>
                  </w:r>
                </w:p>
              </w:tc>
              <w:tc>
                <w:tcPr>
                  <w:tcW w:w="2687" w:type="dxa"/>
                  <w:gridSpan w:val="2"/>
                  <w:noWrap w:val="0"/>
                  <w:vAlign w:val="center"/>
                </w:tcPr>
                <w:p w14:paraId="52870011">
                  <w:pPr>
                    <w:widowControl/>
                    <w:spacing w:line="300" w:lineRule="exact"/>
                    <w:rPr>
                      <w:color w:val="000000"/>
                      <w:sz w:val="21"/>
                      <w:szCs w:val="21"/>
                      <w:highlight w:val="none"/>
                    </w:rPr>
                  </w:pPr>
                  <w:r>
                    <w:rPr>
                      <w:color w:val="000000"/>
                      <w:sz w:val="21"/>
                      <w:szCs w:val="21"/>
                      <w:highlight w:val="none"/>
                    </w:rPr>
                    <w:t>环保投资</w:t>
                  </w:r>
                </w:p>
              </w:tc>
              <w:tc>
                <w:tcPr>
                  <w:tcW w:w="2029" w:type="dxa"/>
                  <w:noWrap w:val="0"/>
                  <w:vAlign w:val="center"/>
                </w:tcPr>
                <w:p w14:paraId="6A38BC7A">
                  <w:pPr>
                    <w:rPr>
                      <w:color w:val="000000"/>
                      <w:sz w:val="21"/>
                      <w:szCs w:val="21"/>
                      <w:highlight w:val="none"/>
                    </w:rPr>
                  </w:pPr>
                </w:p>
              </w:tc>
              <w:tc>
                <w:tcPr>
                  <w:tcW w:w="2059" w:type="dxa"/>
                  <w:noWrap w:val="0"/>
                  <w:vAlign w:val="center"/>
                </w:tcPr>
                <w:p w14:paraId="716A4C10">
                  <w:pPr>
                    <w:widowControl/>
                    <w:spacing w:line="300" w:lineRule="exact"/>
                    <w:rPr>
                      <w:color w:val="000000"/>
                      <w:sz w:val="21"/>
                      <w:szCs w:val="21"/>
                      <w:highlight w:val="none"/>
                    </w:rPr>
                  </w:pPr>
                  <w:r>
                    <w:rPr>
                      <w:color w:val="000000"/>
                      <w:sz w:val="21"/>
                      <w:szCs w:val="21"/>
                      <w:highlight w:val="none"/>
                    </w:rPr>
                    <w:t>138</w:t>
                  </w:r>
                </w:p>
              </w:tc>
            </w:tr>
          </w:tbl>
          <w:p w14:paraId="70E2D6B1">
            <w:pPr>
              <w:keepNext/>
              <w:keepLines/>
              <w:spacing w:line="360" w:lineRule="auto"/>
              <w:jc w:val="left"/>
              <w:outlineLvl w:val="1"/>
              <w:rPr>
                <w:b/>
                <w:bCs/>
                <w:color w:val="000000"/>
                <w:sz w:val="28"/>
                <w:szCs w:val="28"/>
                <w:highlight w:val="none"/>
              </w:rPr>
            </w:pPr>
            <w:r>
              <w:rPr>
                <w:b/>
                <w:bCs/>
                <w:color w:val="000000"/>
                <w:sz w:val="28"/>
                <w:szCs w:val="28"/>
                <w:highlight w:val="none"/>
              </w:rPr>
              <w:t>4 钻前工程</w:t>
            </w:r>
          </w:p>
          <w:p w14:paraId="5081BC08">
            <w:pPr>
              <w:keepNext/>
              <w:keepLines/>
              <w:spacing w:line="360" w:lineRule="auto"/>
              <w:ind w:firstLine="480" w:firstLineChars="200"/>
              <w:jc w:val="left"/>
              <w:outlineLvl w:val="1"/>
              <w:rPr>
                <w:b/>
                <w:bCs/>
                <w:color w:val="000000"/>
                <w:sz w:val="28"/>
                <w:szCs w:val="28"/>
                <w:highlight w:val="none"/>
              </w:rPr>
            </w:pPr>
            <w:r>
              <w:rPr>
                <w:color w:val="000000"/>
                <w:highlight w:val="none"/>
              </w:rPr>
              <w:t>钻前工程包括井场平整设备基础、放喷池、进场道路等的建设，生活营地搭建、临时道路建设等。</w:t>
            </w:r>
          </w:p>
          <w:p w14:paraId="3B709327">
            <w:pPr>
              <w:keepNext/>
              <w:keepLines/>
              <w:spacing w:line="360" w:lineRule="auto"/>
              <w:jc w:val="left"/>
              <w:outlineLvl w:val="1"/>
              <w:rPr>
                <w:b/>
                <w:bCs/>
                <w:color w:val="000000"/>
                <w:sz w:val="28"/>
                <w:szCs w:val="28"/>
                <w:highlight w:val="none"/>
              </w:rPr>
            </w:pPr>
            <w:r>
              <w:rPr>
                <w:b/>
                <w:bCs/>
                <w:color w:val="000000"/>
                <w:sz w:val="28"/>
                <w:szCs w:val="28"/>
                <w:highlight w:val="none"/>
              </w:rPr>
              <w:t>5钻井工程</w:t>
            </w:r>
          </w:p>
          <w:p w14:paraId="7E851B42">
            <w:pPr>
              <w:keepNext/>
              <w:keepLines/>
              <w:spacing w:line="360" w:lineRule="auto"/>
              <w:jc w:val="left"/>
              <w:outlineLvl w:val="2"/>
              <w:rPr>
                <w:b/>
                <w:bCs/>
                <w:color w:val="000000"/>
                <w:highlight w:val="none"/>
              </w:rPr>
            </w:pPr>
            <w:r>
              <w:rPr>
                <w:b/>
                <w:bCs/>
                <w:color w:val="000000"/>
                <w:highlight w:val="none"/>
              </w:rPr>
              <w:t>5.1 钻井基本参数</w:t>
            </w:r>
          </w:p>
          <w:p w14:paraId="2244D50E">
            <w:pPr>
              <w:spacing w:line="360" w:lineRule="auto"/>
              <w:ind w:firstLine="480" w:firstLineChars="200"/>
              <w:jc w:val="left"/>
              <w:rPr>
                <w:color w:val="000000"/>
                <w:highlight w:val="none"/>
              </w:rPr>
            </w:pPr>
            <w:r>
              <w:rPr>
                <w:color w:val="000000"/>
                <w:highlight w:val="none"/>
              </w:rPr>
              <w:t>本次拟钻2口评价井，井号：莫173井、莫174H井，主要技术参数见表2-5。</w:t>
            </w:r>
          </w:p>
          <w:p w14:paraId="79056157">
            <w:pPr>
              <w:overflowPunct w:val="0"/>
              <w:rPr>
                <w:b/>
                <w:color w:val="000000"/>
                <w:sz w:val="21"/>
                <w:szCs w:val="21"/>
                <w:highlight w:val="none"/>
                <w:lang w:bidi="ar"/>
              </w:rPr>
            </w:pPr>
            <w:r>
              <w:rPr>
                <w:b/>
                <w:color w:val="000000"/>
                <w:sz w:val="21"/>
                <w:szCs w:val="21"/>
                <w:highlight w:val="none"/>
                <w:lang w:bidi="ar"/>
              </w:rPr>
              <w:t>表2-5  钻井基本参数</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66"/>
              <w:gridCol w:w="665"/>
              <w:gridCol w:w="1198"/>
              <w:gridCol w:w="1432"/>
              <w:gridCol w:w="1697"/>
              <w:gridCol w:w="1315"/>
            </w:tblGrid>
            <w:tr w14:paraId="7D1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46" w:type="pct"/>
                  <w:noWrap w:val="0"/>
                  <w:tcMar>
                    <w:left w:w="57" w:type="dxa"/>
                    <w:right w:w="57" w:type="dxa"/>
                  </w:tcMar>
                  <w:vAlign w:val="center"/>
                </w:tcPr>
                <w:p w14:paraId="0609FFDA">
                  <w:pPr>
                    <w:pStyle w:val="25"/>
                    <w:rPr>
                      <w:color w:val="000000"/>
                      <w:highlight w:val="none"/>
                    </w:rPr>
                  </w:pPr>
                  <w:r>
                    <w:rPr>
                      <w:color w:val="000000"/>
                      <w:highlight w:val="none"/>
                    </w:rPr>
                    <w:t>井</w:t>
                  </w:r>
                </w:p>
                <w:p w14:paraId="411F81B9">
                  <w:pPr>
                    <w:pStyle w:val="25"/>
                    <w:rPr>
                      <w:color w:val="000000"/>
                      <w:highlight w:val="none"/>
                    </w:rPr>
                  </w:pPr>
                  <w:r>
                    <w:rPr>
                      <w:color w:val="000000"/>
                      <w:highlight w:val="none"/>
                    </w:rPr>
                    <w:t>号</w:t>
                  </w:r>
                </w:p>
              </w:tc>
              <w:tc>
                <w:tcPr>
                  <w:tcW w:w="471" w:type="pct"/>
                  <w:noWrap w:val="0"/>
                  <w:tcMar>
                    <w:left w:w="57" w:type="dxa"/>
                    <w:right w:w="57" w:type="dxa"/>
                  </w:tcMar>
                  <w:vAlign w:val="center"/>
                </w:tcPr>
                <w:p w14:paraId="49FBCA53">
                  <w:pPr>
                    <w:pStyle w:val="25"/>
                    <w:rPr>
                      <w:color w:val="000000"/>
                      <w:highlight w:val="none"/>
                    </w:rPr>
                  </w:pPr>
                  <w:r>
                    <w:rPr>
                      <w:color w:val="000000"/>
                      <w:highlight w:val="none"/>
                    </w:rPr>
                    <w:t>井</w:t>
                  </w:r>
                </w:p>
                <w:p w14:paraId="17DF0B03">
                  <w:pPr>
                    <w:pStyle w:val="25"/>
                    <w:rPr>
                      <w:color w:val="000000"/>
                      <w:highlight w:val="none"/>
                    </w:rPr>
                  </w:pPr>
                  <w:r>
                    <w:rPr>
                      <w:color w:val="000000"/>
                      <w:highlight w:val="none"/>
                    </w:rPr>
                    <w:t>别</w:t>
                  </w:r>
                </w:p>
              </w:tc>
              <w:tc>
                <w:tcPr>
                  <w:tcW w:w="409" w:type="pct"/>
                  <w:noWrap w:val="0"/>
                  <w:tcMar>
                    <w:left w:w="57" w:type="dxa"/>
                    <w:right w:w="57" w:type="dxa"/>
                  </w:tcMar>
                  <w:vAlign w:val="center"/>
                </w:tcPr>
                <w:p w14:paraId="460D003C">
                  <w:pPr>
                    <w:pStyle w:val="25"/>
                    <w:rPr>
                      <w:color w:val="000000"/>
                      <w:highlight w:val="none"/>
                    </w:rPr>
                  </w:pPr>
                  <w:r>
                    <w:rPr>
                      <w:color w:val="000000"/>
                      <w:highlight w:val="none"/>
                    </w:rPr>
                    <w:t>井型</w:t>
                  </w:r>
                </w:p>
              </w:tc>
              <w:tc>
                <w:tcPr>
                  <w:tcW w:w="737" w:type="pct"/>
                  <w:noWrap w:val="0"/>
                  <w:tcMar>
                    <w:left w:w="57" w:type="dxa"/>
                    <w:right w:w="57" w:type="dxa"/>
                  </w:tcMar>
                  <w:vAlign w:val="center"/>
                </w:tcPr>
                <w:p w14:paraId="26F5E2DD">
                  <w:pPr>
                    <w:pStyle w:val="25"/>
                    <w:rPr>
                      <w:color w:val="000000"/>
                      <w:highlight w:val="none"/>
                    </w:rPr>
                  </w:pPr>
                  <w:r>
                    <w:rPr>
                      <w:color w:val="000000"/>
                      <w:highlight w:val="none"/>
                    </w:rPr>
                    <w:t>井身结构</w:t>
                  </w:r>
                </w:p>
              </w:tc>
              <w:tc>
                <w:tcPr>
                  <w:tcW w:w="881" w:type="pct"/>
                  <w:noWrap w:val="0"/>
                  <w:tcMar>
                    <w:left w:w="57" w:type="dxa"/>
                    <w:right w:w="57" w:type="dxa"/>
                  </w:tcMar>
                  <w:vAlign w:val="center"/>
                </w:tcPr>
                <w:p w14:paraId="6570488F">
                  <w:pPr>
                    <w:pStyle w:val="25"/>
                    <w:rPr>
                      <w:color w:val="000000"/>
                      <w:highlight w:val="none"/>
                    </w:rPr>
                  </w:pPr>
                  <w:r>
                    <w:rPr>
                      <w:color w:val="000000"/>
                      <w:highlight w:val="none"/>
                    </w:rPr>
                    <w:t>设计井深</w:t>
                  </w:r>
                </w:p>
                <w:p w14:paraId="7FA2BA99">
                  <w:pPr>
                    <w:pStyle w:val="25"/>
                    <w:rPr>
                      <w:color w:val="000000"/>
                      <w:highlight w:val="none"/>
                    </w:rPr>
                  </w:pPr>
                  <w:r>
                    <w:rPr>
                      <w:color w:val="000000"/>
                      <w:highlight w:val="none"/>
                    </w:rPr>
                    <w:t>（m）</w:t>
                  </w:r>
                </w:p>
              </w:tc>
              <w:tc>
                <w:tcPr>
                  <w:tcW w:w="1044" w:type="pct"/>
                  <w:noWrap w:val="0"/>
                  <w:tcMar>
                    <w:left w:w="57" w:type="dxa"/>
                    <w:right w:w="57" w:type="dxa"/>
                  </w:tcMar>
                  <w:vAlign w:val="center"/>
                </w:tcPr>
                <w:p w14:paraId="25C4CEF8">
                  <w:pPr>
                    <w:pStyle w:val="25"/>
                    <w:rPr>
                      <w:color w:val="000000"/>
                      <w:highlight w:val="none"/>
                    </w:rPr>
                  </w:pPr>
                  <w:r>
                    <w:rPr>
                      <w:color w:val="000000"/>
                      <w:highlight w:val="none"/>
                    </w:rPr>
                    <w:t>目的层</w:t>
                  </w:r>
                </w:p>
              </w:tc>
              <w:tc>
                <w:tcPr>
                  <w:tcW w:w="809" w:type="pct"/>
                  <w:noWrap w:val="0"/>
                  <w:tcMar>
                    <w:left w:w="57" w:type="dxa"/>
                    <w:right w:w="57" w:type="dxa"/>
                  </w:tcMar>
                  <w:vAlign w:val="center"/>
                </w:tcPr>
                <w:p w14:paraId="6B4818F7">
                  <w:pPr>
                    <w:pStyle w:val="25"/>
                    <w:rPr>
                      <w:color w:val="000000"/>
                      <w:highlight w:val="none"/>
                    </w:rPr>
                  </w:pPr>
                  <w:r>
                    <w:rPr>
                      <w:color w:val="000000"/>
                      <w:highlight w:val="none"/>
                    </w:rPr>
                    <w:t>钻井周期（d）</w:t>
                  </w:r>
                </w:p>
              </w:tc>
            </w:tr>
            <w:tr w14:paraId="7FDF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46" w:type="pct"/>
                  <w:noWrap w:val="0"/>
                  <w:tcMar>
                    <w:left w:w="57" w:type="dxa"/>
                    <w:right w:w="57" w:type="dxa"/>
                  </w:tcMar>
                  <w:vAlign w:val="center"/>
                </w:tcPr>
                <w:p w14:paraId="656BF217">
                  <w:pPr>
                    <w:pStyle w:val="25"/>
                    <w:rPr>
                      <w:color w:val="000000"/>
                      <w:highlight w:val="none"/>
                    </w:rPr>
                  </w:pPr>
                  <w:bookmarkStart w:id="6" w:name="_Hlk54016375"/>
                  <w:r>
                    <w:rPr>
                      <w:color w:val="000000"/>
                      <w:highlight w:val="none"/>
                    </w:rPr>
                    <w:t>莫173井</w:t>
                  </w:r>
                </w:p>
              </w:tc>
              <w:tc>
                <w:tcPr>
                  <w:tcW w:w="471" w:type="pct"/>
                  <w:noWrap w:val="0"/>
                  <w:tcMar>
                    <w:left w:w="57" w:type="dxa"/>
                    <w:right w:w="57" w:type="dxa"/>
                  </w:tcMar>
                  <w:vAlign w:val="center"/>
                </w:tcPr>
                <w:p w14:paraId="0CF12631">
                  <w:pPr>
                    <w:pStyle w:val="25"/>
                    <w:rPr>
                      <w:color w:val="000000"/>
                      <w:highlight w:val="none"/>
                    </w:rPr>
                  </w:pPr>
                  <w:r>
                    <w:rPr>
                      <w:color w:val="000000"/>
                      <w:highlight w:val="none"/>
                    </w:rPr>
                    <w:t>评价井</w:t>
                  </w:r>
                </w:p>
              </w:tc>
              <w:tc>
                <w:tcPr>
                  <w:tcW w:w="409" w:type="pct"/>
                  <w:noWrap w:val="0"/>
                  <w:tcMar>
                    <w:left w:w="57" w:type="dxa"/>
                    <w:right w:w="57" w:type="dxa"/>
                  </w:tcMar>
                  <w:vAlign w:val="center"/>
                </w:tcPr>
                <w:p w14:paraId="09212FF0">
                  <w:pPr>
                    <w:pStyle w:val="25"/>
                    <w:rPr>
                      <w:color w:val="000000"/>
                      <w:highlight w:val="none"/>
                    </w:rPr>
                  </w:pPr>
                  <w:r>
                    <w:rPr>
                      <w:color w:val="000000"/>
                      <w:highlight w:val="none"/>
                    </w:rPr>
                    <w:t>直井</w:t>
                  </w:r>
                </w:p>
              </w:tc>
              <w:tc>
                <w:tcPr>
                  <w:tcW w:w="737" w:type="pct"/>
                  <w:noWrap w:val="0"/>
                  <w:tcMar>
                    <w:left w:w="57" w:type="dxa"/>
                    <w:right w:w="57" w:type="dxa"/>
                  </w:tcMar>
                  <w:vAlign w:val="center"/>
                </w:tcPr>
                <w:p w14:paraId="0A3E77E3">
                  <w:pPr>
                    <w:pStyle w:val="25"/>
                    <w:rPr>
                      <w:color w:val="000000"/>
                      <w:highlight w:val="none"/>
                    </w:rPr>
                  </w:pPr>
                  <w:r>
                    <w:rPr>
                      <w:color w:val="000000"/>
                      <w:highlight w:val="none"/>
                    </w:rPr>
                    <w:t>三开</w:t>
                  </w:r>
                </w:p>
              </w:tc>
              <w:tc>
                <w:tcPr>
                  <w:tcW w:w="881" w:type="pct"/>
                  <w:noWrap w:val="0"/>
                  <w:tcMar>
                    <w:left w:w="57" w:type="dxa"/>
                    <w:right w:w="57" w:type="dxa"/>
                  </w:tcMar>
                  <w:vAlign w:val="center"/>
                </w:tcPr>
                <w:p w14:paraId="3526811A">
                  <w:pPr>
                    <w:pStyle w:val="25"/>
                    <w:rPr>
                      <w:color w:val="000000"/>
                      <w:highlight w:val="none"/>
                    </w:rPr>
                  </w:pPr>
                  <w:r>
                    <w:rPr>
                      <w:color w:val="000000"/>
                      <w:highlight w:val="none"/>
                    </w:rPr>
                    <w:t>4500</w:t>
                  </w:r>
                </w:p>
              </w:tc>
              <w:tc>
                <w:tcPr>
                  <w:tcW w:w="1044" w:type="pct"/>
                  <w:vMerge w:val="restart"/>
                  <w:noWrap w:val="0"/>
                  <w:tcMar>
                    <w:left w:w="57" w:type="dxa"/>
                    <w:right w:w="57" w:type="dxa"/>
                  </w:tcMar>
                  <w:vAlign w:val="center"/>
                </w:tcPr>
                <w:p w14:paraId="2D4CD813">
                  <w:pPr>
                    <w:pStyle w:val="25"/>
                    <w:rPr>
                      <w:color w:val="000000"/>
                      <w:highlight w:val="none"/>
                    </w:rPr>
                  </w:pPr>
                  <w:r>
                    <w:rPr>
                      <w:color w:val="000000"/>
                      <w:spacing w:val="8"/>
                      <w:highlight w:val="none"/>
                    </w:rPr>
                    <w:t>侏罗系</w:t>
                  </w:r>
                  <w:r>
                    <w:rPr>
                      <w:color w:val="000000"/>
                      <w:highlight w:val="none"/>
                    </w:rPr>
                    <w:t>三工河二段（J</w:t>
                  </w:r>
                  <w:r>
                    <w:rPr>
                      <w:color w:val="000000"/>
                      <w:highlight w:val="none"/>
                      <w:vertAlign w:val="subscript"/>
                    </w:rPr>
                    <w:t>1</w:t>
                  </w:r>
                  <w:r>
                    <w:rPr>
                      <w:i/>
                      <w:color w:val="000000"/>
                      <w:highlight w:val="none"/>
                    </w:rPr>
                    <w:t>s</w:t>
                  </w:r>
                  <w:r>
                    <w:rPr>
                      <w:color w:val="000000"/>
                      <w:highlight w:val="none"/>
                      <w:vertAlign w:val="subscript"/>
                    </w:rPr>
                    <w:t>2</w:t>
                  </w:r>
                  <w:r>
                    <w:rPr>
                      <w:color w:val="000000"/>
                      <w:highlight w:val="none"/>
                    </w:rPr>
                    <w:t>）</w:t>
                  </w:r>
                </w:p>
              </w:tc>
              <w:tc>
                <w:tcPr>
                  <w:tcW w:w="809" w:type="pct"/>
                  <w:noWrap w:val="0"/>
                  <w:tcMar>
                    <w:left w:w="57" w:type="dxa"/>
                    <w:right w:w="57" w:type="dxa"/>
                  </w:tcMar>
                  <w:vAlign w:val="center"/>
                </w:tcPr>
                <w:p w14:paraId="309C1429">
                  <w:pPr>
                    <w:pStyle w:val="25"/>
                    <w:rPr>
                      <w:color w:val="000000"/>
                      <w:highlight w:val="none"/>
                    </w:rPr>
                  </w:pPr>
                  <w:r>
                    <w:rPr>
                      <w:color w:val="000000"/>
                      <w:highlight w:val="none"/>
                    </w:rPr>
                    <w:t>65</w:t>
                  </w:r>
                </w:p>
              </w:tc>
            </w:tr>
            <w:tr w14:paraId="645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46" w:type="pct"/>
                  <w:noWrap w:val="0"/>
                  <w:tcMar>
                    <w:left w:w="57" w:type="dxa"/>
                    <w:right w:w="57" w:type="dxa"/>
                  </w:tcMar>
                  <w:vAlign w:val="center"/>
                </w:tcPr>
                <w:p w14:paraId="10DB87B1">
                  <w:pPr>
                    <w:pStyle w:val="25"/>
                    <w:rPr>
                      <w:color w:val="000000"/>
                      <w:highlight w:val="none"/>
                    </w:rPr>
                  </w:pPr>
                  <w:r>
                    <w:rPr>
                      <w:color w:val="000000"/>
                      <w:highlight w:val="none"/>
                    </w:rPr>
                    <w:t>莫174H井</w:t>
                  </w:r>
                </w:p>
              </w:tc>
              <w:tc>
                <w:tcPr>
                  <w:tcW w:w="471" w:type="pct"/>
                  <w:noWrap w:val="0"/>
                  <w:tcMar>
                    <w:left w:w="57" w:type="dxa"/>
                    <w:right w:w="57" w:type="dxa"/>
                  </w:tcMar>
                  <w:vAlign w:val="center"/>
                </w:tcPr>
                <w:p w14:paraId="46C47390">
                  <w:pPr>
                    <w:pStyle w:val="25"/>
                    <w:rPr>
                      <w:color w:val="000000"/>
                      <w:highlight w:val="none"/>
                    </w:rPr>
                  </w:pPr>
                  <w:r>
                    <w:rPr>
                      <w:color w:val="000000"/>
                      <w:highlight w:val="none"/>
                    </w:rPr>
                    <w:t>评价井</w:t>
                  </w:r>
                </w:p>
              </w:tc>
              <w:tc>
                <w:tcPr>
                  <w:tcW w:w="409" w:type="pct"/>
                  <w:noWrap w:val="0"/>
                  <w:tcMar>
                    <w:left w:w="57" w:type="dxa"/>
                    <w:right w:w="57" w:type="dxa"/>
                  </w:tcMar>
                  <w:vAlign w:val="center"/>
                </w:tcPr>
                <w:p w14:paraId="4FDF16CC">
                  <w:pPr>
                    <w:pStyle w:val="25"/>
                    <w:rPr>
                      <w:color w:val="000000"/>
                      <w:highlight w:val="none"/>
                    </w:rPr>
                  </w:pPr>
                  <w:r>
                    <w:rPr>
                      <w:color w:val="000000"/>
                      <w:highlight w:val="none"/>
                    </w:rPr>
                    <w:t>直井</w:t>
                  </w:r>
                </w:p>
              </w:tc>
              <w:tc>
                <w:tcPr>
                  <w:tcW w:w="737" w:type="pct"/>
                  <w:noWrap w:val="0"/>
                  <w:tcMar>
                    <w:left w:w="57" w:type="dxa"/>
                    <w:right w:w="57" w:type="dxa"/>
                  </w:tcMar>
                  <w:vAlign w:val="center"/>
                </w:tcPr>
                <w:p w14:paraId="46F2F9F1">
                  <w:pPr>
                    <w:pStyle w:val="25"/>
                    <w:rPr>
                      <w:color w:val="000000"/>
                      <w:highlight w:val="none"/>
                    </w:rPr>
                  </w:pPr>
                  <w:r>
                    <w:rPr>
                      <w:color w:val="000000"/>
                      <w:highlight w:val="none"/>
                    </w:rPr>
                    <w:t>三开</w:t>
                  </w:r>
                </w:p>
              </w:tc>
              <w:tc>
                <w:tcPr>
                  <w:tcW w:w="881" w:type="pct"/>
                  <w:noWrap w:val="0"/>
                  <w:tcMar>
                    <w:left w:w="57" w:type="dxa"/>
                    <w:right w:w="57" w:type="dxa"/>
                  </w:tcMar>
                  <w:vAlign w:val="center"/>
                </w:tcPr>
                <w:p w14:paraId="591AF69C">
                  <w:pPr>
                    <w:pStyle w:val="25"/>
                    <w:rPr>
                      <w:color w:val="000000"/>
                      <w:highlight w:val="none"/>
                    </w:rPr>
                  </w:pPr>
                  <w:r>
                    <w:rPr>
                      <w:color w:val="000000"/>
                      <w:highlight w:val="none"/>
                    </w:rPr>
                    <w:t>4292</w:t>
                  </w:r>
                </w:p>
              </w:tc>
              <w:tc>
                <w:tcPr>
                  <w:tcW w:w="1044" w:type="pct"/>
                  <w:vMerge w:val="continue"/>
                  <w:noWrap w:val="0"/>
                  <w:tcMar>
                    <w:left w:w="57" w:type="dxa"/>
                    <w:right w:w="57" w:type="dxa"/>
                  </w:tcMar>
                  <w:vAlign w:val="center"/>
                </w:tcPr>
                <w:p w14:paraId="2C6BF879">
                  <w:pPr>
                    <w:pStyle w:val="25"/>
                    <w:rPr>
                      <w:color w:val="000000"/>
                      <w:highlight w:val="none"/>
                    </w:rPr>
                  </w:pPr>
                </w:p>
              </w:tc>
              <w:tc>
                <w:tcPr>
                  <w:tcW w:w="809" w:type="pct"/>
                  <w:noWrap w:val="0"/>
                  <w:tcMar>
                    <w:left w:w="57" w:type="dxa"/>
                    <w:right w:w="57" w:type="dxa"/>
                  </w:tcMar>
                  <w:vAlign w:val="center"/>
                </w:tcPr>
                <w:p w14:paraId="63068387">
                  <w:pPr>
                    <w:pStyle w:val="25"/>
                    <w:rPr>
                      <w:color w:val="000000"/>
                      <w:highlight w:val="none"/>
                    </w:rPr>
                  </w:pPr>
                  <w:r>
                    <w:rPr>
                      <w:color w:val="000000"/>
                      <w:highlight w:val="none"/>
                    </w:rPr>
                    <w:t>60</w:t>
                  </w:r>
                </w:p>
              </w:tc>
            </w:tr>
            <w:bookmarkEnd w:id="6"/>
          </w:tbl>
          <w:p w14:paraId="5F70C830">
            <w:pPr>
              <w:keepNext/>
              <w:keepLines/>
              <w:spacing w:line="360" w:lineRule="auto"/>
              <w:jc w:val="left"/>
              <w:outlineLvl w:val="2"/>
              <w:rPr>
                <w:b/>
                <w:bCs/>
                <w:color w:val="000000"/>
                <w:highlight w:val="none"/>
              </w:rPr>
            </w:pPr>
            <w:r>
              <w:rPr>
                <w:b/>
                <w:bCs/>
                <w:color w:val="000000"/>
                <w:highlight w:val="none"/>
              </w:rPr>
              <w:t>5.2 井身结构</w:t>
            </w:r>
          </w:p>
          <w:p w14:paraId="4E1126DA">
            <w:pPr>
              <w:pStyle w:val="24"/>
              <w:rPr>
                <w:rFonts w:ascii="Times New Roman" w:hAnsi="Times New Roman"/>
                <w:bCs/>
                <w:color w:val="000000"/>
                <w:highlight w:val="none"/>
              </w:rPr>
            </w:pPr>
            <w:r>
              <w:rPr>
                <w:rFonts w:ascii="Times New Roman" w:hAnsi="Times New Roman"/>
                <w:bCs/>
                <w:color w:val="000000"/>
                <w:sz w:val="24"/>
                <w:szCs w:val="21"/>
                <w:highlight w:val="none"/>
              </w:rPr>
              <w:t>莫174H井、莫173井均为直井，采用三开井身结构。井身结构设计说明见表2-6。</w:t>
            </w:r>
          </w:p>
          <w:p w14:paraId="6C809FF4">
            <w:pPr>
              <w:pStyle w:val="19"/>
              <w:rPr>
                <w:color w:val="000000"/>
                <w:highlight w:val="none"/>
              </w:rPr>
            </w:pPr>
            <w:r>
              <w:rPr>
                <w:color w:val="000000"/>
                <w:highlight w:val="none"/>
              </w:rPr>
              <w:t>表2-6  井身结构一览表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446"/>
              <w:gridCol w:w="1533"/>
              <w:gridCol w:w="4028"/>
            </w:tblGrid>
            <w:tr w14:paraId="2640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7B0221B5">
                  <w:pPr>
                    <w:rPr>
                      <w:color w:val="000000"/>
                      <w:sz w:val="21"/>
                      <w:szCs w:val="21"/>
                      <w:highlight w:val="none"/>
                    </w:rPr>
                  </w:pPr>
                  <w:r>
                    <w:rPr>
                      <w:color w:val="000000"/>
                      <w:sz w:val="21"/>
                      <w:szCs w:val="21"/>
                      <w:highlight w:val="none"/>
                    </w:rPr>
                    <w:t>开钻次序</w:t>
                  </w:r>
                </w:p>
              </w:tc>
              <w:tc>
                <w:tcPr>
                  <w:tcW w:w="1450" w:type="dxa"/>
                  <w:noWrap w:val="0"/>
                  <w:vAlign w:val="top"/>
                </w:tcPr>
                <w:p w14:paraId="41F18680">
                  <w:pPr>
                    <w:rPr>
                      <w:color w:val="000000"/>
                      <w:sz w:val="21"/>
                      <w:szCs w:val="21"/>
                      <w:highlight w:val="none"/>
                    </w:rPr>
                  </w:pPr>
                  <w:r>
                    <w:rPr>
                      <w:color w:val="000000"/>
                      <w:sz w:val="21"/>
                      <w:szCs w:val="21"/>
                      <w:highlight w:val="none"/>
                    </w:rPr>
                    <w:t>钻头尺寸（mm）</w:t>
                  </w:r>
                </w:p>
              </w:tc>
              <w:tc>
                <w:tcPr>
                  <w:tcW w:w="1538" w:type="dxa"/>
                  <w:noWrap w:val="0"/>
                  <w:vAlign w:val="top"/>
                </w:tcPr>
                <w:p w14:paraId="610D33A2">
                  <w:pPr>
                    <w:rPr>
                      <w:color w:val="000000"/>
                      <w:sz w:val="21"/>
                      <w:szCs w:val="21"/>
                      <w:highlight w:val="none"/>
                    </w:rPr>
                  </w:pPr>
                  <w:r>
                    <w:rPr>
                      <w:color w:val="000000"/>
                      <w:sz w:val="21"/>
                      <w:szCs w:val="21"/>
                      <w:highlight w:val="none"/>
                    </w:rPr>
                    <w:t>套管尺寸（mm）</w:t>
                  </w:r>
                </w:p>
              </w:tc>
              <w:tc>
                <w:tcPr>
                  <w:tcW w:w="4051" w:type="dxa"/>
                  <w:noWrap w:val="0"/>
                  <w:vAlign w:val="top"/>
                </w:tcPr>
                <w:p w14:paraId="146040F1">
                  <w:pPr>
                    <w:rPr>
                      <w:color w:val="000000"/>
                      <w:sz w:val="21"/>
                      <w:szCs w:val="21"/>
                      <w:highlight w:val="none"/>
                    </w:rPr>
                  </w:pPr>
                  <w:r>
                    <w:rPr>
                      <w:color w:val="000000"/>
                      <w:sz w:val="21"/>
                      <w:szCs w:val="21"/>
                      <w:highlight w:val="none"/>
                    </w:rPr>
                    <w:t>设计说明</w:t>
                  </w:r>
                </w:p>
              </w:tc>
            </w:tr>
            <w:tr w14:paraId="65EE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160950D9">
                  <w:pPr>
                    <w:rPr>
                      <w:color w:val="000000"/>
                      <w:sz w:val="21"/>
                      <w:szCs w:val="21"/>
                      <w:highlight w:val="none"/>
                    </w:rPr>
                  </w:pPr>
                  <w:r>
                    <w:rPr>
                      <w:color w:val="000000"/>
                      <w:sz w:val="21"/>
                      <w:szCs w:val="21"/>
                      <w:highlight w:val="none"/>
                    </w:rPr>
                    <w:t>一开</w:t>
                  </w:r>
                </w:p>
              </w:tc>
              <w:tc>
                <w:tcPr>
                  <w:tcW w:w="1450" w:type="dxa"/>
                  <w:noWrap w:val="0"/>
                  <w:vAlign w:val="top"/>
                </w:tcPr>
                <w:p w14:paraId="0678A882">
                  <w:pPr>
                    <w:rPr>
                      <w:color w:val="000000"/>
                      <w:sz w:val="21"/>
                      <w:szCs w:val="21"/>
                      <w:highlight w:val="none"/>
                    </w:rPr>
                  </w:pPr>
                  <w:r>
                    <w:rPr>
                      <w:color w:val="000000"/>
                      <w:sz w:val="21"/>
                      <w:szCs w:val="21"/>
                      <w:highlight w:val="none"/>
                    </w:rPr>
                    <w:t>444.5</w:t>
                  </w:r>
                </w:p>
              </w:tc>
              <w:tc>
                <w:tcPr>
                  <w:tcW w:w="1538" w:type="dxa"/>
                  <w:noWrap w:val="0"/>
                  <w:vAlign w:val="top"/>
                </w:tcPr>
                <w:p w14:paraId="377C2BD1">
                  <w:pPr>
                    <w:rPr>
                      <w:color w:val="000000"/>
                      <w:sz w:val="21"/>
                      <w:szCs w:val="21"/>
                      <w:highlight w:val="none"/>
                    </w:rPr>
                  </w:pPr>
                  <w:r>
                    <w:rPr>
                      <w:color w:val="000000"/>
                      <w:sz w:val="21"/>
                      <w:szCs w:val="21"/>
                      <w:highlight w:val="none"/>
                    </w:rPr>
                    <w:t>339.7</w:t>
                  </w:r>
                </w:p>
              </w:tc>
              <w:tc>
                <w:tcPr>
                  <w:tcW w:w="4051" w:type="dxa"/>
                  <w:noWrap w:val="0"/>
                  <w:vAlign w:val="top"/>
                </w:tcPr>
                <w:p w14:paraId="2CF6CDF4">
                  <w:pPr>
                    <w:widowControl/>
                    <w:rPr>
                      <w:color w:val="000000"/>
                      <w:sz w:val="21"/>
                      <w:szCs w:val="21"/>
                      <w:highlight w:val="none"/>
                    </w:rPr>
                  </w:pPr>
                  <w:r>
                    <w:rPr>
                      <w:color w:val="000000"/>
                      <w:kern w:val="0"/>
                      <w:sz w:val="20"/>
                      <w:szCs w:val="20"/>
                      <w:highlight w:val="none"/>
                      <w:lang w:bidi="ar"/>
                    </w:rPr>
                    <w:t>采用Φ444.5mm钻头钻至井深500m，下入339.7mm表层套管，固井水泥浆返至地面。</w:t>
                  </w:r>
                </w:p>
              </w:tc>
            </w:tr>
            <w:tr w14:paraId="0AA9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689146F9">
                  <w:pPr>
                    <w:rPr>
                      <w:color w:val="000000"/>
                      <w:sz w:val="21"/>
                      <w:szCs w:val="21"/>
                      <w:highlight w:val="none"/>
                    </w:rPr>
                  </w:pPr>
                  <w:r>
                    <w:rPr>
                      <w:color w:val="000000"/>
                      <w:sz w:val="21"/>
                      <w:szCs w:val="21"/>
                      <w:highlight w:val="none"/>
                    </w:rPr>
                    <w:t>二开</w:t>
                  </w:r>
                </w:p>
              </w:tc>
              <w:tc>
                <w:tcPr>
                  <w:tcW w:w="1450" w:type="dxa"/>
                  <w:noWrap w:val="0"/>
                  <w:vAlign w:val="top"/>
                </w:tcPr>
                <w:p w14:paraId="7486856C">
                  <w:pPr>
                    <w:rPr>
                      <w:color w:val="000000"/>
                      <w:sz w:val="21"/>
                      <w:szCs w:val="21"/>
                      <w:highlight w:val="none"/>
                    </w:rPr>
                  </w:pPr>
                  <w:r>
                    <w:rPr>
                      <w:color w:val="000000"/>
                      <w:sz w:val="21"/>
                      <w:szCs w:val="21"/>
                      <w:highlight w:val="none"/>
                    </w:rPr>
                    <w:t>311.2</w:t>
                  </w:r>
                </w:p>
              </w:tc>
              <w:tc>
                <w:tcPr>
                  <w:tcW w:w="1538" w:type="dxa"/>
                  <w:noWrap w:val="0"/>
                  <w:vAlign w:val="top"/>
                </w:tcPr>
                <w:p w14:paraId="7871E4C3">
                  <w:pPr>
                    <w:rPr>
                      <w:color w:val="000000"/>
                      <w:sz w:val="21"/>
                      <w:szCs w:val="21"/>
                      <w:highlight w:val="none"/>
                    </w:rPr>
                  </w:pPr>
                  <w:r>
                    <w:rPr>
                      <w:color w:val="000000"/>
                      <w:sz w:val="21"/>
                      <w:szCs w:val="21"/>
                      <w:highlight w:val="none"/>
                    </w:rPr>
                    <w:t>244.5</w:t>
                  </w:r>
                </w:p>
              </w:tc>
              <w:tc>
                <w:tcPr>
                  <w:tcW w:w="4051" w:type="dxa"/>
                  <w:noWrap w:val="0"/>
                  <w:vAlign w:val="top"/>
                </w:tcPr>
                <w:p w14:paraId="14A3ADED">
                  <w:pPr>
                    <w:widowControl/>
                    <w:rPr>
                      <w:color w:val="000000"/>
                      <w:sz w:val="21"/>
                      <w:szCs w:val="21"/>
                      <w:highlight w:val="none"/>
                    </w:rPr>
                  </w:pPr>
                  <w:r>
                    <w:rPr>
                      <w:color w:val="000000"/>
                      <w:kern w:val="0"/>
                      <w:sz w:val="20"/>
                      <w:szCs w:val="20"/>
                      <w:highlight w:val="none"/>
                      <w:lang w:bidi="ar"/>
                    </w:rPr>
                    <w:t>采用311.2mm钻头钻至距三叠系白碱滩组底界23m左右中完（井深约3176m），下入244.5mm技术套管，封隔上下两套压力系统，水泥浆返至2100m。</w:t>
                  </w:r>
                </w:p>
              </w:tc>
            </w:tr>
            <w:tr w14:paraId="743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38DB1545">
                  <w:pPr>
                    <w:rPr>
                      <w:color w:val="000000"/>
                      <w:sz w:val="21"/>
                      <w:szCs w:val="21"/>
                      <w:highlight w:val="none"/>
                    </w:rPr>
                  </w:pPr>
                  <w:r>
                    <w:rPr>
                      <w:color w:val="000000"/>
                      <w:sz w:val="21"/>
                      <w:szCs w:val="21"/>
                      <w:highlight w:val="none"/>
                    </w:rPr>
                    <w:t>三开</w:t>
                  </w:r>
                </w:p>
              </w:tc>
              <w:tc>
                <w:tcPr>
                  <w:tcW w:w="1450" w:type="dxa"/>
                  <w:noWrap w:val="0"/>
                  <w:vAlign w:val="top"/>
                </w:tcPr>
                <w:p w14:paraId="77E5601D">
                  <w:pPr>
                    <w:rPr>
                      <w:color w:val="000000"/>
                      <w:sz w:val="21"/>
                      <w:szCs w:val="21"/>
                      <w:highlight w:val="none"/>
                    </w:rPr>
                  </w:pPr>
                  <w:r>
                    <w:rPr>
                      <w:color w:val="000000"/>
                      <w:sz w:val="21"/>
                      <w:szCs w:val="21"/>
                      <w:highlight w:val="none"/>
                    </w:rPr>
                    <w:t>215.9</w:t>
                  </w:r>
                </w:p>
              </w:tc>
              <w:tc>
                <w:tcPr>
                  <w:tcW w:w="1538" w:type="dxa"/>
                  <w:noWrap w:val="0"/>
                  <w:vAlign w:val="top"/>
                </w:tcPr>
                <w:p w14:paraId="282DEF3B">
                  <w:pPr>
                    <w:rPr>
                      <w:color w:val="000000"/>
                      <w:sz w:val="21"/>
                      <w:szCs w:val="21"/>
                      <w:highlight w:val="none"/>
                    </w:rPr>
                  </w:pPr>
                  <w:r>
                    <w:rPr>
                      <w:color w:val="000000"/>
                      <w:sz w:val="21"/>
                      <w:szCs w:val="21"/>
                      <w:highlight w:val="none"/>
                    </w:rPr>
                    <w:t>139.7</w:t>
                  </w:r>
                </w:p>
              </w:tc>
              <w:tc>
                <w:tcPr>
                  <w:tcW w:w="4051" w:type="dxa"/>
                  <w:noWrap w:val="0"/>
                  <w:vAlign w:val="top"/>
                </w:tcPr>
                <w:p w14:paraId="06323773">
                  <w:pPr>
                    <w:widowControl/>
                    <w:rPr>
                      <w:color w:val="000000"/>
                      <w:sz w:val="21"/>
                      <w:szCs w:val="21"/>
                      <w:highlight w:val="none"/>
                    </w:rPr>
                  </w:pPr>
                  <w:r>
                    <w:rPr>
                      <w:color w:val="000000"/>
                      <w:kern w:val="0"/>
                      <w:sz w:val="20"/>
                      <w:szCs w:val="20"/>
                      <w:highlight w:val="none"/>
                      <w:lang w:bidi="ar"/>
                    </w:rPr>
                    <w:t>采用215.9mm钻头钻至完钻井深，下入139.7mm油层套管，固井水泥浆返至3000m。</w:t>
                  </w:r>
                </w:p>
              </w:tc>
            </w:tr>
          </w:tbl>
          <w:p w14:paraId="263D8119">
            <w:pPr>
              <w:keepNext/>
              <w:keepLines/>
              <w:spacing w:line="360" w:lineRule="auto"/>
              <w:jc w:val="left"/>
              <w:outlineLvl w:val="2"/>
              <w:rPr>
                <w:b/>
                <w:bCs/>
                <w:color w:val="000000"/>
                <w:highlight w:val="none"/>
              </w:rPr>
            </w:pPr>
            <w:r>
              <w:rPr>
                <w:b/>
                <w:bCs/>
                <w:color w:val="000000"/>
                <w:highlight w:val="none"/>
              </w:rPr>
              <w:t>5.3 主要设备</w:t>
            </w:r>
          </w:p>
          <w:p w14:paraId="78578F00">
            <w:pPr>
              <w:spacing w:line="360" w:lineRule="auto"/>
              <w:ind w:firstLine="480" w:firstLineChars="200"/>
              <w:jc w:val="left"/>
              <w:rPr>
                <w:color w:val="000000"/>
                <w:highlight w:val="none"/>
              </w:rPr>
            </w:pPr>
            <w:r>
              <w:rPr>
                <w:color w:val="000000"/>
                <w:highlight w:val="none"/>
              </w:rPr>
              <w:t>本项目单井钻井主要设备，见表2-7。</w:t>
            </w:r>
          </w:p>
          <w:p w14:paraId="2EFB7929">
            <w:pPr>
              <w:overflowPunct w:val="0"/>
              <w:rPr>
                <w:b/>
                <w:color w:val="000000"/>
                <w:sz w:val="21"/>
                <w:szCs w:val="21"/>
                <w:highlight w:val="none"/>
              </w:rPr>
            </w:pPr>
            <w:bookmarkStart w:id="7" w:name="_Hlk141543048"/>
            <w:r>
              <w:rPr>
                <w:b/>
                <w:color w:val="000000"/>
                <w:sz w:val="21"/>
                <w:szCs w:val="21"/>
                <w:highlight w:val="none"/>
              </w:rPr>
              <w:t>表2-7  单井钻井主要设备配置</w:t>
            </w:r>
          </w:p>
          <w:bookmarkEnd w:id="7"/>
          <w:tbl>
            <w:tblPr>
              <w:tblStyle w:val="16"/>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92"/>
              <w:gridCol w:w="870"/>
              <w:gridCol w:w="846"/>
              <w:gridCol w:w="1858"/>
              <w:gridCol w:w="970"/>
              <w:gridCol w:w="877"/>
              <w:gridCol w:w="901"/>
              <w:gridCol w:w="1104"/>
            </w:tblGrid>
            <w:tr w14:paraId="4CD94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3B4F9847">
                  <w:pPr>
                    <w:pStyle w:val="25"/>
                    <w:rPr>
                      <w:color w:val="000000"/>
                      <w:highlight w:val="none"/>
                    </w:rPr>
                  </w:pPr>
                  <w:r>
                    <w:rPr>
                      <w:color w:val="000000"/>
                      <w:highlight w:val="none"/>
                    </w:rPr>
                    <w:t>序号</w:t>
                  </w:r>
                </w:p>
              </w:tc>
              <w:tc>
                <w:tcPr>
                  <w:tcW w:w="1735" w:type="dxa"/>
                  <w:gridSpan w:val="2"/>
                  <w:noWrap w:val="0"/>
                  <w:vAlign w:val="center"/>
                </w:tcPr>
                <w:p w14:paraId="40CDAEF4">
                  <w:pPr>
                    <w:pStyle w:val="25"/>
                    <w:rPr>
                      <w:color w:val="000000"/>
                      <w:highlight w:val="none"/>
                    </w:rPr>
                  </w:pPr>
                  <w:r>
                    <w:rPr>
                      <w:color w:val="000000"/>
                      <w:highlight w:val="none"/>
                    </w:rPr>
                    <w:t>名称</w:t>
                  </w:r>
                </w:p>
              </w:tc>
              <w:tc>
                <w:tcPr>
                  <w:tcW w:w="1861" w:type="dxa"/>
                  <w:noWrap w:val="0"/>
                  <w:vAlign w:val="center"/>
                </w:tcPr>
                <w:p w14:paraId="0ED26D5B">
                  <w:pPr>
                    <w:pStyle w:val="25"/>
                    <w:rPr>
                      <w:color w:val="000000"/>
                      <w:highlight w:val="none"/>
                    </w:rPr>
                  </w:pPr>
                  <w:r>
                    <w:rPr>
                      <w:color w:val="000000"/>
                      <w:highlight w:val="none"/>
                    </w:rPr>
                    <w:t>型号</w:t>
                  </w:r>
                </w:p>
              </w:tc>
              <w:tc>
                <w:tcPr>
                  <w:tcW w:w="973" w:type="dxa"/>
                  <w:noWrap w:val="0"/>
                  <w:vAlign w:val="center"/>
                </w:tcPr>
                <w:p w14:paraId="6BD8C197">
                  <w:pPr>
                    <w:pStyle w:val="25"/>
                    <w:rPr>
                      <w:color w:val="000000"/>
                      <w:highlight w:val="none"/>
                    </w:rPr>
                  </w:pPr>
                  <w:r>
                    <w:rPr>
                      <w:color w:val="000000"/>
                      <w:highlight w:val="none"/>
                    </w:rPr>
                    <w:t>载荷</w:t>
                  </w:r>
                </w:p>
              </w:tc>
              <w:tc>
                <w:tcPr>
                  <w:tcW w:w="885" w:type="dxa"/>
                  <w:tcBorders>
                    <w:right w:val="single" w:color="auto" w:sz="4" w:space="0"/>
                  </w:tcBorders>
                  <w:noWrap w:val="0"/>
                  <w:vAlign w:val="center"/>
                </w:tcPr>
                <w:p w14:paraId="63EF1AC3">
                  <w:pPr>
                    <w:pStyle w:val="25"/>
                    <w:rPr>
                      <w:color w:val="000000"/>
                      <w:highlight w:val="none"/>
                    </w:rPr>
                  </w:pPr>
                  <w:r>
                    <w:rPr>
                      <w:color w:val="000000"/>
                      <w:highlight w:val="none"/>
                    </w:rPr>
                    <w:t>功率kW</w:t>
                  </w:r>
                </w:p>
              </w:tc>
              <w:tc>
                <w:tcPr>
                  <w:tcW w:w="912" w:type="dxa"/>
                  <w:tcBorders>
                    <w:left w:val="single" w:color="auto" w:sz="4" w:space="0"/>
                    <w:right w:val="single" w:color="auto" w:sz="4" w:space="0"/>
                  </w:tcBorders>
                  <w:noWrap w:val="0"/>
                  <w:vAlign w:val="center"/>
                </w:tcPr>
                <w:p w14:paraId="7E567401">
                  <w:pPr>
                    <w:pStyle w:val="25"/>
                    <w:rPr>
                      <w:color w:val="000000"/>
                      <w:highlight w:val="none"/>
                    </w:rPr>
                  </w:pPr>
                  <w:r>
                    <w:rPr>
                      <w:color w:val="000000"/>
                      <w:highlight w:val="none"/>
                    </w:rPr>
                    <w:t>单位</w:t>
                  </w:r>
                </w:p>
              </w:tc>
              <w:tc>
                <w:tcPr>
                  <w:tcW w:w="1118" w:type="dxa"/>
                  <w:tcBorders>
                    <w:left w:val="single" w:color="auto" w:sz="4" w:space="0"/>
                  </w:tcBorders>
                  <w:noWrap w:val="0"/>
                  <w:vAlign w:val="center"/>
                </w:tcPr>
                <w:p w14:paraId="0FC1345F">
                  <w:pPr>
                    <w:pStyle w:val="25"/>
                    <w:rPr>
                      <w:color w:val="000000"/>
                      <w:highlight w:val="none"/>
                    </w:rPr>
                  </w:pPr>
                  <w:r>
                    <w:rPr>
                      <w:color w:val="000000"/>
                      <w:highlight w:val="none"/>
                    </w:rPr>
                    <w:t>数量</w:t>
                  </w:r>
                </w:p>
              </w:tc>
            </w:tr>
            <w:tr w14:paraId="289C6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1DFBEDB9">
                  <w:pPr>
                    <w:pStyle w:val="25"/>
                    <w:rPr>
                      <w:color w:val="000000"/>
                      <w:highlight w:val="none"/>
                    </w:rPr>
                  </w:pPr>
                  <w:r>
                    <w:rPr>
                      <w:color w:val="000000"/>
                      <w:highlight w:val="none"/>
                    </w:rPr>
                    <w:t>1</w:t>
                  </w:r>
                </w:p>
              </w:tc>
              <w:tc>
                <w:tcPr>
                  <w:tcW w:w="1735" w:type="dxa"/>
                  <w:gridSpan w:val="2"/>
                  <w:noWrap w:val="0"/>
                  <w:vAlign w:val="center"/>
                </w:tcPr>
                <w:p w14:paraId="7B6143B6">
                  <w:pPr>
                    <w:pStyle w:val="25"/>
                    <w:rPr>
                      <w:color w:val="000000"/>
                      <w:highlight w:val="none"/>
                    </w:rPr>
                  </w:pPr>
                  <w:r>
                    <w:rPr>
                      <w:color w:val="000000"/>
                      <w:highlight w:val="none"/>
                    </w:rPr>
                    <w:t>钻机</w:t>
                  </w:r>
                </w:p>
              </w:tc>
              <w:tc>
                <w:tcPr>
                  <w:tcW w:w="1861" w:type="dxa"/>
                  <w:noWrap w:val="0"/>
                  <w:vAlign w:val="center"/>
                </w:tcPr>
                <w:p w14:paraId="3643655B">
                  <w:pPr>
                    <w:pStyle w:val="25"/>
                    <w:rPr>
                      <w:color w:val="000000"/>
                      <w:highlight w:val="none"/>
                    </w:rPr>
                  </w:pPr>
                  <w:r>
                    <w:rPr>
                      <w:color w:val="000000"/>
                      <w:highlight w:val="none"/>
                    </w:rPr>
                    <w:t>ZJ-50</w:t>
                  </w:r>
                </w:p>
              </w:tc>
              <w:tc>
                <w:tcPr>
                  <w:tcW w:w="973" w:type="dxa"/>
                  <w:noWrap w:val="0"/>
                  <w:vAlign w:val="center"/>
                </w:tcPr>
                <w:p w14:paraId="54F84EE2">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D0959E1">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61BC7B82">
                  <w:pPr>
                    <w:pStyle w:val="25"/>
                    <w:rPr>
                      <w:color w:val="000000"/>
                      <w:highlight w:val="none"/>
                    </w:rPr>
                  </w:pPr>
                  <w:r>
                    <w:rPr>
                      <w:color w:val="000000"/>
                      <w:highlight w:val="none"/>
                    </w:rPr>
                    <w:t>部</w:t>
                  </w:r>
                </w:p>
              </w:tc>
              <w:tc>
                <w:tcPr>
                  <w:tcW w:w="1118" w:type="dxa"/>
                  <w:tcBorders>
                    <w:left w:val="single" w:color="auto" w:sz="4" w:space="0"/>
                  </w:tcBorders>
                  <w:noWrap w:val="0"/>
                  <w:vAlign w:val="center"/>
                </w:tcPr>
                <w:p w14:paraId="05AC55B3">
                  <w:pPr>
                    <w:pStyle w:val="25"/>
                    <w:rPr>
                      <w:color w:val="000000"/>
                      <w:highlight w:val="none"/>
                    </w:rPr>
                  </w:pPr>
                  <w:r>
                    <w:rPr>
                      <w:color w:val="000000"/>
                      <w:highlight w:val="none"/>
                    </w:rPr>
                    <w:t>1</w:t>
                  </w:r>
                </w:p>
              </w:tc>
            </w:tr>
            <w:tr w14:paraId="52F65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078A4DDD">
                  <w:pPr>
                    <w:pStyle w:val="25"/>
                    <w:rPr>
                      <w:color w:val="000000"/>
                      <w:highlight w:val="none"/>
                    </w:rPr>
                  </w:pPr>
                  <w:r>
                    <w:rPr>
                      <w:color w:val="000000"/>
                      <w:highlight w:val="none"/>
                    </w:rPr>
                    <w:t>2</w:t>
                  </w:r>
                </w:p>
              </w:tc>
              <w:tc>
                <w:tcPr>
                  <w:tcW w:w="1735" w:type="dxa"/>
                  <w:gridSpan w:val="2"/>
                  <w:noWrap w:val="0"/>
                  <w:vAlign w:val="center"/>
                </w:tcPr>
                <w:p w14:paraId="5E556AE8">
                  <w:pPr>
                    <w:pStyle w:val="25"/>
                    <w:rPr>
                      <w:color w:val="000000"/>
                      <w:highlight w:val="none"/>
                    </w:rPr>
                  </w:pPr>
                  <w:r>
                    <w:rPr>
                      <w:color w:val="000000"/>
                      <w:highlight w:val="none"/>
                    </w:rPr>
                    <w:t>井架</w:t>
                  </w:r>
                </w:p>
              </w:tc>
              <w:tc>
                <w:tcPr>
                  <w:tcW w:w="1861" w:type="dxa"/>
                  <w:noWrap w:val="0"/>
                  <w:vAlign w:val="center"/>
                </w:tcPr>
                <w:p w14:paraId="04DEF8F3">
                  <w:pPr>
                    <w:pStyle w:val="25"/>
                    <w:rPr>
                      <w:color w:val="000000"/>
                      <w:highlight w:val="none"/>
                    </w:rPr>
                  </w:pPr>
                  <w:r>
                    <w:rPr>
                      <w:color w:val="000000"/>
                      <w:highlight w:val="none"/>
                    </w:rPr>
                    <w:t>ZJ-50</w:t>
                  </w:r>
                </w:p>
              </w:tc>
              <w:tc>
                <w:tcPr>
                  <w:tcW w:w="973" w:type="dxa"/>
                  <w:noWrap w:val="0"/>
                  <w:vAlign w:val="center"/>
                </w:tcPr>
                <w:p w14:paraId="4F9BAAB0">
                  <w:pPr>
                    <w:pStyle w:val="25"/>
                    <w:rPr>
                      <w:color w:val="000000"/>
                      <w:highlight w:val="none"/>
                    </w:rPr>
                  </w:pPr>
                  <w:r>
                    <w:rPr>
                      <w:color w:val="000000"/>
                      <w:highlight w:val="none"/>
                    </w:rPr>
                    <w:t>3500KN</w:t>
                  </w:r>
                </w:p>
              </w:tc>
              <w:tc>
                <w:tcPr>
                  <w:tcW w:w="885" w:type="dxa"/>
                  <w:tcBorders>
                    <w:right w:val="single" w:color="auto" w:sz="4" w:space="0"/>
                  </w:tcBorders>
                  <w:noWrap w:val="0"/>
                  <w:vAlign w:val="center"/>
                </w:tcPr>
                <w:p w14:paraId="3A116147">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240CBB88">
                  <w:pPr>
                    <w:pStyle w:val="25"/>
                    <w:rPr>
                      <w:color w:val="000000"/>
                      <w:highlight w:val="none"/>
                    </w:rPr>
                  </w:pPr>
                  <w:r>
                    <w:rPr>
                      <w:color w:val="000000"/>
                      <w:highlight w:val="none"/>
                    </w:rPr>
                    <w:t>部</w:t>
                  </w:r>
                </w:p>
              </w:tc>
              <w:tc>
                <w:tcPr>
                  <w:tcW w:w="1118" w:type="dxa"/>
                  <w:tcBorders>
                    <w:left w:val="single" w:color="auto" w:sz="4" w:space="0"/>
                  </w:tcBorders>
                  <w:noWrap w:val="0"/>
                  <w:vAlign w:val="top"/>
                </w:tcPr>
                <w:p w14:paraId="219DCF34">
                  <w:pPr>
                    <w:pStyle w:val="25"/>
                    <w:rPr>
                      <w:color w:val="000000"/>
                      <w:highlight w:val="none"/>
                    </w:rPr>
                  </w:pPr>
                  <w:r>
                    <w:rPr>
                      <w:color w:val="000000"/>
                      <w:highlight w:val="none"/>
                    </w:rPr>
                    <w:t>1</w:t>
                  </w:r>
                </w:p>
              </w:tc>
            </w:tr>
            <w:tr w14:paraId="3BAB0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55E3910E">
                  <w:pPr>
                    <w:pStyle w:val="25"/>
                    <w:rPr>
                      <w:color w:val="000000"/>
                      <w:highlight w:val="none"/>
                    </w:rPr>
                  </w:pPr>
                  <w:r>
                    <w:rPr>
                      <w:color w:val="000000"/>
                      <w:highlight w:val="none"/>
                    </w:rPr>
                    <w:t>3</w:t>
                  </w:r>
                </w:p>
              </w:tc>
              <w:tc>
                <w:tcPr>
                  <w:tcW w:w="1735" w:type="dxa"/>
                  <w:gridSpan w:val="2"/>
                  <w:noWrap w:val="0"/>
                  <w:vAlign w:val="center"/>
                </w:tcPr>
                <w:p w14:paraId="75951443">
                  <w:pPr>
                    <w:pStyle w:val="25"/>
                    <w:rPr>
                      <w:color w:val="000000"/>
                      <w:highlight w:val="none"/>
                    </w:rPr>
                  </w:pPr>
                  <w:r>
                    <w:rPr>
                      <w:color w:val="000000"/>
                      <w:highlight w:val="none"/>
                    </w:rPr>
                    <w:t>天车</w:t>
                  </w:r>
                </w:p>
              </w:tc>
              <w:tc>
                <w:tcPr>
                  <w:tcW w:w="1861" w:type="dxa"/>
                  <w:noWrap w:val="0"/>
                  <w:vAlign w:val="center"/>
                </w:tcPr>
                <w:p w14:paraId="7B709CF1">
                  <w:pPr>
                    <w:pStyle w:val="25"/>
                    <w:rPr>
                      <w:color w:val="000000"/>
                      <w:highlight w:val="none"/>
                    </w:rPr>
                  </w:pPr>
                  <w:r>
                    <w:rPr>
                      <w:color w:val="000000"/>
                      <w:highlight w:val="none"/>
                    </w:rPr>
                    <w:t>TC-350</w:t>
                  </w:r>
                </w:p>
              </w:tc>
              <w:tc>
                <w:tcPr>
                  <w:tcW w:w="973" w:type="dxa"/>
                  <w:noWrap w:val="0"/>
                  <w:vAlign w:val="center"/>
                </w:tcPr>
                <w:p w14:paraId="58419568">
                  <w:pPr>
                    <w:pStyle w:val="25"/>
                    <w:rPr>
                      <w:color w:val="000000"/>
                      <w:highlight w:val="none"/>
                    </w:rPr>
                  </w:pPr>
                  <w:r>
                    <w:rPr>
                      <w:color w:val="000000"/>
                      <w:highlight w:val="none"/>
                    </w:rPr>
                    <w:t>3500KN</w:t>
                  </w:r>
                </w:p>
              </w:tc>
              <w:tc>
                <w:tcPr>
                  <w:tcW w:w="885" w:type="dxa"/>
                  <w:tcBorders>
                    <w:right w:val="single" w:color="auto" w:sz="4" w:space="0"/>
                  </w:tcBorders>
                  <w:noWrap w:val="0"/>
                  <w:vAlign w:val="center"/>
                </w:tcPr>
                <w:p w14:paraId="13FD00FD">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1ED525D3">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7D28E345">
                  <w:pPr>
                    <w:pStyle w:val="25"/>
                    <w:rPr>
                      <w:color w:val="000000"/>
                      <w:highlight w:val="none"/>
                    </w:rPr>
                  </w:pPr>
                  <w:r>
                    <w:rPr>
                      <w:color w:val="000000"/>
                      <w:highlight w:val="none"/>
                    </w:rPr>
                    <w:t>1</w:t>
                  </w:r>
                </w:p>
              </w:tc>
            </w:tr>
            <w:tr w14:paraId="7DF90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5BAB3BF5">
                  <w:pPr>
                    <w:pStyle w:val="25"/>
                    <w:rPr>
                      <w:color w:val="000000"/>
                      <w:highlight w:val="none"/>
                    </w:rPr>
                  </w:pPr>
                  <w:r>
                    <w:rPr>
                      <w:color w:val="000000"/>
                      <w:highlight w:val="none"/>
                    </w:rPr>
                    <w:t>4</w:t>
                  </w:r>
                </w:p>
              </w:tc>
              <w:tc>
                <w:tcPr>
                  <w:tcW w:w="1735" w:type="dxa"/>
                  <w:gridSpan w:val="2"/>
                  <w:noWrap w:val="0"/>
                  <w:vAlign w:val="center"/>
                </w:tcPr>
                <w:p w14:paraId="5D4204B3">
                  <w:pPr>
                    <w:pStyle w:val="25"/>
                    <w:rPr>
                      <w:color w:val="000000"/>
                      <w:highlight w:val="none"/>
                    </w:rPr>
                  </w:pPr>
                  <w:r>
                    <w:rPr>
                      <w:color w:val="000000"/>
                      <w:highlight w:val="none"/>
                    </w:rPr>
                    <w:t>游动滑车</w:t>
                  </w:r>
                </w:p>
              </w:tc>
              <w:tc>
                <w:tcPr>
                  <w:tcW w:w="1861" w:type="dxa"/>
                  <w:noWrap w:val="0"/>
                  <w:vAlign w:val="center"/>
                </w:tcPr>
                <w:p w14:paraId="3991325F">
                  <w:pPr>
                    <w:pStyle w:val="25"/>
                    <w:rPr>
                      <w:color w:val="000000"/>
                      <w:highlight w:val="none"/>
                    </w:rPr>
                  </w:pPr>
                  <w:r>
                    <w:rPr>
                      <w:color w:val="000000"/>
                      <w:highlight w:val="none"/>
                    </w:rPr>
                    <w:t>YC-350</w:t>
                  </w:r>
                </w:p>
              </w:tc>
              <w:tc>
                <w:tcPr>
                  <w:tcW w:w="973" w:type="dxa"/>
                  <w:noWrap w:val="0"/>
                  <w:vAlign w:val="center"/>
                </w:tcPr>
                <w:p w14:paraId="707A32B1">
                  <w:pPr>
                    <w:pStyle w:val="25"/>
                    <w:rPr>
                      <w:color w:val="000000"/>
                      <w:highlight w:val="none"/>
                    </w:rPr>
                  </w:pPr>
                  <w:r>
                    <w:rPr>
                      <w:color w:val="000000"/>
                      <w:highlight w:val="none"/>
                    </w:rPr>
                    <w:t>3500KN</w:t>
                  </w:r>
                </w:p>
              </w:tc>
              <w:tc>
                <w:tcPr>
                  <w:tcW w:w="885" w:type="dxa"/>
                  <w:tcBorders>
                    <w:right w:val="single" w:color="auto" w:sz="4" w:space="0"/>
                  </w:tcBorders>
                  <w:noWrap w:val="0"/>
                  <w:vAlign w:val="center"/>
                </w:tcPr>
                <w:p w14:paraId="7D54DD63">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2FDAB89F">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6D690487">
                  <w:pPr>
                    <w:pStyle w:val="25"/>
                    <w:rPr>
                      <w:color w:val="000000"/>
                      <w:highlight w:val="none"/>
                    </w:rPr>
                  </w:pPr>
                  <w:r>
                    <w:rPr>
                      <w:color w:val="000000"/>
                      <w:highlight w:val="none"/>
                    </w:rPr>
                    <w:t>1</w:t>
                  </w:r>
                </w:p>
              </w:tc>
            </w:tr>
            <w:tr w14:paraId="6D39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14362311">
                  <w:pPr>
                    <w:pStyle w:val="25"/>
                    <w:rPr>
                      <w:color w:val="000000"/>
                      <w:highlight w:val="none"/>
                    </w:rPr>
                  </w:pPr>
                  <w:r>
                    <w:rPr>
                      <w:color w:val="000000"/>
                      <w:highlight w:val="none"/>
                    </w:rPr>
                    <w:t>5</w:t>
                  </w:r>
                </w:p>
              </w:tc>
              <w:tc>
                <w:tcPr>
                  <w:tcW w:w="1735" w:type="dxa"/>
                  <w:gridSpan w:val="2"/>
                  <w:noWrap w:val="0"/>
                  <w:vAlign w:val="center"/>
                </w:tcPr>
                <w:p w14:paraId="086B6CB5">
                  <w:pPr>
                    <w:pStyle w:val="25"/>
                    <w:rPr>
                      <w:color w:val="000000"/>
                      <w:highlight w:val="none"/>
                    </w:rPr>
                  </w:pPr>
                  <w:r>
                    <w:rPr>
                      <w:color w:val="000000"/>
                      <w:highlight w:val="none"/>
                    </w:rPr>
                    <w:t>大钩</w:t>
                  </w:r>
                </w:p>
              </w:tc>
              <w:tc>
                <w:tcPr>
                  <w:tcW w:w="1861" w:type="dxa"/>
                  <w:noWrap w:val="0"/>
                  <w:vAlign w:val="center"/>
                </w:tcPr>
                <w:p w14:paraId="640F6B1D">
                  <w:pPr>
                    <w:pStyle w:val="25"/>
                    <w:rPr>
                      <w:color w:val="000000"/>
                      <w:highlight w:val="none"/>
                    </w:rPr>
                  </w:pPr>
                  <w:r>
                    <w:rPr>
                      <w:color w:val="000000"/>
                      <w:highlight w:val="none"/>
                    </w:rPr>
                    <w:t>DG-350</w:t>
                  </w:r>
                </w:p>
              </w:tc>
              <w:tc>
                <w:tcPr>
                  <w:tcW w:w="973" w:type="dxa"/>
                  <w:noWrap w:val="0"/>
                  <w:vAlign w:val="center"/>
                </w:tcPr>
                <w:p w14:paraId="2775B7FB">
                  <w:pPr>
                    <w:pStyle w:val="25"/>
                    <w:rPr>
                      <w:color w:val="000000"/>
                      <w:highlight w:val="none"/>
                    </w:rPr>
                  </w:pPr>
                  <w:r>
                    <w:rPr>
                      <w:color w:val="000000"/>
                      <w:highlight w:val="none"/>
                    </w:rPr>
                    <w:t>3500KN</w:t>
                  </w:r>
                </w:p>
              </w:tc>
              <w:tc>
                <w:tcPr>
                  <w:tcW w:w="885" w:type="dxa"/>
                  <w:tcBorders>
                    <w:right w:val="single" w:color="auto" w:sz="4" w:space="0"/>
                  </w:tcBorders>
                  <w:noWrap w:val="0"/>
                  <w:vAlign w:val="center"/>
                </w:tcPr>
                <w:p w14:paraId="3CC0FE2C">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6B66BB3A">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50FC6917">
                  <w:pPr>
                    <w:pStyle w:val="25"/>
                    <w:rPr>
                      <w:color w:val="000000"/>
                      <w:highlight w:val="none"/>
                    </w:rPr>
                  </w:pPr>
                  <w:r>
                    <w:rPr>
                      <w:color w:val="000000"/>
                      <w:highlight w:val="none"/>
                    </w:rPr>
                    <w:t>1</w:t>
                  </w:r>
                </w:p>
              </w:tc>
            </w:tr>
            <w:tr w14:paraId="51DE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085226ED">
                  <w:pPr>
                    <w:pStyle w:val="25"/>
                    <w:rPr>
                      <w:color w:val="000000"/>
                      <w:highlight w:val="none"/>
                    </w:rPr>
                  </w:pPr>
                  <w:r>
                    <w:rPr>
                      <w:color w:val="000000"/>
                      <w:highlight w:val="none"/>
                    </w:rPr>
                    <w:t>6</w:t>
                  </w:r>
                </w:p>
              </w:tc>
              <w:tc>
                <w:tcPr>
                  <w:tcW w:w="1735" w:type="dxa"/>
                  <w:gridSpan w:val="2"/>
                  <w:noWrap w:val="0"/>
                  <w:vAlign w:val="center"/>
                </w:tcPr>
                <w:p w14:paraId="2888998E">
                  <w:pPr>
                    <w:pStyle w:val="25"/>
                    <w:rPr>
                      <w:color w:val="000000"/>
                      <w:highlight w:val="none"/>
                    </w:rPr>
                  </w:pPr>
                  <w:r>
                    <w:rPr>
                      <w:color w:val="000000"/>
                      <w:highlight w:val="none"/>
                    </w:rPr>
                    <w:t>水龙头</w:t>
                  </w:r>
                </w:p>
              </w:tc>
              <w:tc>
                <w:tcPr>
                  <w:tcW w:w="1861" w:type="dxa"/>
                  <w:noWrap w:val="0"/>
                  <w:vAlign w:val="center"/>
                </w:tcPr>
                <w:p w14:paraId="196CA1B5">
                  <w:pPr>
                    <w:pStyle w:val="25"/>
                    <w:rPr>
                      <w:color w:val="000000"/>
                      <w:highlight w:val="none"/>
                    </w:rPr>
                  </w:pPr>
                  <w:r>
                    <w:rPr>
                      <w:color w:val="000000"/>
                      <w:highlight w:val="none"/>
                    </w:rPr>
                    <w:t>SL-350</w:t>
                  </w:r>
                </w:p>
              </w:tc>
              <w:tc>
                <w:tcPr>
                  <w:tcW w:w="973" w:type="dxa"/>
                  <w:noWrap w:val="0"/>
                  <w:vAlign w:val="center"/>
                </w:tcPr>
                <w:p w14:paraId="487BBBAC">
                  <w:pPr>
                    <w:pStyle w:val="25"/>
                    <w:rPr>
                      <w:color w:val="000000"/>
                      <w:highlight w:val="none"/>
                    </w:rPr>
                  </w:pPr>
                  <w:r>
                    <w:rPr>
                      <w:color w:val="000000"/>
                      <w:highlight w:val="none"/>
                    </w:rPr>
                    <w:t>3500KN</w:t>
                  </w:r>
                </w:p>
              </w:tc>
              <w:tc>
                <w:tcPr>
                  <w:tcW w:w="885" w:type="dxa"/>
                  <w:tcBorders>
                    <w:right w:val="single" w:color="auto" w:sz="4" w:space="0"/>
                  </w:tcBorders>
                  <w:noWrap w:val="0"/>
                  <w:vAlign w:val="center"/>
                </w:tcPr>
                <w:p w14:paraId="4F2D02F5">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303BE715">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403B55E2">
                  <w:pPr>
                    <w:pStyle w:val="25"/>
                    <w:rPr>
                      <w:color w:val="000000"/>
                      <w:highlight w:val="none"/>
                    </w:rPr>
                  </w:pPr>
                  <w:r>
                    <w:rPr>
                      <w:color w:val="000000"/>
                      <w:highlight w:val="none"/>
                    </w:rPr>
                    <w:t>1</w:t>
                  </w:r>
                </w:p>
              </w:tc>
            </w:tr>
            <w:tr w14:paraId="68EC5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67AB0D5F">
                  <w:pPr>
                    <w:pStyle w:val="25"/>
                    <w:rPr>
                      <w:color w:val="000000"/>
                      <w:highlight w:val="none"/>
                    </w:rPr>
                  </w:pPr>
                  <w:r>
                    <w:rPr>
                      <w:color w:val="000000"/>
                      <w:highlight w:val="none"/>
                    </w:rPr>
                    <w:t>7</w:t>
                  </w:r>
                </w:p>
              </w:tc>
              <w:tc>
                <w:tcPr>
                  <w:tcW w:w="1735" w:type="dxa"/>
                  <w:gridSpan w:val="2"/>
                  <w:noWrap w:val="0"/>
                  <w:vAlign w:val="center"/>
                </w:tcPr>
                <w:p w14:paraId="30711AC8">
                  <w:pPr>
                    <w:pStyle w:val="25"/>
                    <w:rPr>
                      <w:color w:val="000000"/>
                      <w:highlight w:val="none"/>
                    </w:rPr>
                  </w:pPr>
                  <w:r>
                    <w:rPr>
                      <w:color w:val="000000"/>
                      <w:highlight w:val="none"/>
                    </w:rPr>
                    <w:t>转盘</w:t>
                  </w:r>
                </w:p>
              </w:tc>
              <w:tc>
                <w:tcPr>
                  <w:tcW w:w="1861" w:type="dxa"/>
                  <w:noWrap w:val="0"/>
                  <w:vAlign w:val="center"/>
                </w:tcPr>
                <w:p w14:paraId="52C40123">
                  <w:pPr>
                    <w:pStyle w:val="25"/>
                    <w:rPr>
                      <w:color w:val="000000"/>
                      <w:highlight w:val="none"/>
                    </w:rPr>
                  </w:pPr>
                  <w:r>
                    <w:rPr>
                      <w:color w:val="000000"/>
                      <w:highlight w:val="none"/>
                    </w:rPr>
                    <w:t>ZP-520A/ ZP-205</w:t>
                  </w:r>
                </w:p>
              </w:tc>
              <w:tc>
                <w:tcPr>
                  <w:tcW w:w="973" w:type="dxa"/>
                  <w:noWrap w:val="0"/>
                  <w:vAlign w:val="center"/>
                </w:tcPr>
                <w:p w14:paraId="0D9501F9">
                  <w:pPr>
                    <w:pStyle w:val="25"/>
                    <w:rPr>
                      <w:color w:val="000000"/>
                      <w:highlight w:val="none"/>
                    </w:rPr>
                  </w:pPr>
                  <w:r>
                    <w:rPr>
                      <w:color w:val="000000"/>
                      <w:highlight w:val="none"/>
                    </w:rPr>
                    <w:t>200T</w:t>
                  </w:r>
                </w:p>
              </w:tc>
              <w:tc>
                <w:tcPr>
                  <w:tcW w:w="885" w:type="dxa"/>
                  <w:tcBorders>
                    <w:right w:val="single" w:color="auto" w:sz="4" w:space="0"/>
                  </w:tcBorders>
                  <w:noWrap w:val="0"/>
                  <w:vAlign w:val="center"/>
                </w:tcPr>
                <w:p w14:paraId="1B2CB15D">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3E7E38A1">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01A278C3">
                  <w:pPr>
                    <w:pStyle w:val="25"/>
                    <w:rPr>
                      <w:color w:val="000000"/>
                      <w:highlight w:val="none"/>
                    </w:rPr>
                  </w:pPr>
                  <w:r>
                    <w:rPr>
                      <w:color w:val="000000"/>
                      <w:highlight w:val="none"/>
                    </w:rPr>
                    <w:t>1</w:t>
                  </w:r>
                </w:p>
              </w:tc>
            </w:tr>
            <w:tr w14:paraId="22E1A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69EC4DEF">
                  <w:pPr>
                    <w:pStyle w:val="25"/>
                    <w:rPr>
                      <w:color w:val="000000"/>
                      <w:highlight w:val="none"/>
                    </w:rPr>
                  </w:pPr>
                  <w:r>
                    <w:rPr>
                      <w:color w:val="000000"/>
                      <w:highlight w:val="none"/>
                    </w:rPr>
                    <w:t>8</w:t>
                  </w:r>
                </w:p>
              </w:tc>
              <w:tc>
                <w:tcPr>
                  <w:tcW w:w="1735" w:type="dxa"/>
                  <w:gridSpan w:val="2"/>
                  <w:noWrap w:val="0"/>
                  <w:vAlign w:val="center"/>
                </w:tcPr>
                <w:p w14:paraId="0BD039AD">
                  <w:pPr>
                    <w:pStyle w:val="25"/>
                    <w:rPr>
                      <w:color w:val="000000"/>
                      <w:highlight w:val="none"/>
                    </w:rPr>
                  </w:pPr>
                  <w:r>
                    <w:rPr>
                      <w:color w:val="000000"/>
                      <w:highlight w:val="none"/>
                    </w:rPr>
                    <w:t>绞车</w:t>
                  </w:r>
                </w:p>
              </w:tc>
              <w:tc>
                <w:tcPr>
                  <w:tcW w:w="1861" w:type="dxa"/>
                  <w:noWrap w:val="0"/>
                  <w:vAlign w:val="center"/>
                </w:tcPr>
                <w:p w14:paraId="79E438A8">
                  <w:pPr>
                    <w:pStyle w:val="25"/>
                    <w:rPr>
                      <w:color w:val="000000"/>
                      <w:highlight w:val="none"/>
                    </w:rPr>
                  </w:pPr>
                  <w:r>
                    <w:rPr>
                      <w:color w:val="000000"/>
                      <w:highlight w:val="none"/>
                    </w:rPr>
                    <w:t>JC-200</w:t>
                  </w:r>
                </w:p>
              </w:tc>
              <w:tc>
                <w:tcPr>
                  <w:tcW w:w="973" w:type="dxa"/>
                  <w:noWrap w:val="0"/>
                  <w:vAlign w:val="center"/>
                </w:tcPr>
                <w:p w14:paraId="5FB5D498">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043E6AA7">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16C14259">
                  <w:pPr>
                    <w:pStyle w:val="25"/>
                    <w:rPr>
                      <w:color w:val="000000"/>
                      <w:highlight w:val="none"/>
                    </w:rPr>
                  </w:pPr>
                  <w:r>
                    <w:rPr>
                      <w:color w:val="000000"/>
                      <w:highlight w:val="none"/>
                    </w:rPr>
                    <w:t>个</w:t>
                  </w:r>
                </w:p>
              </w:tc>
              <w:tc>
                <w:tcPr>
                  <w:tcW w:w="1118" w:type="dxa"/>
                  <w:tcBorders>
                    <w:left w:val="single" w:color="auto" w:sz="4" w:space="0"/>
                  </w:tcBorders>
                  <w:noWrap w:val="0"/>
                  <w:vAlign w:val="top"/>
                </w:tcPr>
                <w:p w14:paraId="5BFA2D9C">
                  <w:pPr>
                    <w:pStyle w:val="25"/>
                    <w:rPr>
                      <w:color w:val="000000"/>
                      <w:highlight w:val="none"/>
                    </w:rPr>
                  </w:pPr>
                  <w:r>
                    <w:rPr>
                      <w:color w:val="000000"/>
                      <w:highlight w:val="none"/>
                    </w:rPr>
                    <w:t>1</w:t>
                  </w:r>
                </w:p>
              </w:tc>
            </w:tr>
            <w:tr w14:paraId="7E94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restart"/>
                  <w:noWrap w:val="0"/>
                  <w:vAlign w:val="center"/>
                </w:tcPr>
                <w:p w14:paraId="7AD4F910">
                  <w:pPr>
                    <w:pStyle w:val="25"/>
                    <w:rPr>
                      <w:color w:val="000000"/>
                      <w:highlight w:val="none"/>
                    </w:rPr>
                  </w:pPr>
                  <w:r>
                    <w:rPr>
                      <w:color w:val="000000"/>
                      <w:highlight w:val="none"/>
                    </w:rPr>
                    <w:t>9</w:t>
                  </w:r>
                </w:p>
              </w:tc>
              <w:tc>
                <w:tcPr>
                  <w:tcW w:w="880" w:type="dxa"/>
                  <w:vMerge w:val="restart"/>
                  <w:noWrap w:val="0"/>
                  <w:vAlign w:val="center"/>
                </w:tcPr>
                <w:p w14:paraId="71447784">
                  <w:pPr>
                    <w:pStyle w:val="25"/>
                    <w:rPr>
                      <w:color w:val="000000"/>
                      <w:highlight w:val="none"/>
                    </w:rPr>
                  </w:pPr>
                  <w:r>
                    <w:rPr>
                      <w:color w:val="000000"/>
                      <w:highlight w:val="none"/>
                    </w:rPr>
                    <w:t>泥浆泵</w:t>
                  </w:r>
                </w:p>
              </w:tc>
              <w:tc>
                <w:tcPr>
                  <w:tcW w:w="855" w:type="dxa"/>
                  <w:noWrap w:val="0"/>
                  <w:vAlign w:val="center"/>
                </w:tcPr>
                <w:p w14:paraId="6FB92AFF">
                  <w:pPr>
                    <w:pStyle w:val="25"/>
                    <w:rPr>
                      <w:color w:val="000000"/>
                      <w:highlight w:val="none"/>
                    </w:rPr>
                  </w:pPr>
                  <w:r>
                    <w:rPr>
                      <w:color w:val="000000"/>
                      <w:highlight w:val="none"/>
                    </w:rPr>
                    <w:t>#1</w:t>
                  </w:r>
                </w:p>
              </w:tc>
              <w:tc>
                <w:tcPr>
                  <w:tcW w:w="1861" w:type="dxa"/>
                  <w:noWrap w:val="0"/>
                  <w:vAlign w:val="center"/>
                </w:tcPr>
                <w:p w14:paraId="430F9905">
                  <w:pPr>
                    <w:pStyle w:val="25"/>
                    <w:rPr>
                      <w:color w:val="000000"/>
                      <w:highlight w:val="none"/>
                    </w:rPr>
                  </w:pPr>
                  <w:r>
                    <w:rPr>
                      <w:color w:val="000000"/>
                      <w:highlight w:val="none"/>
                    </w:rPr>
                    <w:t>3NB-1300</w:t>
                  </w:r>
                </w:p>
              </w:tc>
              <w:tc>
                <w:tcPr>
                  <w:tcW w:w="973" w:type="dxa"/>
                  <w:noWrap w:val="0"/>
                  <w:vAlign w:val="center"/>
                </w:tcPr>
                <w:p w14:paraId="38CDC3A0">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46BDCDD0">
                  <w:pPr>
                    <w:pStyle w:val="25"/>
                    <w:rPr>
                      <w:color w:val="000000"/>
                      <w:highlight w:val="none"/>
                    </w:rPr>
                  </w:pPr>
                  <w:r>
                    <w:rPr>
                      <w:color w:val="000000"/>
                      <w:highlight w:val="none"/>
                    </w:rPr>
                    <w:t>956</w:t>
                  </w:r>
                </w:p>
              </w:tc>
              <w:tc>
                <w:tcPr>
                  <w:tcW w:w="912" w:type="dxa"/>
                  <w:tcBorders>
                    <w:left w:val="single" w:color="auto" w:sz="4" w:space="0"/>
                    <w:right w:val="single" w:color="auto" w:sz="4" w:space="0"/>
                  </w:tcBorders>
                  <w:noWrap w:val="0"/>
                  <w:vAlign w:val="top"/>
                </w:tcPr>
                <w:p w14:paraId="2C6E6FBC">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4F7EE4C4">
                  <w:pPr>
                    <w:pStyle w:val="25"/>
                    <w:rPr>
                      <w:color w:val="000000"/>
                      <w:highlight w:val="none"/>
                    </w:rPr>
                  </w:pPr>
                  <w:r>
                    <w:rPr>
                      <w:color w:val="000000"/>
                      <w:highlight w:val="none"/>
                    </w:rPr>
                    <w:t>1</w:t>
                  </w:r>
                </w:p>
              </w:tc>
            </w:tr>
            <w:tr w14:paraId="317E0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4C7392EA">
                  <w:pPr>
                    <w:pStyle w:val="25"/>
                    <w:rPr>
                      <w:color w:val="000000"/>
                      <w:highlight w:val="none"/>
                    </w:rPr>
                  </w:pPr>
                </w:p>
              </w:tc>
              <w:tc>
                <w:tcPr>
                  <w:tcW w:w="880" w:type="dxa"/>
                  <w:vMerge w:val="continue"/>
                  <w:noWrap w:val="0"/>
                  <w:vAlign w:val="center"/>
                </w:tcPr>
                <w:p w14:paraId="239D060E">
                  <w:pPr>
                    <w:pStyle w:val="25"/>
                    <w:rPr>
                      <w:color w:val="000000"/>
                      <w:highlight w:val="none"/>
                    </w:rPr>
                  </w:pPr>
                </w:p>
              </w:tc>
              <w:tc>
                <w:tcPr>
                  <w:tcW w:w="855" w:type="dxa"/>
                  <w:noWrap w:val="0"/>
                  <w:vAlign w:val="center"/>
                </w:tcPr>
                <w:p w14:paraId="3DF6E8AB">
                  <w:pPr>
                    <w:pStyle w:val="25"/>
                    <w:rPr>
                      <w:color w:val="000000"/>
                      <w:highlight w:val="none"/>
                    </w:rPr>
                  </w:pPr>
                  <w:r>
                    <w:rPr>
                      <w:color w:val="000000"/>
                      <w:highlight w:val="none"/>
                    </w:rPr>
                    <w:t>#2</w:t>
                  </w:r>
                </w:p>
              </w:tc>
              <w:tc>
                <w:tcPr>
                  <w:tcW w:w="1861" w:type="dxa"/>
                  <w:noWrap w:val="0"/>
                  <w:vAlign w:val="center"/>
                </w:tcPr>
                <w:p w14:paraId="7F817A21">
                  <w:pPr>
                    <w:pStyle w:val="25"/>
                    <w:rPr>
                      <w:color w:val="000000"/>
                      <w:highlight w:val="none"/>
                    </w:rPr>
                  </w:pPr>
                  <w:r>
                    <w:rPr>
                      <w:color w:val="000000"/>
                      <w:highlight w:val="none"/>
                    </w:rPr>
                    <w:t>3NB-1300</w:t>
                  </w:r>
                </w:p>
              </w:tc>
              <w:tc>
                <w:tcPr>
                  <w:tcW w:w="973" w:type="dxa"/>
                  <w:noWrap w:val="0"/>
                  <w:vAlign w:val="center"/>
                </w:tcPr>
                <w:p w14:paraId="0F317595">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3B6078F1">
                  <w:pPr>
                    <w:pStyle w:val="25"/>
                    <w:rPr>
                      <w:color w:val="000000"/>
                      <w:highlight w:val="none"/>
                    </w:rPr>
                  </w:pPr>
                  <w:r>
                    <w:rPr>
                      <w:color w:val="000000"/>
                      <w:highlight w:val="none"/>
                    </w:rPr>
                    <w:t>956</w:t>
                  </w:r>
                </w:p>
              </w:tc>
              <w:tc>
                <w:tcPr>
                  <w:tcW w:w="912" w:type="dxa"/>
                  <w:tcBorders>
                    <w:left w:val="single" w:color="auto" w:sz="4" w:space="0"/>
                    <w:right w:val="single" w:color="auto" w:sz="4" w:space="0"/>
                  </w:tcBorders>
                  <w:noWrap w:val="0"/>
                  <w:vAlign w:val="top"/>
                </w:tcPr>
                <w:p w14:paraId="0F09B52D">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34F8D3D7">
                  <w:pPr>
                    <w:pStyle w:val="25"/>
                    <w:rPr>
                      <w:color w:val="000000"/>
                      <w:highlight w:val="none"/>
                    </w:rPr>
                  </w:pPr>
                  <w:r>
                    <w:rPr>
                      <w:color w:val="000000"/>
                      <w:highlight w:val="none"/>
                    </w:rPr>
                    <w:t>1</w:t>
                  </w:r>
                </w:p>
              </w:tc>
            </w:tr>
            <w:tr w14:paraId="5712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restart"/>
                  <w:noWrap w:val="0"/>
                  <w:vAlign w:val="center"/>
                </w:tcPr>
                <w:p w14:paraId="3747631B">
                  <w:pPr>
                    <w:pStyle w:val="25"/>
                    <w:rPr>
                      <w:color w:val="000000"/>
                      <w:highlight w:val="none"/>
                    </w:rPr>
                  </w:pPr>
                  <w:r>
                    <w:rPr>
                      <w:color w:val="000000"/>
                      <w:highlight w:val="none"/>
                    </w:rPr>
                    <w:t>10</w:t>
                  </w:r>
                </w:p>
              </w:tc>
              <w:tc>
                <w:tcPr>
                  <w:tcW w:w="880" w:type="dxa"/>
                  <w:vMerge w:val="restart"/>
                  <w:noWrap w:val="0"/>
                  <w:vAlign w:val="center"/>
                </w:tcPr>
                <w:p w14:paraId="1A3B7238">
                  <w:pPr>
                    <w:pStyle w:val="25"/>
                    <w:rPr>
                      <w:color w:val="000000"/>
                      <w:highlight w:val="none"/>
                    </w:rPr>
                  </w:pPr>
                  <w:r>
                    <w:rPr>
                      <w:color w:val="000000"/>
                      <w:highlight w:val="none"/>
                    </w:rPr>
                    <w:t>柴油机</w:t>
                  </w:r>
                </w:p>
              </w:tc>
              <w:tc>
                <w:tcPr>
                  <w:tcW w:w="855" w:type="dxa"/>
                  <w:noWrap w:val="0"/>
                  <w:vAlign w:val="center"/>
                </w:tcPr>
                <w:p w14:paraId="6BB1DE59">
                  <w:pPr>
                    <w:pStyle w:val="25"/>
                    <w:rPr>
                      <w:color w:val="000000"/>
                      <w:highlight w:val="none"/>
                    </w:rPr>
                  </w:pPr>
                  <w:r>
                    <w:rPr>
                      <w:color w:val="000000"/>
                      <w:highlight w:val="none"/>
                    </w:rPr>
                    <w:t>#1</w:t>
                  </w:r>
                </w:p>
              </w:tc>
              <w:tc>
                <w:tcPr>
                  <w:tcW w:w="1861" w:type="dxa"/>
                  <w:noWrap w:val="0"/>
                  <w:vAlign w:val="center"/>
                </w:tcPr>
                <w:p w14:paraId="3676CEBD">
                  <w:pPr>
                    <w:pStyle w:val="25"/>
                    <w:rPr>
                      <w:color w:val="000000"/>
                      <w:highlight w:val="none"/>
                    </w:rPr>
                  </w:pPr>
                  <w:r>
                    <w:rPr>
                      <w:color w:val="000000"/>
                      <w:highlight w:val="none"/>
                    </w:rPr>
                    <w:t>PZ12V190B</w:t>
                  </w:r>
                </w:p>
              </w:tc>
              <w:tc>
                <w:tcPr>
                  <w:tcW w:w="973" w:type="dxa"/>
                  <w:noWrap w:val="0"/>
                  <w:vAlign w:val="center"/>
                </w:tcPr>
                <w:p w14:paraId="00137FA0">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42FE0499">
                  <w:pPr>
                    <w:pStyle w:val="25"/>
                    <w:rPr>
                      <w:color w:val="000000"/>
                      <w:highlight w:val="none"/>
                    </w:rPr>
                  </w:pPr>
                  <w:r>
                    <w:rPr>
                      <w:color w:val="000000"/>
                      <w:highlight w:val="none"/>
                    </w:rPr>
                    <w:t>796</w:t>
                  </w:r>
                </w:p>
              </w:tc>
              <w:tc>
                <w:tcPr>
                  <w:tcW w:w="912" w:type="dxa"/>
                  <w:tcBorders>
                    <w:left w:val="single" w:color="auto" w:sz="4" w:space="0"/>
                    <w:right w:val="single" w:color="auto" w:sz="4" w:space="0"/>
                  </w:tcBorders>
                  <w:noWrap w:val="0"/>
                  <w:vAlign w:val="top"/>
                </w:tcPr>
                <w:p w14:paraId="485904BA">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38D82D23">
                  <w:pPr>
                    <w:pStyle w:val="25"/>
                    <w:rPr>
                      <w:color w:val="000000"/>
                      <w:highlight w:val="none"/>
                    </w:rPr>
                  </w:pPr>
                  <w:r>
                    <w:rPr>
                      <w:color w:val="000000"/>
                      <w:highlight w:val="none"/>
                    </w:rPr>
                    <w:t>1</w:t>
                  </w:r>
                </w:p>
              </w:tc>
            </w:tr>
            <w:tr w14:paraId="61390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3C9A0029">
                  <w:pPr>
                    <w:pStyle w:val="25"/>
                    <w:rPr>
                      <w:color w:val="000000"/>
                      <w:highlight w:val="none"/>
                    </w:rPr>
                  </w:pPr>
                </w:p>
              </w:tc>
              <w:tc>
                <w:tcPr>
                  <w:tcW w:w="880" w:type="dxa"/>
                  <w:vMerge w:val="continue"/>
                  <w:noWrap w:val="0"/>
                  <w:vAlign w:val="center"/>
                </w:tcPr>
                <w:p w14:paraId="6536F5D6">
                  <w:pPr>
                    <w:pStyle w:val="25"/>
                    <w:rPr>
                      <w:color w:val="000000"/>
                      <w:highlight w:val="none"/>
                    </w:rPr>
                  </w:pPr>
                </w:p>
              </w:tc>
              <w:tc>
                <w:tcPr>
                  <w:tcW w:w="855" w:type="dxa"/>
                  <w:noWrap w:val="0"/>
                  <w:vAlign w:val="center"/>
                </w:tcPr>
                <w:p w14:paraId="25586B67">
                  <w:pPr>
                    <w:pStyle w:val="25"/>
                    <w:rPr>
                      <w:color w:val="000000"/>
                      <w:highlight w:val="none"/>
                    </w:rPr>
                  </w:pPr>
                  <w:r>
                    <w:rPr>
                      <w:color w:val="000000"/>
                      <w:highlight w:val="none"/>
                    </w:rPr>
                    <w:t>#2</w:t>
                  </w:r>
                </w:p>
              </w:tc>
              <w:tc>
                <w:tcPr>
                  <w:tcW w:w="1861" w:type="dxa"/>
                  <w:noWrap w:val="0"/>
                  <w:vAlign w:val="center"/>
                </w:tcPr>
                <w:p w14:paraId="646E187B">
                  <w:pPr>
                    <w:pStyle w:val="25"/>
                    <w:rPr>
                      <w:color w:val="000000"/>
                      <w:highlight w:val="none"/>
                    </w:rPr>
                  </w:pPr>
                  <w:r>
                    <w:rPr>
                      <w:color w:val="000000"/>
                      <w:highlight w:val="none"/>
                    </w:rPr>
                    <w:t>PZ12V190B</w:t>
                  </w:r>
                </w:p>
              </w:tc>
              <w:tc>
                <w:tcPr>
                  <w:tcW w:w="973" w:type="dxa"/>
                  <w:noWrap w:val="0"/>
                  <w:vAlign w:val="center"/>
                </w:tcPr>
                <w:p w14:paraId="3C40634E">
                  <w:pPr>
                    <w:pStyle w:val="25"/>
                    <w:rPr>
                      <w:color w:val="000000"/>
                      <w:highlight w:val="none"/>
                    </w:rPr>
                  </w:pPr>
                  <w:r>
                    <w:rPr>
                      <w:color w:val="000000"/>
                      <w:highlight w:val="none"/>
                    </w:rPr>
                    <w:t>/</w:t>
                  </w:r>
                </w:p>
              </w:tc>
              <w:tc>
                <w:tcPr>
                  <w:tcW w:w="885" w:type="dxa"/>
                  <w:tcBorders>
                    <w:right w:val="single" w:color="auto" w:sz="4" w:space="0"/>
                  </w:tcBorders>
                  <w:noWrap w:val="0"/>
                  <w:vAlign w:val="top"/>
                </w:tcPr>
                <w:p w14:paraId="2DBB3AEA">
                  <w:pPr>
                    <w:pStyle w:val="25"/>
                    <w:rPr>
                      <w:color w:val="000000"/>
                      <w:highlight w:val="none"/>
                    </w:rPr>
                  </w:pPr>
                  <w:r>
                    <w:rPr>
                      <w:color w:val="000000"/>
                      <w:highlight w:val="none"/>
                    </w:rPr>
                    <w:t>796</w:t>
                  </w:r>
                </w:p>
              </w:tc>
              <w:tc>
                <w:tcPr>
                  <w:tcW w:w="912" w:type="dxa"/>
                  <w:tcBorders>
                    <w:left w:val="single" w:color="auto" w:sz="4" w:space="0"/>
                    <w:right w:val="single" w:color="auto" w:sz="4" w:space="0"/>
                  </w:tcBorders>
                  <w:noWrap w:val="0"/>
                  <w:vAlign w:val="top"/>
                </w:tcPr>
                <w:p w14:paraId="5A91DE7C">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7299CC8E">
                  <w:pPr>
                    <w:pStyle w:val="25"/>
                    <w:rPr>
                      <w:color w:val="000000"/>
                      <w:highlight w:val="none"/>
                    </w:rPr>
                  </w:pPr>
                  <w:r>
                    <w:rPr>
                      <w:color w:val="000000"/>
                      <w:highlight w:val="none"/>
                    </w:rPr>
                    <w:t>1</w:t>
                  </w:r>
                </w:p>
              </w:tc>
            </w:tr>
            <w:tr w14:paraId="58D56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7CD687EA">
                  <w:pPr>
                    <w:pStyle w:val="25"/>
                    <w:rPr>
                      <w:color w:val="000000"/>
                      <w:highlight w:val="none"/>
                    </w:rPr>
                  </w:pPr>
                </w:p>
              </w:tc>
              <w:tc>
                <w:tcPr>
                  <w:tcW w:w="880" w:type="dxa"/>
                  <w:vMerge w:val="continue"/>
                  <w:noWrap w:val="0"/>
                  <w:vAlign w:val="center"/>
                </w:tcPr>
                <w:p w14:paraId="4B1F832E">
                  <w:pPr>
                    <w:pStyle w:val="25"/>
                    <w:rPr>
                      <w:color w:val="000000"/>
                      <w:highlight w:val="none"/>
                    </w:rPr>
                  </w:pPr>
                </w:p>
              </w:tc>
              <w:tc>
                <w:tcPr>
                  <w:tcW w:w="855" w:type="dxa"/>
                  <w:noWrap w:val="0"/>
                  <w:vAlign w:val="center"/>
                </w:tcPr>
                <w:p w14:paraId="48A33CF5">
                  <w:pPr>
                    <w:pStyle w:val="25"/>
                    <w:rPr>
                      <w:color w:val="000000"/>
                      <w:highlight w:val="none"/>
                    </w:rPr>
                  </w:pPr>
                  <w:r>
                    <w:rPr>
                      <w:color w:val="000000"/>
                      <w:highlight w:val="none"/>
                    </w:rPr>
                    <w:t>#3</w:t>
                  </w:r>
                </w:p>
              </w:tc>
              <w:tc>
                <w:tcPr>
                  <w:tcW w:w="1861" w:type="dxa"/>
                  <w:noWrap w:val="0"/>
                  <w:vAlign w:val="center"/>
                </w:tcPr>
                <w:p w14:paraId="4894BC5E">
                  <w:pPr>
                    <w:pStyle w:val="25"/>
                    <w:rPr>
                      <w:color w:val="000000"/>
                      <w:highlight w:val="none"/>
                    </w:rPr>
                  </w:pPr>
                  <w:r>
                    <w:rPr>
                      <w:color w:val="000000"/>
                      <w:highlight w:val="none"/>
                    </w:rPr>
                    <w:t>PZ12V190B</w:t>
                  </w:r>
                </w:p>
              </w:tc>
              <w:tc>
                <w:tcPr>
                  <w:tcW w:w="973" w:type="dxa"/>
                  <w:noWrap w:val="0"/>
                  <w:vAlign w:val="center"/>
                </w:tcPr>
                <w:p w14:paraId="2FA05A50">
                  <w:pPr>
                    <w:pStyle w:val="25"/>
                    <w:rPr>
                      <w:color w:val="000000"/>
                      <w:highlight w:val="none"/>
                    </w:rPr>
                  </w:pPr>
                  <w:r>
                    <w:rPr>
                      <w:color w:val="000000"/>
                      <w:highlight w:val="none"/>
                    </w:rPr>
                    <w:t>/</w:t>
                  </w:r>
                </w:p>
              </w:tc>
              <w:tc>
                <w:tcPr>
                  <w:tcW w:w="885" w:type="dxa"/>
                  <w:tcBorders>
                    <w:right w:val="single" w:color="auto" w:sz="4" w:space="0"/>
                  </w:tcBorders>
                  <w:noWrap w:val="0"/>
                  <w:vAlign w:val="top"/>
                </w:tcPr>
                <w:p w14:paraId="745892B9">
                  <w:pPr>
                    <w:pStyle w:val="25"/>
                    <w:rPr>
                      <w:color w:val="000000"/>
                      <w:highlight w:val="none"/>
                    </w:rPr>
                  </w:pPr>
                  <w:r>
                    <w:rPr>
                      <w:color w:val="000000"/>
                      <w:highlight w:val="none"/>
                    </w:rPr>
                    <w:t>796</w:t>
                  </w:r>
                </w:p>
              </w:tc>
              <w:tc>
                <w:tcPr>
                  <w:tcW w:w="912" w:type="dxa"/>
                  <w:tcBorders>
                    <w:left w:val="single" w:color="auto" w:sz="4" w:space="0"/>
                    <w:right w:val="single" w:color="auto" w:sz="4" w:space="0"/>
                  </w:tcBorders>
                  <w:noWrap w:val="0"/>
                  <w:vAlign w:val="top"/>
                </w:tcPr>
                <w:p w14:paraId="1356FCB0">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44F3772E">
                  <w:pPr>
                    <w:pStyle w:val="25"/>
                    <w:rPr>
                      <w:color w:val="000000"/>
                      <w:highlight w:val="none"/>
                    </w:rPr>
                  </w:pPr>
                  <w:r>
                    <w:rPr>
                      <w:color w:val="000000"/>
                      <w:highlight w:val="none"/>
                    </w:rPr>
                    <w:t>1</w:t>
                  </w:r>
                </w:p>
              </w:tc>
            </w:tr>
            <w:tr w14:paraId="27D74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restart"/>
                  <w:noWrap w:val="0"/>
                  <w:vAlign w:val="center"/>
                </w:tcPr>
                <w:p w14:paraId="3B2D907C">
                  <w:pPr>
                    <w:pStyle w:val="25"/>
                    <w:rPr>
                      <w:color w:val="000000"/>
                      <w:highlight w:val="none"/>
                    </w:rPr>
                  </w:pPr>
                  <w:r>
                    <w:rPr>
                      <w:color w:val="000000"/>
                      <w:highlight w:val="none"/>
                    </w:rPr>
                    <w:t>11</w:t>
                  </w:r>
                </w:p>
              </w:tc>
              <w:tc>
                <w:tcPr>
                  <w:tcW w:w="880" w:type="dxa"/>
                  <w:vMerge w:val="restart"/>
                  <w:tcBorders>
                    <w:right w:val="single" w:color="auto" w:sz="4" w:space="0"/>
                  </w:tcBorders>
                  <w:noWrap w:val="0"/>
                  <w:vAlign w:val="center"/>
                </w:tcPr>
                <w:p w14:paraId="3E4BBDB9">
                  <w:pPr>
                    <w:pStyle w:val="25"/>
                    <w:rPr>
                      <w:color w:val="000000"/>
                      <w:highlight w:val="none"/>
                    </w:rPr>
                  </w:pPr>
                  <w:r>
                    <w:rPr>
                      <w:color w:val="000000"/>
                      <w:highlight w:val="none"/>
                    </w:rPr>
                    <w:t>四级固控装置</w:t>
                  </w:r>
                </w:p>
              </w:tc>
              <w:tc>
                <w:tcPr>
                  <w:tcW w:w="855" w:type="dxa"/>
                  <w:tcBorders>
                    <w:left w:val="single" w:color="auto" w:sz="4" w:space="0"/>
                  </w:tcBorders>
                  <w:noWrap w:val="0"/>
                  <w:vAlign w:val="center"/>
                </w:tcPr>
                <w:p w14:paraId="46F7EE57">
                  <w:pPr>
                    <w:pStyle w:val="25"/>
                    <w:rPr>
                      <w:color w:val="000000"/>
                      <w:highlight w:val="none"/>
                    </w:rPr>
                  </w:pPr>
                  <w:r>
                    <w:rPr>
                      <w:color w:val="000000"/>
                      <w:highlight w:val="none"/>
                    </w:rPr>
                    <w:t>振动筛×3</w:t>
                  </w:r>
                </w:p>
              </w:tc>
              <w:tc>
                <w:tcPr>
                  <w:tcW w:w="1861" w:type="dxa"/>
                  <w:noWrap w:val="0"/>
                  <w:vAlign w:val="center"/>
                </w:tcPr>
                <w:p w14:paraId="3C50713E">
                  <w:pPr>
                    <w:pStyle w:val="25"/>
                    <w:rPr>
                      <w:color w:val="000000"/>
                      <w:highlight w:val="none"/>
                    </w:rPr>
                  </w:pPr>
                  <w:r>
                    <w:rPr>
                      <w:color w:val="000000"/>
                      <w:highlight w:val="none"/>
                    </w:rPr>
                    <w:t>ZX-60×300</w:t>
                  </w:r>
                </w:p>
              </w:tc>
              <w:tc>
                <w:tcPr>
                  <w:tcW w:w="973" w:type="dxa"/>
                  <w:noWrap w:val="0"/>
                  <w:vAlign w:val="center"/>
                </w:tcPr>
                <w:p w14:paraId="258B9AA9">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584E012A">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754E1B21">
                  <w:pPr>
                    <w:pStyle w:val="25"/>
                    <w:rPr>
                      <w:color w:val="000000"/>
                      <w:highlight w:val="none"/>
                    </w:rPr>
                  </w:pPr>
                  <w:r>
                    <w:rPr>
                      <w:color w:val="000000"/>
                      <w:highlight w:val="none"/>
                    </w:rPr>
                    <w:t>组</w:t>
                  </w:r>
                </w:p>
              </w:tc>
              <w:tc>
                <w:tcPr>
                  <w:tcW w:w="1118" w:type="dxa"/>
                  <w:tcBorders>
                    <w:left w:val="single" w:color="auto" w:sz="4" w:space="0"/>
                  </w:tcBorders>
                  <w:noWrap w:val="0"/>
                  <w:vAlign w:val="top"/>
                </w:tcPr>
                <w:p w14:paraId="30075C9A">
                  <w:pPr>
                    <w:pStyle w:val="25"/>
                    <w:rPr>
                      <w:color w:val="000000"/>
                      <w:highlight w:val="none"/>
                    </w:rPr>
                  </w:pPr>
                  <w:r>
                    <w:rPr>
                      <w:color w:val="000000"/>
                      <w:highlight w:val="none"/>
                    </w:rPr>
                    <w:t>1</w:t>
                  </w:r>
                </w:p>
              </w:tc>
            </w:tr>
            <w:tr w14:paraId="469BB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525CB74E">
                  <w:pPr>
                    <w:pStyle w:val="25"/>
                    <w:rPr>
                      <w:color w:val="000000"/>
                      <w:highlight w:val="none"/>
                    </w:rPr>
                  </w:pPr>
                </w:p>
              </w:tc>
              <w:tc>
                <w:tcPr>
                  <w:tcW w:w="880" w:type="dxa"/>
                  <w:vMerge w:val="continue"/>
                  <w:tcBorders>
                    <w:right w:val="single" w:color="auto" w:sz="4" w:space="0"/>
                  </w:tcBorders>
                  <w:noWrap w:val="0"/>
                  <w:vAlign w:val="center"/>
                </w:tcPr>
                <w:p w14:paraId="33F228D2">
                  <w:pPr>
                    <w:pStyle w:val="25"/>
                    <w:rPr>
                      <w:color w:val="000000"/>
                      <w:highlight w:val="none"/>
                    </w:rPr>
                  </w:pPr>
                </w:p>
              </w:tc>
              <w:tc>
                <w:tcPr>
                  <w:tcW w:w="855" w:type="dxa"/>
                  <w:tcBorders>
                    <w:left w:val="single" w:color="auto" w:sz="4" w:space="0"/>
                  </w:tcBorders>
                  <w:noWrap w:val="0"/>
                  <w:vAlign w:val="center"/>
                </w:tcPr>
                <w:p w14:paraId="6CCE58EF">
                  <w:pPr>
                    <w:pStyle w:val="25"/>
                    <w:rPr>
                      <w:color w:val="000000"/>
                      <w:highlight w:val="none"/>
                    </w:rPr>
                  </w:pPr>
                  <w:r>
                    <w:rPr>
                      <w:color w:val="000000"/>
                      <w:highlight w:val="none"/>
                    </w:rPr>
                    <w:t>除砂器</w:t>
                  </w:r>
                </w:p>
              </w:tc>
              <w:tc>
                <w:tcPr>
                  <w:tcW w:w="1861" w:type="dxa"/>
                  <w:noWrap w:val="0"/>
                  <w:vAlign w:val="center"/>
                </w:tcPr>
                <w:p w14:paraId="73C36547">
                  <w:pPr>
                    <w:pStyle w:val="25"/>
                    <w:rPr>
                      <w:color w:val="000000"/>
                      <w:highlight w:val="none"/>
                    </w:rPr>
                  </w:pPr>
                  <w:r>
                    <w:rPr>
                      <w:color w:val="000000"/>
                      <w:highlight w:val="none"/>
                    </w:rPr>
                    <w:t>NCS250×2</w:t>
                  </w:r>
                </w:p>
              </w:tc>
              <w:tc>
                <w:tcPr>
                  <w:tcW w:w="973" w:type="dxa"/>
                  <w:noWrap w:val="0"/>
                  <w:vAlign w:val="center"/>
                </w:tcPr>
                <w:p w14:paraId="0CF6C774">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FB4ABA3">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0F607F24">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21757D8B">
                  <w:pPr>
                    <w:pStyle w:val="25"/>
                    <w:rPr>
                      <w:color w:val="000000"/>
                      <w:highlight w:val="none"/>
                    </w:rPr>
                  </w:pPr>
                  <w:r>
                    <w:rPr>
                      <w:color w:val="000000"/>
                      <w:highlight w:val="none"/>
                    </w:rPr>
                    <w:t>1</w:t>
                  </w:r>
                </w:p>
              </w:tc>
            </w:tr>
            <w:tr w14:paraId="49CE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107D710F">
                  <w:pPr>
                    <w:pStyle w:val="25"/>
                    <w:rPr>
                      <w:color w:val="000000"/>
                      <w:highlight w:val="none"/>
                    </w:rPr>
                  </w:pPr>
                </w:p>
              </w:tc>
              <w:tc>
                <w:tcPr>
                  <w:tcW w:w="880" w:type="dxa"/>
                  <w:vMerge w:val="continue"/>
                  <w:tcBorders>
                    <w:right w:val="single" w:color="auto" w:sz="4" w:space="0"/>
                  </w:tcBorders>
                  <w:noWrap w:val="0"/>
                  <w:vAlign w:val="center"/>
                </w:tcPr>
                <w:p w14:paraId="59AC87B7">
                  <w:pPr>
                    <w:pStyle w:val="25"/>
                    <w:rPr>
                      <w:color w:val="000000"/>
                      <w:highlight w:val="none"/>
                    </w:rPr>
                  </w:pPr>
                </w:p>
              </w:tc>
              <w:tc>
                <w:tcPr>
                  <w:tcW w:w="855" w:type="dxa"/>
                  <w:tcBorders>
                    <w:left w:val="single" w:color="auto" w:sz="4" w:space="0"/>
                  </w:tcBorders>
                  <w:noWrap w:val="0"/>
                  <w:vAlign w:val="center"/>
                </w:tcPr>
                <w:p w14:paraId="79D2FE36">
                  <w:pPr>
                    <w:pStyle w:val="25"/>
                    <w:rPr>
                      <w:color w:val="000000"/>
                      <w:highlight w:val="none"/>
                    </w:rPr>
                  </w:pPr>
                  <w:r>
                    <w:rPr>
                      <w:color w:val="000000"/>
                      <w:highlight w:val="none"/>
                    </w:rPr>
                    <w:t>除泥器</w:t>
                  </w:r>
                </w:p>
              </w:tc>
              <w:tc>
                <w:tcPr>
                  <w:tcW w:w="1861" w:type="dxa"/>
                  <w:noWrap w:val="0"/>
                  <w:vAlign w:val="center"/>
                </w:tcPr>
                <w:p w14:paraId="1E505F74">
                  <w:pPr>
                    <w:pStyle w:val="25"/>
                    <w:rPr>
                      <w:color w:val="000000"/>
                      <w:highlight w:val="none"/>
                    </w:rPr>
                  </w:pPr>
                  <w:r>
                    <w:rPr>
                      <w:color w:val="000000"/>
                      <w:highlight w:val="none"/>
                    </w:rPr>
                    <w:t>ZQJ125×8-1.3×0.6</w:t>
                  </w:r>
                </w:p>
              </w:tc>
              <w:tc>
                <w:tcPr>
                  <w:tcW w:w="973" w:type="dxa"/>
                  <w:noWrap w:val="0"/>
                  <w:vAlign w:val="center"/>
                </w:tcPr>
                <w:p w14:paraId="2F92724D">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179F6BE8">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252182E5">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743B2DEC">
                  <w:pPr>
                    <w:pStyle w:val="25"/>
                    <w:rPr>
                      <w:color w:val="000000"/>
                      <w:highlight w:val="none"/>
                    </w:rPr>
                  </w:pPr>
                  <w:r>
                    <w:rPr>
                      <w:color w:val="000000"/>
                      <w:highlight w:val="none"/>
                    </w:rPr>
                    <w:t>1</w:t>
                  </w:r>
                </w:p>
              </w:tc>
            </w:tr>
            <w:tr w14:paraId="45477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1219270C">
                  <w:pPr>
                    <w:pStyle w:val="25"/>
                    <w:rPr>
                      <w:color w:val="000000"/>
                      <w:highlight w:val="none"/>
                    </w:rPr>
                  </w:pPr>
                </w:p>
              </w:tc>
              <w:tc>
                <w:tcPr>
                  <w:tcW w:w="880" w:type="dxa"/>
                  <w:vMerge w:val="continue"/>
                  <w:tcBorders>
                    <w:right w:val="single" w:color="auto" w:sz="4" w:space="0"/>
                  </w:tcBorders>
                  <w:noWrap w:val="0"/>
                  <w:vAlign w:val="center"/>
                </w:tcPr>
                <w:p w14:paraId="6AC21204">
                  <w:pPr>
                    <w:pStyle w:val="25"/>
                    <w:rPr>
                      <w:color w:val="000000"/>
                      <w:highlight w:val="none"/>
                    </w:rPr>
                  </w:pPr>
                </w:p>
              </w:tc>
              <w:tc>
                <w:tcPr>
                  <w:tcW w:w="855" w:type="dxa"/>
                  <w:tcBorders>
                    <w:left w:val="single" w:color="auto" w:sz="4" w:space="0"/>
                  </w:tcBorders>
                  <w:noWrap w:val="0"/>
                  <w:vAlign w:val="center"/>
                </w:tcPr>
                <w:p w14:paraId="5D24A41E">
                  <w:pPr>
                    <w:pStyle w:val="25"/>
                    <w:rPr>
                      <w:color w:val="000000"/>
                      <w:highlight w:val="none"/>
                    </w:rPr>
                  </w:pPr>
                  <w:r>
                    <w:rPr>
                      <w:color w:val="000000"/>
                      <w:highlight w:val="none"/>
                    </w:rPr>
                    <w:t>离心机</w:t>
                  </w:r>
                </w:p>
              </w:tc>
              <w:tc>
                <w:tcPr>
                  <w:tcW w:w="1861" w:type="dxa"/>
                  <w:noWrap w:val="0"/>
                  <w:vAlign w:val="center"/>
                </w:tcPr>
                <w:p w14:paraId="307EA3E6">
                  <w:pPr>
                    <w:pStyle w:val="25"/>
                    <w:rPr>
                      <w:color w:val="000000"/>
                      <w:highlight w:val="none"/>
                    </w:rPr>
                  </w:pPr>
                  <w:r>
                    <w:rPr>
                      <w:color w:val="000000"/>
                      <w:highlight w:val="none"/>
                    </w:rPr>
                    <w:t>LW450-842N</w:t>
                  </w:r>
                </w:p>
              </w:tc>
              <w:tc>
                <w:tcPr>
                  <w:tcW w:w="973" w:type="dxa"/>
                  <w:noWrap w:val="0"/>
                  <w:vAlign w:val="center"/>
                </w:tcPr>
                <w:p w14:paraId="28DDBC99">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AF84A81">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18F0CAD9">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7F70A7D9">
                  <w:pPr>
                    <w:pStyle w:val="25"/>
                    <w:rPr>
                      <w:color w:val="000000"/>
                      <w:highlight w:val="none"/>
                    </w:rPr>
                  </w:pPr>
                  <w:r>
                    <w:rPr>
                      <w:color w:val="000000"/>
                      <w:highlight w:val="none"/>
                    </w:rPr>
                    <w:t>1</w:t>
                  </w:r>
                </w:p>
              </w:tc>
            </w:tr>
            <w:tr w14:paraId="506D9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noWrap w:val="0"/>
                  <w:vAlign w:val="center"/>
                </w:tcPr>
                <w:p w14:paraId="642BE806">
                  <w:pPr>
                    <w:pStyle w:val="25"/>
                    <w:rPr>
                      <w:color w:val="000000"/>
                      <w:highlight w:val="none"/>
                    </w:rPr>
                  </w:pPr>
                </w:p>
              </w:tc>
              <w:tc>
                <w:tcPr>
                  <w:tcW w:w="880" w:type="dxa"/>
                  <w:vMerge w:val="continue"/>
                  <w:tcBorders>
                    <w:right w:val="single" w:color="auto" w:sz="4" w:space="0"/>
                  </w:tcBorders>
                  <w:noWrap w:val="0"/>
                  <w:vAlign w:val="center"/>
                </w:tcPr>
                <w:p w14:paraId="1127E51E">
                  <w:pPr>
                    <w:pStyle w:val="25"/>
                    <w:rPr>
                      <w:color w:val="000000"/>
                      <w:highlight w:val="none"/>
                    </w:rPr>
                  </w:pPr>
                </w:p>
              </w:tc>
              <w:tc>
                <w:tcPr>
                  <w:tcW w:w="855" w:type="dxa"/>
                  <w:tcBorders>
                    <w:left w:val="single" w:color="auto" w:sz="4" w:space="0"/>
                  </w:tcBorders>
                  <w:noWrap w:val="0"/>
                  <w:vAlign w:val="center"/>
                </w:tcPr>
                <w:p w14:paraId="7F0EF135">
                  <w:pPr>
                    <w:pStyle w:val="25"/>
                    <w:rPr>
                      <w:color w:val="000000"/>
                      <w:highlight w:val="none"/>
                    </w:rPr>
                  </w:pPr>
                  <w:r>
                    <w:rPr>
                      <w:color w:val="000000"/>
                      <w:highlight w:val="none"/>
                    </w:rPr>
                    <w:t>除气器</w:t>
                  </w:r>
                </w:p>
              </w:tc>
              <w:tc>
                <w:tcPr>
                  <w:tcW w:w="1861" w:type="dxa"/>
                  <w:noWrap w:val="0"/>
                  <w:vAlign w:val="center"/>
                </w:tcPr>
                <w:p w14:paraId="4B567519">
                  <w:pPr>
                    <w:pStyle w:val="25"/>
                    <w:rPr>
                      <w:color w:val="000000"/>
                      <w:highlight w:val="none"/>
                    </w:rPr>
                  </w:pPr>
                  <w:r>
                    <w:rPr>
                      <w:color w:val="000000"/>
                      <w:highlight w:val="none"/>
                    </w:rPr>
                    <w:t>HZQ1/4</w:t>
                  </w:r>
                </w:p>
              </w:tc>
              <w:tc>
                <w:tcPr>
                  <w:tcW w:w="973" w:type="dxa"/>
                  <w:noWrap w:val="0"/>
                  <w:vAlign w:val="center"/>
                </w:tcPr>
                <w:p w14:paraId="0D352E9E">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272CF6D">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73E01557">
                  <w:pPr>
                    <w:pStyle w:val="25"/>
                    <w:rPr>
                      <w:color w:val="000000"/>
                      <w:highlight w:val="none"/>
                    </w:rPr>
                  </w:pPr>
                  <w:r>
                    <w:rPr>
                      <w:color w:val="000000"/>
                      <w:highlight w:val="none"/>
                    </w:rPr>
                    <w:t>台</w:t>
                  </w:r>
                </w:p>
              </w:tc>
              <w:tc>
                <w:tcPr>
                  <w:tcW w:w="1118" w:type="dxa"/>
                  <w:tcBorders>
                    <w:left w:val="single" w:color="auto" w:sz="4" w:space="0"/>
                  </w:tcBorders>
                  <w:noWrap w:val="0"/>
                  <w:vAlign w:val="top"/>
                </w:tcPr>
                <w:p w14:paraId="04C3EE41">
                  <w:pPr>
                    <w:pStyle w:val="25"/>
                    <w:rPr>
                      <w:color w:val="000000"/>
                      <w:highlight w:val="none"/>
                    </w:rPr>
                  </w:pPr>
                  <w:r>
                    <w:rPr>
                      <w:color w:val="000000"/>
                      <w:highlight w:val="none"/>
                    </w:rPr>
                    <w:t>1</w:t>
                  </w:r>
                </w:p>
              </w:tc>
            </w:tr>
            <w:tr w14:paraId="07F55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11901DB3">
                  <w:pPr>
                    <w:pStyle w:val="25"/>
                    <w:rPr>
                      <w:color w:val="000000"/>
                      <w:highlight w:val="none"/>
                    </w:rPr>
                  </w:pPr>
                  <w:r>
                    <w:rPr>
                      <w:color w:val="000000"/>
                      <w:highlight w:val="none"/>
                    </w:rPr>
                    <w:t>12</w:t>
                  </w:r>
                </w:p>
              </w:tc>
              <w:tc>
                <w:tcPr>
                  <w:tcW w:w="1735" w:type="dxa"/>
                  <w:gridSpan w:val="2"/>
                  <w:noWrap w:val="0"/>
                  <w:vAlign w:val="center"/>
                </w:tcPr>
                <w:p w14:paraId="5511E07C">
                  <w:pPr>
                    <w:pStyle w:val="25"/>
                    <w:rPr>
                      <w:color w:val="000000"/>
                      <w:highlight w:val="none"/>
                    </w:rPr>
                  </w:pPr>
                  <w:r>
                    <w:rPr>
                      <w:color w:val="000000"/>
                      <w:highlight w:val="none"/>
                    </w:rPr>
                    <w:t>净化罐</w:t>
                  </w:r>
                </w:p>
              </w:tc>
              <w:tc>
                <w:tcPr>
                  <w:tcW w:w="1861" w:type="dxa"/>
                  <w:noWrap w:val="0"/>
                  <w:vAlign w:val="center"/>
                </w:tcPr>
                <w:p w14:paraId="1E091C43">
                  <w:pPr>
                    <w:pStyle w:val="25"/>
                    <w:rPr>
                      <w:color w:val="000000"/>
                      <w:highlight w:val="none"/>
                    </w:rPr>
                  </w:pPr>
                  <w:r>
                    <w:rPr>
                      <w:color w:val="000000"/>
                      <w:highlight w:val="none"/>
                    </w:rPr>
                    <w:t>40m</w:t>
                  </w:r>
                  <w:r>
                    <w:rPr>
                      <w:color w:val="000000"/>
                      <w:highlight w:val="none"/>
                      <w:vertAlign w:val="superscript"/>
                    </w:rPr>
                    <w:t>3</w:t>
                  </w:r>
                </w:p>
              </w:tc>
              <w:tc>
                <w:tcPr>
                  <w:tcW w:w="973" w:type="dxa"/>
                  <w:noWrap w:val="0"/>
                  <w:vAlign w:val="center"/>
                </w:tcPr>
                <w:p w14:paraId="5DD4EBD5">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5823C14">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4F747585">
                  <w:pPr>
                    <w:pStyle w:val="25"/>
                    <w:rPr>
                      <w:color w:val="000000"/>
                      <w:highlight w:val="none"/>
                    </w:rPr>
                  </w:pPr>
                  <w:r>
                    <w:rPr>
                      <w:color w:val="000000"/>
                      <w:highlight w:val="none"/>
                    </w:rPr>
                    <w:t>个</w:t>
                  </w:r>
                </w:p>
              </w:tc>
              <w:tc>
                <w:tcPr>
                  <w:tcW w:w="1118" w:type="dxa"/>
                  <w:tcBorders>
                    <w:left w:val="single" w:color="auto" w:sz="4" w:space="0"/>
                  </w:tcBorders>
                  <w:noWrap w:val="0"/>
                  <w:vAlign w:val="center"/>
                </w:tcPr>
                <w:p w14:paraId="79C34C29">
                  <w:pPr>
                    <w:pStyle w:val="25"/>
                    <w:rPr>
                      <w:color w:val="000000"/>
                      <w:highlight w:val="none"/>
                    </w:rPr>
                  </w:pPr>
                  <w:r>
                    <w:rPr>
                      <w:color w:val="000000"/>
                      <w:highlight w:val="none"/>
                    </w:rPr>
                    <w:t>4</w:t>
                  </w:r>
                </w:p>
              </w:tc>
            </w:tr>
            <w:tr w14:paraId="35E97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55E6EE6C">
                  <w:pPr>
                    <w:pStyle w:val="25"/>
                    <w:rPr>
                      <w:color w:val="000000"/>
                      <w:highlight w:val="none"/>
                    </w:rPr>
                  </w:pPr>
                  <w:r>
                    <w:rPr>
                      <w:color w:val="000000"/>
                      <w:highlight w:val="none"/>
                    </w:rPr>
                    <w:t>13</w:t>
                  </w:r>
                </w:p>
              </w:tc>
              <w:tc>
                <w:tcPr>
                  <w:tcW w:w="1735" w:type="dxa"/>
                  <w:gridSpan w:val="2"/>
                  <w:noWrap w:val="0"/>
                  <w:vAlign w:val="center"/>
                </w:tcPr>
                <w:p w14:paraId="177967B9">
                  <w:pPr>
                    <w:pStyle w:val="25"/>
                    <w:rPr>
                      <w:color w:val="000000"/>
                      <w:highlight w:val="none"/>
                    </w:rPr>
                  </w:pPr>
                  <w:r>
                    <w:rPr>
                      <w:color w:val="000000"/>
                      <w:highlight w:val="none"/>
                    </w:rPr>
                    <w:t>套装水罐</w:t>
                  </w:r>
                </w:p>
              </w:tc>
              <w:tc>
                <w:tcPr>
                  <w:tcW w:w="1861" w:type="dxa"/>
                  <w:noWrap w:val="0"/>
                  <w:vAlign w:val="center"/>
                </w:tcPr>
                <w:p w14:paraId="58015A26">
                  <w:pPr>
                    <w:pStyle w:val="25"/>
                    <w:rPr>
                      <w:color w:val="000000"/>
                      <w:highlight w:val="none"/>
                    </w:rPr>
                  </w:pPr>
                  <w:r>
                    <w:rPr>
                      <w:color w:val="000000"/>
                      <w:highlight w:val="none"/>
                    </w:rPr>
                    <w:t>60m</w:t>
                  </w:r>
                  <w:r>
                    <w:rPr>
                      <w:color w:val="000000"/>
                      <w:highlight w:val="none"/>
                      <w:vertAlign w:val="superscript"/>
                    </w:rPr>
                    <w:t>3</w:t>
                  </w:r>
                </w:p>
              </w:tc>
              <w:tc>
                <w:tcPr>
                  <w:tcW w:w="973" w:type="dxa"/>
                  <w:noWrap w:val="0"/>
                  <w:vAlign w:val="center"/>
                </w:tcPr>
                <w:p w14:paraId="7FB9C511">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4DC186F9">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17B89EFF">
                  <w:pPr>
                    <w:pStyle w:val="25"/>
                    <w:rPr>
                      <w:color w:val="000000"/>
                      <w:highlight w:val="none"/>
                    </w:rPr>
                  </w:pPr>
                  <w:r>
                    <w:rPr>
                      <w:color w:val="000000"/>
                      <w:highlight w:val="none"/>
                    </w:rPr>
                    <w:t>个</w:t>
                  </w:r>
                </w:p>
              </w:tc>
              <w:tc>
                <w:tcPr>
                  <w:tcW w:w="1118" w:type="dxa"/>
                  <w:tcBorders>
                    <w:left w:val="single" w:color="auto" w:sz="4" w:space="0"/>
                  </w:tcBorders>
                  <w:noWrap w:val="0"/>
                  <w:vAlign w:val="center"/>
                </w:tcPr>
                <w:p w14:paraId="1DE48845">
                  <w:pPr>
                    <w:pStyle w:val="25"/>
                    <w:rPr>
                      <w:color w:val="000000"/>
                      <w:highlight w:val="none"/>
                    </w:rPr>
                  </w:pPr>
                  <w:r>
                    <w:rPr>
                      <w:color w:val="000000"/>
                      <w:highlight w:val="none"/>
                    </w:rPr>
                    <w:t>1</w:t>
                  </w:r>
                </w:p>
              </w:tc>
            </w:tr>
            <w:tr w14:paraId="51686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114059B4">
                  <w:pPr>
                    <w:pStyle w:val="25"/>
                    <w:rPr>
                      <w:color w:val="000000"/>
                      <w:highlight w:val="none"/>
                    </w:rPr>
                  </w:pPr>
                  <w:r>
                    <w:rPr>
                      <w:color w:val="000000"/>
                      <w:highlight w:val="none"/>
                    </w:rPr>
                    <w:t>14</w:t>
                  </w:r>
                </w:p>
              </w:tc>
              <w:tc>
                <w:tcPr>
                  <w:tcW w:w="1735" w:type="dxa"/>
                  <w:gridSpan w:val="2"/>
                  <w:noWrap w:val="0"/>
                  <w:vAlign w:val="center"/>
                </w:tcPr>
                <w:p w14:paraId="7EF53A59">
                  <w:pPr>
                    <w:pStyle w:val="25"/>
                    <w:rPr>
                      <w:color w:val="000000"/>
                      <w:highlight w:val="none"/>
                    </w:rPr>
                  </w:pPr>
                  <w:r>
                    <w:rPr>
                      <w:color w:val="000000"/>
                      <w:highlight w:val="none"/>
                    </w:rPr>
                    <w:t>油水罐</w:t>
                  </w:r>
                </w:p>
              </w:tc>
              <w:tc>
                <w:tcPr>
                  <w:tcW w:w="1861" w:type="dxa"/>
                  <w:noWrap w:val="0"/>
                  <w:vAlign w:val="center"/>
                </w:tcPr>
                <w:p w14:paraId="447582CC">
                  <w:pPr>
                    <w:pStyle w:val="25"/>
                    <w:rPr>
                      <w:color w:val="000000"/>
                      <w:highlight w:val="none"/>
                    </w:rPr>
                  </w:pPr>
                  <w:r>
                    <w:rPr>
                      <w:color w:val="000000"/>
                      <w:highlight w:val="none"/>
                    </w:rPr>
                    <w:t>40m</w:t>
                  </w:r>
                  <w:r>
                    <w:rPr>
                      <w:color w:val="000000"/>
                      <w:highlight w:val="none"/>
                      <w:vertAlign w:val="superscript"/>
                    </w:rPr>
                    <w:t>3</w:t>
                  </w:r>
                </w:p>
              </w:tc>
              <w:tc>
                <w:tcPr>
                  <w:tcW w:w="973" w:type="dxa"/>
                  <w:noWrap w:val="0"/>
                  <w:vAlign w:val="center"/>
                </w:tcPr>
                <w:p w14:paraId="5B193654">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4E091577">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top"/>
                </w:tcPr>
                <w:p w14:paraId="7239D67B">
                  <w:pPr>
                    <w:pStyle w:val="25"/>
                    <w:rPr>
                      <w:color w:val="000000"/>
                      <w:highlight w:val="none"/>
                    </w:rPr>
                  </w:pPr>
                  <w:r>
                    <w:rPr>
                      <w:color w:val="000000"/>
                      <w:highlight w:val="none"/>
                    </w:rPr>
                    <w:t>个</w:t>
                  </w:r>
                </w:p>
              </w:tc>
              <w:tc>
                <w:tcPr>
                  <w:tcW w:w="1118" w:type="dxa"/>
                  <w:tcBorders>
                    <w:left w:val="single" w:color="auto" w:sz="4" w:space="0"/>
                  </w:tcBorders>
                  <w:noWrap w:val="0"/>
                  <w:vAlign w:val="center"/>
                </w:tcPr>
                <w:p w14:paraId="463F0DE7">
                  <w:pPr>
                    <w:pStyle w:val="25"/>
                    <w:rPr>
                      <w:color w:val="000000"/>
                      <w:highlight w:val="none"/>
                    </w:rPr>
                  </w:pPr>
                  <w:r>
                    <w:rPr>
                      <w:color w:val="000000"/>
                      <w:highlight w:val="none"/>
                    </w:rPr>
                    <w:t>3</w:t>
                  </w:r>
                </w:p>
              </w:tc>
            </w:tr>
            <w:tr w14:paraId="299EF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201CB346">
                  <w:pPr>
                    <w:pStyle w:val="25"/>
                    <w:rPr>
                      <w:color w:val="000000"/>
                      <w:highlight w:val="none"/>
                    </w:rPr>
                  </w:pPr>
                  <w:r>
                    <w:rPr>
                      <w:color w:val="000000"/>
                      <w:highlight w:val="none"/>
                    </w:rPr>
                    <w:t>15</w:t>
                  </w:r>
                </w:p>
              </w:tc>
              <w:tc>
                <w:tcPr>
                  <w:tcW w:w="1735" w:type="dxa"/>
                  <w:gridSpan w:val="2"/>
                  <w:noWrap w:val="0"/>
                  <w:vAlign w:val="center"/>
                </w:tcPr>
                <w:p w14:paraId="41FE08FA">
                  <w:pPr>
                    <w:pStyle w:val="25"/>
                    <w:rPr>
                      <w:color w:val="000000"/>
                      <w:highlight w:val="none"/>
                    </w:rPr>
                  </w:pPr>
                  <w:r>
                    <w:rPr>
                      <w:color w:val="000000"/>
                      <w:highlight w:val="none"/>
                    </w:rPr>
                    <w:t>柴油罐</w:t>
                  </w:r>
                </w:p>
              </w:tc>
              <w:tc>
                <w:tcPr>
                  <w:tcW w:w="1861" w:type="dxa"/>
                  <w:noWrap w:val="0"/>
                  <w:vAlign w:val="center"/>
                </w:tcPr>
                <w:p w14:paraId="5FEEB2A5">
                  <w:pPr>
                    <w:pStyle w:val="25"/>
                    <w:rPr>
                      <w:color w:val="000000"/>
                      <w:highlight w:val="none"/>
                    </w:rPr>
                  </w:pPr>
                  <w:r>
                    <w:rPr>
                      <w:color w:val="000000"/>
                      <w:highlight w:val="none"/>
                    </w:rPr>
                    <w:t>20m</w:t>
                  </w:r>
                  <w:r>
                    <w:rPr>
                      <w:color w:val="000000"/>
                      <w:highlight w:val="none"/>
                      <w:vertAlign w:val="superscript"/>
                    </w:rPr>
                    <w:t>3</w:t>
                  </w:r>
                </w:p>
              </w:tc>
              <w:tc>
                <w:tcPr>
                  <w:tcW w:w="973" w:type="dxa"/>
                  <w:noWrap w:val="0"/>
                  <w:vAlign w:val="center"/>
                </w:tcPr>
                <w:p w14:paraId="0461CB35">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22AC84B4">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61793BE2">
                  <w:pPr>
                    <w:pStyle w:val="25"/>
                    <w:rPr>
                      <w:color w:val="000000"/>
                      <w:highlight w:val="none"/>
                    </w:rPr>
                  </w:pPr>
                  <w:r>
                    <w:rPr>
                      <w:color w:val="000000"/>
                      <w:highlight w:val="none"/>
                    </w:rPr>
                    <w:t>/</w:t>
                  </w:r>
                </w:p>
              </w:tc>
              <w:tc>
                <w:tcPr>
                  <w:tcW w:w="1118" w:type="dxa"/>
                  <w:tcBorders>
                    <w:left w:val="single" w:color="auto" w:sz="4" w:space="0"/>
                  </w:tcBorders>
                  <w:noWrap w:val="0"/>
                  <w:vAlign w:val="center"/>
                </w:tcPr>
                <w:p w14:paraId="5AC45EF4">
                  <w:pPr>
                    <w:pStyle w:val="25"/>
                    <w:rPr>
                      <w:color w:val="000000"/>
                      <w:highlight w:val="none"/>
                    </w:rPr>
                  </w:pPr>
                  <w:r>
                    <w:rPr>
                      <w:color w:val="000000"/>
                      <w:highlight w:val="none"/>
                    </w:rPr>
                    <w:t>1</w:t>
                  </w:r>
                </w:p>
              </w:tc>
            </w:tr>
            <w:tr w14:paraId="443E1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57D6CAEB">
                  <w:pPr>
                    <w:pStyle w:val="25"/>
                    <w:rPr>
                      <w:color w:val="000000"/>
                      <w:highlight w:val="none"/>
                    </w:rPr>
                  </w:pPr>
                  <w:r>
                    <w:rPr>
                      <w:color w:val="000000"/>
                      <w:highlight w:val="none"/>
                    </w:rPr>
                    <w:t>16</w:t>
                  </w:r>
                </w:p>
              </w:tc>
              <w:tc>
                <w:tcPr>
                  <w:tcW w:w="1735" w:type="dxa"/>
                  <w:gridSpan w:val="2"/>
                  <w:noWrap w:val="0"/>
                  <w:vAlign w:val="center"/>
                </w:tcPr>
                <w:p w14:paraId="14811678">
                  <w:pPr>
                    <w:pStyle w:val="25"/>
                    <w:rPr>
                      <w:color w:val="000000"/>
                      <w:highlight w:val="none"/>
                    </w:rPr>
                  </w:pPr>
                  <w:r>
                    <w:rPr>
                      <w:color w:val="000000"/>
                      <w:highlight w:val="none"/>
                    </w:rPr>
                    <w:t>岩屑储罐</w:t>
                  </w:r>
                </w:p>
              </w:tc>
              <w:tc>
                <w:tcPr>
                  <w:tcW w:w="1861" w:type="dxa"/>
                  <w:noWrap w:val="0"/>
                  <w:vAlign w:val="center"/>
                </w:tcPr>
                <w:p w14:paraId="517FB8E5">
                  <w:pPr>
                    <w:pStyle w:val="25"/>
                    <w:rPr>
                      <w:color w:val="000000"/>
                      <w:highlight w:val="none"/>
                    </w:rPr>
                  </w:pPr>
                  <w:r>
                    <w:rPr>
                      <w:color w:val="000000"/>
                      <w:highlight w:val="none"/>
                    </w:rPr>
                    <w:t>50m</w:t>
                  </w:r>
                  <w:r>
                    <w:rPr>
                      <w:color w:val="000000"/>
                      <w:highlight w:val="none"/>
                      <w:vertAlign w:val="superscript"/>
                    </w:rPr>
                    <w:t>3</w:t>
                  </w:r>
                </w:p>
              </w:tc>
              <w:tc>
                <w:tcPr>
                  <w:tcW w:w="973" w:type="dxa"/>
                  <w:noWrap w:val="0"/>
                  <w:vAlign w:val="center"/>
                </w:tcPr>
                <w:p w14:paraId="5B17E88F">
                  <w:pPr>
                    <w:pStyle w:val="25"/>
                    <w:rPr>
                      <w:color w:val="000000"/>
                      <w:highlight w:val="none"/>
                    </w:rPr>
                  </w:pPr>
                </w:p>
              </w:tc>
              <w:tc>
                <w:tcPr>
                  <w:tcW w:w="885" w:type="dxa"/>
                  <w:tcBorders>
                    <w:right w:val="single" w:color="auto" w:sz="4" w:space="0"/>
                  </w:tcBorders>
                  <w:noWrap w:val="0"/>
                  <w:vAlign w:val="center"/>
                </w:tcPr>
                <w:p w14:paraId="41F11D91">
                  <w:pPr>
                    <w:pStyle w:val="25"/>
                    <w:rPr>
                      <w:color w:val="000000"/>
                      <w:highlight w:val="none"/>
                    </w:rPr>
                  </w:pPr>
                </w:p>
              </w:tc>
              <w:tc>
                <w:tcPr>
                  <w:tcW w:w="912" w:type="dxa"/>
                  <w:tcBorders>
                    <w:left w:val="single" w:color="auto" w:sz="4" w:space="0"/>
                    <w:right w:val="single" w:color="auto" w:sz="4" w:space="0"/>
                  </w:tcBorders>
                  <w:noWrap w:val="0"/>
                  <w:vAlign w:val="center"/>
                </w:tcPr>
                <w:p w14:paraId="4C51841F">
                  <w:pPr>
                    <w:pStyle w:val="25"/>
                    <w:rPr>
                      <w:color w:val="000000"/>
                      <w:highlight w:val="none"/>
                    </w:rPr>
                  </w:pPr>
                </w:p>
              </w:tc>
              <w:tc>
                <w:tcPr>
                  <w:tcW w:w="1118" w:type="dxa"/>
                  <w:tcBorders>
                    <w:left w:val="single" w:color="auto" w:sz="4" w:space="0"/>
                  </w:tcBorders>
                  <w:noWrap w:val="0"/>
                  <w:vAlign w:val="center"/>
                </w:tcPr>
                <w:p w14:paraId="357CE6FE">
                  <w:pPr>
                    <w:pStyle w:val="25"/>
                    <w:rPr>
                      <w:color w:val="000000"/>
                      <w:highlight w:val="none"/>
                    </w:rPr>
                  </w:pPr>
                  <w:r>
                    <w:rPr>
                      <w:color w:val="000000"/>
                      <w:highlight w:val="none"/>
                    </w:rPr>
                    <w:t>2</w:t>
                  </w:r>
                </w:p>
              </w:tc>
            </w:tr>
            <w:tr w14:paraId="59158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noWrap w:val="0"/>
                  <w:vAlign w:val="center"/>
                </w:tcPr>
                <w:p w14:paraId="06FF9440">
                  <w:pPr>
                    <w:pStyle w:val="25"/>
                    <w:rPr>
                      <w:color w:val="000000"/>
                      <w:highlight w:val="none"/>
                    </w:rPr>
                  </w:pPr>
                  <w:r>
                    <w:rPr>
                      <w:color w:val="000000"/>
                      <w:highlight w:val="none"/>
                    </w:rPr>
                    <w:t>17</w:t>
                  </w:r>
                </w:p>
              </w:tc>
              <w:tc>
                <w:tcPr>
                  <w:tcW w:w="1735" w:type="dxa"/>
                  <w:gridSpan w:val="2"/>
                  <w:noWrap w:val="0"/>
                  <w:vAlign w:val="center"/>
                </w:tcPr>
                <w:p w14:paraId="2EAF06F3">
                  <w:pPr>
                    <w:pStyle w:val="25"/>
                    <w:rPr>
                      <w:color w:val="000000"/>
                      <w:highlight w:val="none"/>
                    </w:rPr>
                  </w:pPr>
                  <w:r>
                    <w:rPr>
                      <w:color w:val="000000"/>
                      <w:highlight w:val="none"/>
                    </w:rPr>
                    <w:t>硫化氢监测仪</w:t>
                  </w:r>
                </w:p>
              </w:tc>
              <w:tc>
                <w:tcPr>
                  <w:tcW w:w="1861" w:type="dxa"/>
                  <w:noWrap w:val="0"/>
                  <w:vAlign w:val="center"/>
                </w:tcPr>
                <w:p w14:paraId="15963E57">
                  <w:pPr>
                    <w:pStyle w:val="25"/>
                    <w:rPr>
                      <w:color w:val="000000"/>
                      <w:highlight w:val="none"/>
                    </w:rPr>
                  </w:pPr>
                  <w:r>
                    <w:rPr>
                      <w:color w:val="000000"/>
                      <w:highlight w:val="none"/>
                    </w:rPr>
                    <w:t>便携式</w:t>
                  </w:r>
                </w:p>
              </w:tc>
              <w:tc>
                <w:tcPr>
                  <w:tcW w:w="973" w:type="dxa"/>
                  <w:noWrap w:val="0"/>
                  <w:vAlign w:val="center"/>
                </w:tcPr>
                <w:p w14:paraId="448D2096">
                  <w:pPr>
                    <w:pStyle w:val="25"/>
                    <w:rPr>
                      <w:color w:val="000000"/>
                      <w:highlight w:val="none"/>
                    </w:rPr>
                  </w:pPr>
                  <w:r>
                    <w:rPr>
                      <w:color w:val="000000"/>
                      <w:highlight w:val="none"/>
                    </w:rPr>
                    <w:t>/</w:t>
                  </w:r>
                </w:p>
              </w:tc>
              <w:tc>
                <w:tcPr>
                  <w:tcW w:w="885" w:type="dxa"/>
                  <w:tcBorders>
                    <w:right w:val="single" w:color="auto" w:sz="4" w:space="0"/>
                  </w:tcBorders>
                  <w:noWrap w:val="0"/>
                  <w:vAlign w:val="center"/>
                </w:tcPr>
                <w:p w14:paraId="3D02C7DD">
                  <w:pPr>
                    <w:pStyle w:val="25"/>
                    <w:rPr>
                      <w:color w:val="000000"/>
                      <w:highlight w:val="none"/>
                    </w:rPr>
                  </w:pPr>
                  <w:r>
                    <w:rPr>
                      <w:color w:val="000000"/>
                      <w:highlight w:val="none"/>
                    </w:rPr>
                    <w:t>/</w:t>
                  </w:r>
                </w:p>
              </w:tc>
              <w:tc>
                <w:tcPr>
                  <w:tcW w:w="912" w:type="dxa"/>
                  <w:tcBorders>
                    <w:left w:val="single" w:color="auto" w:sz="4" w:space="0"/>
                    <w:right w:val="single" w:color="auto" w:sz="4" w:space="0"/>
                  </w:tcBorders>
                  <w:noWrap w:val="0"/>
                  <w:vAlign w:val="center"/>
                </w:tcPr>
                <w:p w14:paraId="42EFE2A8">
                  <w:pPr>
                    <w:pStyle w:val="25"/>
                    <w:rPr>
                      <w:color w:val="000000"/>
                      <w:highlight w:val="none"/>
                    </w:rPr>
                  </w:pPr>
                  <w:r>
                    <w:rPr>
                      <w:color w:val="000000"/>
                      <w:highlight w:val="none"/>
                    </w:rPr>
                    <w:t>/</w:t>
                  </w:r>
                </w:p>
              </w:tc>
              <w:tc>
                <w:tcPr>
                  <w:tcW w:w="1118" w:type="dxa"/>
                  <w:tcBorders>
                    <w:left w:val="single" w:color="auto" w:sz="4" w:space="0"/>
                  </w:tcBorders>
                  <w:noWrap w:val="0"/>
                  <w:vAlign w:val="center"/>
                </w:tcPr>
                <w:p w14:paraId="5B368E1E">
                  <w:pPr>
                    <w:pStyle w:val="25"/>
                    <w:rPr>
                      <w:color w:val="000000"/>
                      <w:highlight w:val="none"/>
                    </w:rPr>
                  </w:pPr>
                  <w:r>
                    <w:rPr>
                      <w:color w:val="000000"/>
                      <w:highlight w:val="none"/>
                    </w:rPr>
                    <w:t>3</w:t>
                  </w:r>
                </w:p>
              </w:tc>
            </w:tr>
          </w:tbl>
          <w:p w14:paraId="540C10AC">
            <w:pPr>
              <w:keepNext/>
              <w:keepLines/>
              <w:spacing w:line="360" w:lineRule="auto"/>
              <w:jc w:val="left"/>
              <w:outlineLvl w:val="2"/>
              <w:rPr>
                <w:b/>
                <w:bCs/>
                <w:color w:val="000000"/>
                <w:highlight w:val="none"/>
              </w:rPr>
            </w:pPr>
            <w:r>
              <w:rPr>
                <w:b/>
                <w:bCs/>
                <w:color w:val="000000"/>
                <w:highlight w:val="none"/>
              </w:rPr>
              <w:t>5.4 钻井液体系</w:t>
            </w:r>
          </w:p>
          <w:p w14:paraId="4171B272">
            <w:pPr>
              <w:pStyle w:val="24"/>
              <w:rPr>
                <w:rFonts w:ascii="Times New Roman" w:hAnsi="Times New Roman"/>
                <w:color w:val="000000"/>
                <w:sz w:val="24"/>
                <w:szCs w:val="24"/>
                <w:highlight w:val="none"/>
              </w:rPr>
            </w:pPr>
            <w:r>
              <w:rPr>
                <w:rFonts w:ascii="Times New Roman" w:hAnsi="Times New Roman"/>
                <w:color w:val="000000"/>
                <w:sz w:val="24"/>
                <w:szCs w:val="24"/>
                <w:highlight w:val="none"/>
              </w:rPr>
              <w:t>根据钻井工程设计，莫173井、莫174H井一开、二开使用水基钻井液，三开使用油基钻井液，本项目钻井液设计及用量详见表2-8。</w:t>
            </w:r>
          </w:p>
          <w:p w14:paraId="4B9F6EEC">
            <w:pPr>
              <w:pStyle w:val="19"/>
              <w:rPr>
                <w:color w:val="000000"/>
                <w:highlight w:val="none"/>
              </w:rPr>
            </w:pPr>
            <w:r>
              <w:rPr>
                <w:color w:val="000000"/>
                <w:highlight w:val="none"/>
              </w:rPr>
              <w:t>表2-8  钻井液体系及用量一览表    （单位：m</w:t>
            </w:r>
            <w:r>
              <w:rPr>
                <w:color w:val="000000"/>
                <w:highlight w:val="none"/>
                <w:vertAlign w:val="superscript"/>
              </w:rPr>
              <w:t>3</w:t>
            </w:r>
            <w:r>
              <w:rPr>
                <w:color w:val="000000"/>
                <w:highlight w:val="none"/>
              </w:rPr>
              <w:t>）</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93"/>
              <w:gridCol w:w="878"/>
              <w:gridCol w:w="866"/>
              <w:gridCol w:w="1633"/>
              <w:gridCol w:w="3004"/>
            </w:tblGrid>
            <w:tr w14:paraId="54F0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pct"/>
                  <w:noWrap w:val="0"/>
                  <w:vAlign w:val="center"/>
                </w:tcPr>
                <w:p w14:paraId="6CAE71CA">
                  <w:pPr>
                    <w:pStyle w:val="12"/>
                    <w:jc w:val="center"/>
                    <w:rPr>
                      <w:color w:val="000000"/>
                      <w:sz w:val="21"/>
                      <w:szCs w:val="21"/>
                      <w:highlight w:val="none"/>
                    </w:rPr>
                  </w:pPr>
                  <w:r>
                    <w:rPr>
                      <w:color w:val="000000"/>
                      <w:sz w:val="21"/>
                      <w:szCs w:val="21"/>
                      <w:highlight w:val="none"/>
                    </w:rPr>
                    <w:t>井号</w:t>
                  </w:r>
                </w:p>
              </w:tc>
              <w:tc>
                <w:tcPr>
                  <w:tcW w:w="488" w:type="pct"/>
                  <w:noWrap w:val="0"/>
                  <w:vAlign w:val="center"/>
                </w:tcPr>
                <w:p w14:paraId="5166B781">
                  <w:pPr>
                    <w:pStyle w:val="12"/>
                    <w:jc w:val="center"/>
                    <w:rPr>
                      <w:color w:val="000000"/>
                      <w:sz w:val="21"/>
                      <w:szCs w:val="21"/>
                      <w:highlight w:val="none"/>
                    </w:rPr>
                  </w:pPr>
                  <w:r>
                    <w:rPr>
                      <w:color w:val="000000"/>
                      <w:sz w:val="21"/>
                      <w:szCs w:val="21"/>
                      <w:highlight w:val="none"/>
                    </w:rPr>
                    <w:t>一开</w:t>
                  </w:r>
                </w:p>
              </w:tc>
              <w:tc>
                <w:tcPr>
                  <w:tcW w:w="540" w:type="pct"/>
                  <w:noWrap w:val="0"/>
                  <w:vAlign w:val="center"/>
                </w:tcPr>
                <w:p w14:paraId="392F9A23">
                  <w:pPr>
                    <w:pStyle w:val="12"/>
                    <w:jc w:val="center"/>
                    <w:rPr>
                      <w:color w:val="000000"/>
                      <w:sz w:val="21"/>
                      <w:szCs w:val="21"/>
                      <w:highlight w:val="none"/>
                    </w:rPr>
                  </w:pPr>
                  <w:r>
                    <w:rPr>
                      <w:color w:val="000000"/>
                      <w:sz w:val="21"/>
                      <w:szCs w:val="21"/>
                      <w:highlight w:val="none"/>
                    </w:rPr>
                    <w:t>二开</w:t>
                  </w:r>
                </w:p>
              </w:tc>
              <w:tc>
                <w:tcPr>
                  <w:tcW w:w="533" w:type="pct"/>
                  <w:noWrap w:val="0"/>
                  <w:vAlign w:val="center"/>
                </w:tcPr>
                <w:p w14:paraId="49C31563">
                  <w:pPr>
                    <w:pStyle w:val="12"/>
                    <w:jc w:val="center"/>
                    <w:rPr>
                      <w:color w:val="000000"/>
                      <w:sz w:val="21"/>
                      <w:szCs w:val="21"/>
                      <w:highlight w:val="none"/>
                    </w:rPr>
                  </w:pPr>
                  <w:r>
                    <w:rPr>
                      <w:color w:val="000000"/>
                      <w:sz w:val="21"/>
                      <w:szCs w:val="21"/>
                      <w:highlight w:val="none"/>
                    </w:rPr>
                    <w:t>三开</w:t>
                  </w:r>
                </w:p>
              </w:tc>
              <w:tc>
                <w:tcPr>
                  <w:tcW w:w="1005" w:type="pct"/>
                  <w:noWrap w:val="0"/>
                  <w:vAlign w:val="center"/>
                </w:tcPr>
                <w:p w14:paraId="48D2DB5A">
                  <w:pPr>
                    <w:pStyle w:val="12"/>
                    <w:jc w:val="center"/>
                    <w:rPr>
                      <w:color w:val="000000"/>
                      <w:sz w:val="21"/>
                      <w:szCs w:val="21"/>
                      <w:highlight w:val="none"/>
                    </w:rPr>
                  </w:pPr>
                  <w:r>
                    <w:rPr>
                      <w:color w:val="000000"/>
                      <w:sz w:val="21"/>
                      <w:szCs w:val="21"/>
                      <w:highlight w:val="none"/>
                    </w:rPr>
                    <w:t>钻井液使用总量</w:t>
                  </w:r>
                </w:p>
              </w:tc>
              <w:tc>
                <w:tcPr>
                  <w:tcW w:w="1848" w:type="pct"/>
                  <w:noWrap w:val="0"/>
                  <w:vAlign w:val="center"/>
                </w:tcPr>
                <w:p w14:paraId="15262FF6">
                  <w:pPr>
                    <w:pStyle w:val="12"/>
                    <w:jc w:val="center"/>
                    <w:rPr>
                      <w:color w:val="000000"/>
                      <w:sz w:val="21"/>
                      <w:szCs w:val="21"/>
                      <w:highlight w:val="none"/>
                    </w:rPr>
                  </w:pPr>
                  <w:r>
                    <w:rPr>
                      <w:color w:val="000000"/>
                      <w:sz w:val="21"/>
                      <w:szCs w:val="21"/>
                      <w:highlight w:val="none"/>
                    </w:rPr>
                    <w:t>钻井液类型</w:t>
                  </w:r>
                </w:p>
              </w:tc>
            </w:tr>
            <w:tr w14:paraId="258D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4" w:type="pct"/>
                  <w:noWrap w:val="0"/>
                  <w:vAlign w:val="center"/>
                </w:tcPr>
                <w:p w14:paraId="0FEE60B5">
                  <w:pPr>
                    <w:pStyle w:val="12"/>
                    <w:jc w:val="center"/>
                    <w:rPr>
                      <w:color w:val="000000"/>
                      <w:sz w:val="21"/>
                      <w:szCs w:val="21"/>
                      <w:highlight w:val="none"/>
                    </w:rPr>
                  </w:pPr>
                  <w:r>
                    <w:rPr>
                      <w:color w:val="000000"/>
                      <w:sz w:val="21"/>
                      <w:szCs w:val="21"/>
                      <w:highlight w:val="none"/>
                    </w:rPr>
                    <w:t>莫173井</w:t>
                  </w:r>
                </w:p>
              </w:tc>
              <w:tc>
                <w:tcPr>
                  <w:tcW w:w="488" w:type="pct"/>
                  <w:noWrap w:val="0"/>
                  <w:vAlign w:val="center"/>
                </w:tcPr>
                <w:p w14:paraId="571F0428">
                  <w:pPr>
                    <w:pStyle w:val="12"/>
                    <w:jc w:val="center"/>
                    <w:rPr>
                      <w:color w:val="000000"/>
                      <w:sz w:val="21"/>
                      <w:szCs w:val="21"/>
                      <w:highlight w:val="none"/>
                    </w:rPr>
                  </w:pPr>
                  <w:r>
                    <w:rPr>
                      <w:color w:val="000000"/>
                      <w:sz w:val="21"/>
                      <w:szCs w:val="21"/>
                      <w:highlight w:val="none"/>
                    </w:rPr>
                    <w:t>227</w:t>
                  </w:r>
                </w:p>
              </w:tc>
              <w:tc>
                <w:tcPr>
                  <w:tcW w:w="540" w:type="pct"/>
                  <w:noWrap w:val="0"/>
                  <w:vAlign w:val="center"/>
                </w:tcPr>
                <w:p w14:paraId="441325B6">
                  <w:pPr>
                    <w:pStyle w:val="12"/>
                    <w:jc w:val="center"/>
                    <w:rPr>
                      <w:color w:val="000000"/>
                      <w:sz w:val="21"/>
                      <w:szCs w:val="21"/>
                      <w:highlight w:val="none"/>
                    </w:rPr>
                  </w:pPr>
                  <w:r>
                    <w:rPr>
                      <w:color w:val="000000"/>
                      <w:sz w:val="21"/>
                      <w:szCs w:val="21"/>
                      <w:highlight w:val="none"/>
                    </w:rPr>
                    <w:t>743</w:t>
                  </w:r>
                </w:p>
              </w:tc>
              <w:tc>
                <w:tcPr>
                  <w:tcW w:w="533" w:type="pct"/>
                  <w:noWrap w:val="0"/>
                  <w:vAlign w:val="center"/>
                </w:tcPr>
                <w:p w14:paraId="3E3200D6">
                  <w:pPr>
                    <w:pStyle w:val="12"/>
                    <w:jc w:val="center"/>
                    <w:rPr>
                      <w:color w:val="000000"/>
                      <w:sz w:val="21"/>
                      <w:szCs w:val="21"/>
                      <w:highlight w:val="none"/>
                    </w:rPr>
                  </w:pPr>
                  <w:r>
                    <w:rPr>
                      <w:color w:val="000000"/>
                      <w:sz w:val="21"/>
                      <w:szCs w:val="21"/>
                      <w:highlight w:val="none"/>
                    </w:rPr>
                    <w:t>385</w:t>
                  </w:r>
                </w:p>
              </w:tc>
              <w:tc>
                <w:tcPr>
                  <w:tcW w:w="1005" w:type="pct"/>
                  <w:noWrap w:val="0"/>
                  <w:vAlign w:val="center"/>
                </w:tcPr>
                <w:p w14:paraId="516A6154">
                  <w:pPr>
                    <w:pStyle w:val="12"/>
                    <w:jc w:val="center"/>
                    <w:rPr>
                      <w:color w:val="000000"/>
                      <w:sz w:val="21"/>
                      <w:szCs w:val="21"/>
                      <w:highlight w:val="none"/>
                    </w:rPr>
                  </w:pPr>
                  <w:r>
                    <w:rPr>
                      <w:color w:val="000000"/>
                      <w:sz w:val="21"/>
                      <w:szCs w:val="21"/>
                      <w:highlight w:val="none"/>
                    </w:rPr>
                    <w:t>1355</w:t>
                  </w:r>
                </w:p>
              </w:tc>
              <w:tc>
                <w:tcPr>
                  <w:tcW w:w="1848" w:type="pct"/>
                  <w:vMerge w:val="restart"/>
                  <w:noWrap w:val="0"/>
                  <w:vAlign w:val="center"/>
                </w:tcPr>
                <w:p w14:paraId="49529989">
                  <w:pPr>
                    <w:pStyle w:val="12"/>
                    <w:jc w:val="both"/>
                    <w:rPr>
                      <w:color w:val="000000"/>
                      <w:sz w:val="21"/>
                      <w:szCs w:val="21"/>
                      <w:highlight w:val="none"/>
                    </w:rPr>
                  </w:pPr>
                  <w:r>
                    <w:rPr>
                      <w:color w:val="000000"/>
                      <w:sz w:val="21"/>
                      <w:szCs w:val="21"/>
                      <w:highlight w:val="none"/>
                    </w:rPr>
                    <w:t>一开、二开钻井液：坂土-CMC水基钻井液；</w:t>
                  </w:r>
                </w:p>
                <w:p w14:paraId="5C52F1ED">
                  <w:pPr>
                    <w:pStyle w:val="12"/>
                    <w:jc w:val="both"/>
                    <w:rPr>
                      <w:color w:val="000000"/>
                      <w:sz w:val="21"/>
                      <w:szCs w:val="21"/>
                      <w:highlight w:val="none"/>
                    </w:rPr>
                  </w:pPr>
                  <w:r>
                    <w:rPr>
                      <w:color w:val="000000"/>
                      <w:sz w:val="21"/>
                      <w:szCs w:val="21"/>
                      <w:highlight w:val="none"/>
                    </w:rPr>
                    <w:t>三开钻井液：XZ-油基钻井液</w:t>
                  </w:r>
                </w:p>
              </w:tc>
            </w:tr>
            <w:tr w14:paraId="67B4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4" w:type="pct"/>
                  <w:noWrap w:val="0"/>
                  <w:vAlign w:val="center"/>
                </w:tcPr>
                <w:p w14:paraId="38154F8C">
                  <w:pPr>
                    <w:pStyle w:val="12"/>
                    <w:jc w:val="center"/>
                    <w:rPr>
                      <w:color w:val="000000"/>
                      <w:sz w:val="21"/>
                      <w:szCs w:val="21"/>
                      <w:highlight w:val="none"/>
                    </w:rPr>
                  </w:pPr>
                  <w:r>
                    <w:rPr>
                      <w:color w:val="000000"/>
                      <w:sz w:val="21"/>
                      <w:szCs w:val="21"/>
                      <w:highlight w:val="none"/>
                    </w:rPr>
                    <w:t>莫174H井</w:t>
                  </w:r>
                </w:p>
              </w:tc>
              <w:tc>
                <w:tcPr>
                  <w:tcW w:w="488" w:type="pct"/>
                  <w:noWrap w:val="0"/>
                  <w:vAlign w:val="center"/>
                </w:tcPr>
                <w:p w14:paraId="58284BD4">
                  <w:pPr>
                    <w:pStyle w:val="12"/>
                    <w:jc w:val="center"/>
                    <w:rPr>
                      <w:color w:val="000000"/>
                      <w:sz w:val="21"/>
                      <w:szCs w:val="21"/>
                      <w:highlight w:val="none"/>
                    </w:rPr>
                  </w:pPr>
                  <w:r>
                    <w:rPr>
                      <w:color w:val="000000"/>
                      <w:sz w:val="21"/>
                      <w:szCs w:val="21"/>
                      <w:highlight w:val="none"/>
                    </w:rPr>
                    <w:t>227</w:t>
                  </w:r>
                </w:p>
              </w:tc>
              <w:tc>
                <w:tcPr>
                  <w:tcW w:w="540" w:type="pct"/>
                  <w:noWrap w:val="0"/>
                  <w:vAlign w:val="center"/>
                </w:tcPr>
                <w:p w14:paraId="0F6AE285">
                  <w:pPr>
                    <w:pStyle w:val="12"/>
                    <w:jc w:val="center"/>
                    <w:rPr>
                      <w:color w:val="000000"/>
                      <w:sz w:val="21"/>
                      <w:szCs w:val="21"/>
                      <w:highlight w:val="none"/>
                    </w:rPr>
                  </w:pPr>
                  <w:r>
                    <w:rPr>
                      <w:color w:val="000000"/>
                      <w:sz w:val="21"/>
                      <w:szCs w:val="21"/>
                      <w:highlight w:val="none"/>
                    </w:rPr>
                    <w:t>743</w:t>
                  </w:r>
                </w:p>
              </w:tc>
              <w:tc>
                <w:tcPr>
                  <w:tcW w:w="533" w:type="pct"/>
                  <w:noWrap w:val="0"/>
                  <w:vAlign w:val="center"/>
                </w:tcPr>
                <w:p w14:paraId="65F58016">
                  <w:pPr>
                    <w:pStyle w:val="12"/>
                    <w:jc w:val="center"/>
                    <w:rPr>
                      <w:color w:val="000000"/>
                      <w:sz w:val="21"/>
                      <w:szCs w:val="21"/>
                      <w:highlight w:val="none"/>
                    </w:rPr>
                  </w:pPr>
                  <w:r>
                    <w:rPr>
                      <w:color w:val="000000"/>
                      <w:sz w:val="21"/>
                      <w:szCs w:val="21"/>
                      <w:highlight w:val="none"/>
                    </w:rPr>
                    <w:t>303</w:t>
                  </w:r>
                </w:p>
              </w:tc>
              <w:tc>
                <w:tcPr>
                  <w:tcW w:w="1005" w:type="pct"/>
                  <w:noWrap w:val="0"/>
                  <w:vAlign w:val="center"/>
                </w:tcPr>
                <w:p w14:paraId="7946F267">
                  <w:pPr>
                    <w:pStyle w:val="12"/>
                    <w:jc w:val="center"/>
                    <w:rPr>
                      <w:color w:val="000000"/>
                      <w:sz w:val="21"/>
                      <w:szCs w:val="21"/>
                      <w:highlight w:val="none"/>
                    </w:rPr>
                  </w:pPr>
                  <w:r>
                    <w:rPr>
                      <w:color w:val="000000"/>
                      <w:sz w:val="21"/>
                      <w:szCs w:val="21"/>
                      <w:highlight w:val="none"/>
                    </w:rPr>
                    <w:t>1273</w:t>
                  </w:r>
                </w:p>
              </w:tc>
              <w:tc>
                <w:tcPr>
                  <w:tcW w:w="1848" w:type="pct"/>
                  <w:vMerge w:val="continue"/>
                  <w:noWrap w:val="0"/>
                  <w:vAlign w:val="center"/>
                </w:tcPr>
                <w:p w14:paraId="31321039">
                  <w:pPr>
                    <w:pStyle w:val="12"/>
                    <w:jc w:val="both"/>
                    <w:rPr>
                      <w:color w:val="000000"/>
                      <w:sz w:val="21"/>
                      <w:szCs w:val="21"/>
                      <w:highlight w:val="none"/>
                    </w:rPr>
                  </w:pPr>
                </w:p>
              </w:tc>
            </w:tr>
            <w:tr w14:paraId="346E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4" w:type="pct"/>
                  <w:noWrap w:val="0"/>
                  <w:vAlign w:val="center"/>
                </w:tcPr>
                <w:p w14:paraId="081E01AC">
                  <w:pPr>
                    <w:pStyle w:val="12"/>
                    <w:jc w:val="center"/>
                    <w:rPr>
                      <w:color w:val="000000"/>
                      <w:sz w:val="21"/>
                      <w:szCs w:val="21"/>
                      <w:highlight w:val="none"/>
                    </w:rPr>
                  </w:pPr>
                  <w:r>
                    <w:rPr>
                      <w:color w:val="000000"/>
                      <w:sz w:val="21"/>
                      <w:szCs w:val="21"/>
                      <w:highlight w:val="none"/>
                    </w:rPr>
                    <w:t>总计</w:t>
                  </w:r>
                </w:p>
              </w:tc>
              <w:tc>
                <w:tcPr>
                  <w:tcW w:w="1028" w:type="pct"/>
                  <w:gridSpan w:val="2"/>
                  <w:noWrap w:val="0"/>
                  <w:vAlign w:val="center"/>
                </w:tcPr>
                <w:p w14:paraId="02628F5C">
                  <w:pPr>
                    <w:pStyle w:val="12"/>
                    <w:jc w:val="center"/>
                    <w:rPr>
                      <w:color w:val="000000"/>
                      <w:sz w:val="21"/>
                      <w:szCs w:val="21"/>
                      <w:highlight w:val="none"/>
                    </w:rPr>
                  </w:pPr>
                  <w:r>
                    <w:rPr>
                      <w:color w:val="000000"/>
                      <w:sz w:val="21"/>
                      <w:szCs w:val="21"/>
                      <w:highlight w:val="none"/>
                    </w:rPr>
                    <w:t>1940</w:t>
                  </w:r>
                </w:p>
              </w:tc>
              <w:tc>
                <w:tcPr>
                  <w:tcW w:w="533" w:type="pct"/>
                  <w:noWrap w:val="0"/>
                  <w:vAlign w:val="center"/>
                </w:tcPr>
                <w:p w14:paraId="4485C6BA">
                  <w:pPr>
                    <w:pStyle w:val="12"/>
                    <w:jc w:val="center"/>
                    <w:rPr>
                      <w:color w:val="000000"/>
                      <w:sz w:val="21"/>
                      <w:szCs w:val="21"/>
                      <w:highlight w:val="none"/>
                    </w:rPr>
                  </w:pPr>
                  <w:r>
                    <w:rPr>
                      <w:color w:val="000000"/>
                      <w:sz w:val="21"/>
                      <w:szCs w:val="21"/>
                      <w:highlight w:val="none"/>
                    </w:rPr>
                    <w:t>688</w:t>
                  </w:r>
                </w:p>
              </w:tc>
              <w:tc>
                <w:tcPr>
                  <w:tcW w:w="1005" w:type="pct"/>
                  <w:noWrap w:val="0"/>
                  <w:vAlign w:val="center"/>
                </w:tcPr>
                <w:p w14:paraId="478E03B8">
                  <w:pPr>
                    <w:pStyle w:val="12"/>
                    <w:jc w:val="center"/>
                    <w:rPr>
                      <w:color w:val="000000"/>
                      <w:sz w:val="21"/>
                      <w:szCs w:val="21"/>
                      <w:highlight w:val="none"/>
                    </w:rPr>
                  </w:pPr>
                  <w:r>
                    <w:rPr>
                      <w:color w:val="000000"/>
                      <w:sz w:val="21"/>
                      <w:szCs w:val="21"/>
                      <w:highlight w:val="none"/>
                    </w:rPr>
                    <w:t>2628</w:t>
                  </w:r>
                </w:p>
              </w:tc>
              <w:tc>
                <w:tcPr>
                  <w:tcW w:w="1848" w:type="pct"/>
                  <w:vMerge w:val="continue"/>
                  <w:noWrap w:val="0"/>
                  <w:vAlign w:val="center"/>
                </w:tcPr>
                <w:p w14:paraId="74B6D5BA">
                  <w:pPr>
                    <w:pStyle w:val="12"/>
                    <w:jc w:val="both"/>
                    <w:rPr>
                      <w:color w:val="000000"/>
                      <w:sz w:val="21"/>
                      <w:szCs w:val="21"/>
                      <w:highlight w:val="none"/>
                    </w:rPr>
                  </w:pPr>
                </w:p>
              </w:tc>
            </w:tr>
          </w:tbl>
          <w:p w14:paraId="58845A87">
            <w:pPr>
              <w:widowControl/>
              <w:spacing w:line="360" w:lineRule="auto"/>
              <w:ind w:firstLine="480" w:firstLineChars="200"/>
              <w:jc w:val="both"/>
              <w:rPr>
                <w:b/>
                <w:bCs/>
                <w:color w:val="000000"/>
                <w:highlight w:val="none"/>
              </w:rPr>
            </w:pPr>
            <w:r>
              <w:rPr>
                <w:color w:val="000000"/>
                <w:highlight w:val="none"/>
              </w:rPr>
              <w:t>本项目钻井液用量为2628m</w:t>
            </w:r>
            <w:r>
              <w:rPr>
                <w:color w:val="000000"/>
                <w:highlight w:val="none"/>
                <w:vertAlign w:val="superscript"/>
              </w:rPr>
              <w:t>3</w:t>
            </w:r>
            <w:r>
              <w:rPr>
                <w:color w:val="000000"/>
                <w:highlight w:val="none"/>
              </w:rPr>
              <w:t>，其中，水基钻井液1940m</w:t>
            </w:r>
            <w:r>
              <w:rPr>
                <w:color w:val="000000"/>
                <w:highlight w:val="none"/>
                <w:vertAlign w:val="superscript"/>
              </w:rPr>
              <w:t>3</w:t>
            </w:r>
            <w:r>
              <w:rPr>
                <w:color w:val="000000"/>
                <w:highlight w:val="none"/>
              </w:rPr>
              <w:t>，油基钻井液688m</w:t>
            </w:r>
            <w:r>
              <w:rPr>
                <w:color w:val="000000"/>
                <w:highlight w:val="none"/>
                <w:vertAlign w:val="superscript"/>
              </w:rPr>
              <w:t>3</w:t>
            </w:r>
            <w:r>
              <w:rPr>
                <w:color w:val="000000"/>
                <w:highlight w:val="none"/>
              </w:rPr>
              <w:t>。配置好的水基、油基钻井液拉运至井场。</w:t>
            </w:r>
          </w:p>
          <w:p w14:paraId="72BF0406">
            <w:pPr>
              <w:keepNext/>
              <w:keepLines/>
              <w:spacing w:line="360" w:lineRule="auto"/>
              <w:jc w:val="left"/>
              <w:outlineLvl w:val="1"/>
              <w:rPr>
                <w:b/>
                <w:bCs/>
                <w:color w:val="000000"/>
                <w:highlight w:val="none"/>
              </w:rPr>
            </w:pPr>
            <w:r>
              <w:rPr>
                <w:b/>
                <w:bCs/>
                <w:color w:val="000000"/>
                <w:highlight w:val="none"/>
              </w:rPr>
              <w:t>5.5 钻井周期</w:t>
            </w:r>
          </w:p>
          <w:p w14:paraId="2970561A">
            <w:pPr>
              <w:spacing w:line="360" w:lineRule="auto"/>
              <w:ind w:firstLine="480" w:firstLineChars="200"/>
              <w:jc w:val="left"/>
              <w:rPr>
                <w:color w:val="000000"/>
                <w:highlight w:val="none"/>
              </w:rPr>
            </w:pPr>
            <w:r>
              <w:rPr>
                <w:color w:val="000000"/>
                <w:highlight w:val="none"/>
              </w:rPr>
              <w:t>本项目莫173井钻井周期为65天，莫174H井钻井周期为60天，施工人数35人。</w:t>
            </w:r>
          </w:p>
          <w:p w14:paraId="1C0FE967">
            <w:pPr>
              <w:keepNext/>
              <w:keepLines/>
              <w:spacing w:line="360" w:lineRule="auto"/>
              <w:jc w:val="left"/>
              <w:outlineLvl w:val="1"/>
              <w:rPr>
                <w:b/>
                <w:bCs/>
                <w:color w:val="000000"/>
                <w:sz w:val="28"/>
                <w:szCs w:val="28"/>
                <w:highlight w:val="none"/>
              </w:rPr>
            </w:pPr>
            <w:r>
              <w:rPr>
                <w:b/>
                <w:bCs/>
                <w:color w:val="000000"/>
                <w:sz w:val="28"/>
                <w:szCs w:val="28"/>
                <w:highlight w:val="none"/>
              </w:rPr>
              <w:t>6 试油工程</w:t>
            </w:r>
          </w:p>
          <w:p w14:paraId="7C4C7FBC">
            <w:pPr>
              <w:spacing w:line="360" w:lineRule="auto"/>
              <w:ind w:firstLine="480" w:firstLineChars="200"/>
              <w:jc w:val="left"/>
              <w:rPr>
                <w:color w:val="000000"/>
                <w:highlight w:val="none"/>
              </w:rPr>
            </w:pPr>
            <w:r>
              <w:rPr>
                <w:color w:val="000000"/>
                <w:highlight w:val="none"/>
              </w:rPr>
              <w:t>（1）试油设备</w:t>
            </w:r>
          </w:p>
          <w:p w14:paraId="03FDB4A8">
            <w:pPr>
              <w:spacing w:line="360" w:lineRule="auto"/>
              <w:ind w:firstLine="480" w:firstLineChars="200"/>
              <w:jc w:val="left"/>
              <w:rPr>
                <w:color w:val="000000"/>
                <w:highlight w:val="none"/>
              </w:rPr>
            </w:pPr>
            <w:r>
              <w:rPr>
                <w:color w:val="000000"/>
                <w:highlight w:val="none"/>
              </w:rPr>
              <w:t>项目单井试油期主要设备，见表2-9。</w:t>
            </w:r>
          </w:p>
          <w:p w14:paraId="13F46875">
            <w:pPr>
              <w:overflowPunct w:val="0"/>
              <w:rPr>
                <w:b/>
                <w:color w:val="000000"/>
                <w:sz w:val="21"/>
                <w:szCs w:val="21"/>
                <w:highlight w:val="none"/>
              </w:rPr>
            </w:pPr>
            <w:r>
              <w:rPr>
                <w:b/>
                <w:color w:val="000000"/>
                <w:sz w:val="21"/>
                <w:szCs w:val="21"/>
                <w:highlight w:val="none"/>
              </w:rPr>
              <w:t>表2-9  试油期主要设备</w:t>
            </w:r>
          </w:p>
          <w:tbl>
            <w:tblPr>
              <w:tblStyle w:val="16"/>
              <w:tblW w:w="4996"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
              <w:gridCol w:w="710"/>
              <w:gridCol w:w="1738"/>
              <w:gridCol w:w="1915"/>
              <w:gridCol w:w="842"/>
              <w:gridCol w:w="569"/>
              <w:gridCol w:w="2339"/>
            </w:tblGrid>
            <w:tr w14:paraId="3B23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4" w:hRule="atLeast"/>
              </w:trPr>
              <w:tc>
                <w:tcPr>
                  <w:tcW w:w="436" w:type="pct"/>
                  <w:noWrap w:val="0"/>
                  <w:vAlign w:val="center"/>
                </w:tcPr>
                <w:p w14:paraId="7FD203C7">
                  <w:pPr>
                    <w:pStyle w:val="26"/>
                    <w:rPr>
                      <w:rFonts w:ascii="Times New Roman" w:hAnsi="Times New Roman"/>
                      <w:b w:val="0"/>
                      <w:bCs/>
                      <w:color w:val="000000"/>
                      <w:highlight w:val="none"/>
                    </w:rPr>
                  </w:pPr>
                  <w:r>
                    <w:rPr>
                      <w:rFonts w:ascii="Times New Roman" w:hAnsi="Times New Roman"/>
                      <w:b w:val="0"/>
                      <w:bCs/>
                      <w:color w:val="000000"/>
                      <w:highlight w:val="none"/>
                    </w:rPr>
                    <w:t>序号</w:t>
                  </w:r>
                </w:p>
              </w:tc>
              <w:tc>
                <w:tcPr>
                  <w:tcW w:w="1069" w:type="pct"/>
                  <w:noWrap w:val="0"/>
                  <w:vAlign w:val="center"/>
                </w:tcPr>
                <w:p w14:paraId="21D9FD58">
                  <w:pPr>
                    <w:pStyle w:val="26"/>
                    <w:rPr>
                      <w:rFonts w:ascii="Times New Roman" w:hAnsi="Times New Roman"/>
                      <w:b w:val="0"/>
                      <w:bCs/>
                      <w:color w:val="000000"/>
                      <w:highlight w:val="none"/>
                    </w:rPr>
                  </w:pPr>
                  <w:r>
                    <w:rPr>
                      <w:rFonts w:ascii="Times New Roman" w:hAnsi="Times New Roman"/>
                      <w:b w:val="0"/>
                      <w:bCs/>
                      <w:color w:val="000000"/>
                      <w:highlight w:val="none"/>
                    </w:rPr>
                    <w:t>设备名称</w:t>
                  </w:r>
                </w:p>
              </w:tc>
              <w:tc>
                <w:tcPr>
                  <w:tcW w:w="1178" w:type="pct"/>
                  <w:noWrap w:val="0"/>
                  <w:vAlign w:val="center"/>
                </w:tcPr>
                <w:p w14:paraId="13E9DF49">
                  <w:pPr>
                    <w:pStyle w:val="26"/>
                    <w:rPr>
                      <w:rFonts w:ascii="Times New Roman" w:hAnsi="Times New Roman"/>
                      <w:b w:val="0"/>
                      <w:bCs/>
                      <w:color w:val="000000"/>
                      <w:highlight w:val="none"/>
                    </w:rPr>
                  </w:pPr>
                  <w:r>
                    <w:rPr>
                      <w:rFonts w:ascii="Times New Roman" w:hAnsi="Times New Roman"/>
                      <w:b w:val="0"/>
                      <w:bCs/>
                      <w:color w:val="000000"/>
                      <w:highlight w:val="none"/>
                    </w:rPr>
                    <w:t>型号及规格</w:t>
                  </w:r>
                </w:p>
              </w:tc>
              <w:tc>
                <w:tcPr>
                  <w:tcW w:w="518" w:type="pct"/>
                  <w:noWrap w:val="0"/>
                  <w:vAlign w:val="center"/>
                </w:tcPr>
                <w:p w14:paraId="336A96ED">
                  <w:pPr>
                    <w:pStyle w:val="26"/>
                    <w:rPr>
                      <w:rFonts w:ascii="Times New Roman" w:hAnsi="Times New Roman"/>
                      <w:b w:val="0"/>
                      <w:bCs/>
                      <w:color w:val="000000"/>
                      <w:highlight w:val="none"/>
                    </w:rPr>
                  </w:pPr>
                  <w:r>
                    <w:rPr>
                      <w:rFonts w:ascii="Times New Roman" w:hAnsi="Times New Roman"/>
                      <w:b w:val="0"/>
                      <w:bCs/>
                      <w:color w:val="000000"/>
                      <w:highlight w:val="none"/>
                    </w:rPr>
                    <w:t>单位</w:t>
                  </w:r>
                </w:p>
              </w:tc>
              <w:tc>
                <w:tcPr>
                  <w:tcW w:w="350" w:type="pct"/>
                  <w:noWrap w:val="0"/>
                  <w:vAlign w:val="center"/>
                </w:tcPr>
                <w:p w14:paraId="59835C69">
                  <w:pPr>
                    <w:pStyle w:val="26"/>
                    <w:rPr>
                      <w:rFonts w:ascii="Times New Roman" w:hAnsi="Times New Roman"/>
                      <w:b w:val="0"/>
                      <w:bCs/>
                      <w:color w:val="000000"/>
                      <w:highlight w:val="none"/>
                    </w:rPr>
                  </w:pPr>
                  <w:r>
                    <w:rPr>
                      <w:rFonts w:ascii="Times New Roman" w:hAnsi="Times New Roman"/>
                      <w:b w:val="0"/>
                      <w:bCs/>
                      <w:color w:val="000000"/>
                      <w:highlight w:val="none"/>
                    </w:rPr>
                    <w:t>数量</w:t>
                  </w:r>
                </w:p>
              </w:tc>
              <w:tc>
                <w:tcPr>
                  <w:tcW w:w="1439" w:type="pct"/>
                  <w:noWrap w:val="0"/>
                  <w:vAlign w:val="center"/>
                </w:tcPr>
                <w:p w14:paraId="51F9C8A3">
                  <w:pPr>
                    <w:pStyle w:val="26"/>
                    <w:rPr>
                      <w:rFonts w:ascii="Times New Roman" w:hAnsi="Times New Roman"/>
                      <w:b w:val="0"/>
                      <w:bCs/>
                      <w:color w:val="000000"/>
                      <w:highlight w:val="none"/>
                    </w:rPr>
                  </w:pPr>
                  <w:r>
                    <w:rPr>
                      <w:rFonts w:ascii="Times New Roman" w:hAnsi="Times New Roman"/>
                      <w:b w:val="0"/>
                      <w:bCs/>
                      <w:color w:val="000000"/>
                      <w:highlight w:val="none"/>
                    </w:rPr>
                    <w:t>备注</w:t>
                  </w:r>
                </w:p>
              </w:tc>
            </w:tr>
            <w:tr w14:paraId="1525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5" w:hRule="atLeast"/>
              </w:trPr>
              <w:tc>
                <w:tcPr>
                  <w:tcW w:w="436" w:type="pct"/>
                  <w:noWrap w:val="0"/>
                  <w:vAlign w:val="center"/>
                </w:tcPr>
                <w:p w14:paraId="77B75F50">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069" w:type="pct"/>
                  <w:noWrap w:val="0"/>
                  <w:vAlign w:val="center"/>
                </w:tcPr>
                <w:p w14:paraId="299A58C1">
                  <w:pPr>
                    <w:pStyle w:val="26"/>
                    <w:rPr>
                      <w:rFonts w:ascii="Times New Roman" w:hAnsi="Times New Roman"/>
                      <w:b w:val="0"/>
                      <w:bCs/>
                      <w:color w:val="000000"/>
                      <w:highlight w:val="none"/>
                    </w:rPr>
                  </w:pPr>
                  <w:r>
                    <w:rPr>
                      <w:rFonts w:ascii="Times New Roman" w:hAnsi="Times New Roman"/>
                      <w:b w:val="0"/>
                      <w:bCs/>
                      <w:color w:val="000000"/>
                      <w:highlight w:val="none"/>
                    </w:rPr>
                    <w:t>修井机</w:t>
                  </w:r>
                </w:p>
              </w:tc>
              <w:tc>
                <w:tcPr>
                  <w:tcW w:w="1178" w:type="pct"/>
                  <w:noWrap w:val="0"/>
                  <w:vAlign w:val="center"/>
                </w:tcPr>
                <w:p w14:paraId="03323AF7">
                  <w:pPr>
                    <w:pStyle w:val="26"/>
                    <w:rPr>
                      <w:rFonts w:ascii="Times New Roman" w:hAnsi="Times New Roman"/>
                      <w:b w:val="0"/>
                      <w:bCs/>
                      <w:color w:val="000000"/>
                      <w:highlight w:val="none"/>
                    </w:rPr>
                  </w:pPr>
                  <w:r>
                    <w:rPr>
                      <w:rFonts w:ascii="Times New Roman" w:hAnsi="Times New Roman"/>
                      <w:b w:val="0"/>
                      <w:bCs/>
                      <w:color w:val="000000"/>
                      <w:highlight w:val="none"/>
                    </w:rPr>
                    <w:t>60t</w:t>
                  </w:r>
                </w:p>
              </w:tc>
              <w:tc>
                <w:tcPr>
                  <w:tcW w:w="518" w:type="pct"/>
                  <w:noWrap w:val="0"/>
                  <w:vAlign w:val="center"/>
                </w:tcPr>
                <w:p w14:paraId="3926BB60">
                  <w:pPr>
                    <w:pStyle w:val="26"/>
                    <w:rPr>
                      <w:rFonts w:ascii="Times New Roman" w:hAnsi="Times New Roman"/>
                      <w:b w:val="0"/>
                      <w:bCs/>
                      <w:color w:val="000000"/>
                      <w:highlight w:val="none"/>
                    </w:rPr>
                  </w:pPr>
                  <w:r>
                    <w:rPr>
                      <w:rFonts w:ascii="Times New Roman" w:hAnsi="Times New Roman"/>
                      <w:b w:val="0"/>
                      <w:bCs/>
                      <w:color w:val="000000"/>
                      <w:highlight w:val="none"/>
                    </w:rPr>
                    <w:t>部</w:t>
                  </w:r>
                </w:p>
              </w:tc>
              <w:tc>
                <w:tcPr>
                  <w:tcW w:w="350" w:type="pct"/>
                  <w:noWrap w:val="0"/>
                  <w:vAlign w:val="center"/>
                </w:tcPr>
                <w:p w14:paraId="06226D62">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54FA03E5">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44A3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3" w:hRule="atLeast"/>
              </w:trPr>
              <w:tc>
                <w:tcPr>
                  <w:tcW w:w="436" w:type="pct"/>
                  <w:noWrap w:val="0"/>
                  <w:vAlign w:val="center"/>
                </w:tcPr>
                <w:p w14:paraId="6A0813A5">
                  <w:pPr>
                    <w:pStyle w:val="26"/>
                    <w:rPr>
                      <w:rFonts w:ascii="Times New Roman" w:hAnsi="Times New Roman"/>
                      <w:b w:val="0"/>
                      <w:bCs/>
                      <w:color w:val="000000"/>
                      <w:highlight w:val="none"/>
                    </w:rPr>
                  </w:pPr>
                  <w:r>
                    <w:rPr>
                      <w:rFonts w:ascii="Times New Roman" w:hAnsi="Times New Roman"/>
                      <w:b w:val="0"/>
                      <w:bCs/>
                      <w:color w:val="000000"/>
                      <w:highlight w:val="none"/>
                    </w:rPr>
                    <w:t>2</w:t>
                  </w:r>
                </w:p>
              </w:tc>
              <w:tc>
                <w:tcPr>
                  <w:tcW w:w="1069" w:type="pct"/>
                  <w:noWrap w:val="0"/>
                  <w:vAlign w:val="center"/>
                </w:tcPr>
                <w:p w14:paraId="0E940C26">
                  <w:pPr>
                    <w:pStyle w:val="26"/>
                    <w:rPr>
                      <w:rFonts w:ascii="Times New Roman" w:hAnsi="Times New Roman"/>
                      <w:b w:val="0"/>
                      <w:bCs/>
                      <w:color w:val="000000"/>
                      <w:highlight w:val="none"/>
                    </w:rPr>
                  </w:pPr>
                  <w:r>
                    <w:rPr>
                      <w:rFonts w:ascii="Times New Roman" w:hAnsi="Times New Roman"/>
                      <w:b w:val="0"/>
                      <w:bCs/>
                      <w:color w:val="000000"/>
                      <w:highlight w:val="none"/>
                    </w:rPr>
                    <w:t>试油井架</w:t>
                  </w:r>
                </w:p>
              </w:tc>
              <w:tc>
                <w:tcPr>
                  <w:tcW w:w="1178" w:type="pct"/>
                  <w:noWrap w:val="0"/>
                  <w:vAlign w:val="center"/>
                </w:tcPr>
                <w:p w14:paraId="1040DE97">
                  <w:pPr>
                    <w:pStyle w:val="26"/>
                    <w:rPr>
                      <w:rFonts w:ascii="Times New Roman" w:hAnsi="Times New Roman"/>
                      <w:b w:val="0"/>
                      <w:bCs/>
                      <w:color w:val="000000"/>
                      <w:highlight w:val="none"/>
                    </w:rPr>
                  </w:pPr>
                  <w:r>
                    <w:rPr>
                      <w:rFonts w:ascii="Times New Roman" w:hAnsi="Times New Roman"/>
                      <w:b w:val="0"/>
                      <w:bCs/>
                      <w:color w:val="000000"/>
                      <w:highlight w:val="none"/>
                    </w:rPr>
                    <w:t>-</w:t>
                  </w:r>
                </w:p>
              </w:tc>
              <w:tc>
                <w:tcPr>
                  <w:tcW w:w="518" w:type="pct"/>
                  <w:noWrap w:val="0"/>
                  <w:vAlign w:val="center"/>
                </w:tcPr>
                <w:p w14:paraId="729A4320">
                  <w:pPr>
                    <w:pStyle w:val="26"/>
                    <w:rPr>
                      <w:rFonts w:ascii="Times New Roman" w:hAnsi="Times New Roman"/>
                      <w:b w:val="0"/>
                      <w:bCs/>
                      <w:color w:val="000000"/>
                      <w:highlight w:val="none"/>
                    </w:rPr>
                  </w:pPr>
                  <w:r>
                    <w:rPr>
                      <w:rFonts w:ascii="Times New Roman" w:hAnsi="Times New Roman"/>
                      <w:b w:val="0"/>
                      <w:bCs/>
                      <w:color w:val="000000"/>
                      <w:highlight w:val="none"/>
                    </w:rPr>
                    <w:t>部</w:t>
                  </w:r>
                </w:p>
              </w:tc>
              <w:tc>
                <w:tcPr>
                  <w:tcW w:w="350" w:type="pct"/>
                  <w:noWrap w:val="0"/>
                  <w:vAlign w:val="center"/>
                </w:tcPr>
                <w:p w14:paraId="2CE39EE2">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29EAEB05">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4109F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5" w:hRule="atLeast"/>
              </w:trPr>
              <w:tc>
                <w:tcPr>
                  <w:tcW w:w="436" w:type="pct"/>
                  <w:noWrap w:val="0"/>
                  <w:vAlign w:val="center"/>
                </w:tcPr>
                <w:p w14:paraId="44735848">
                  <w:pPr>
                    <w:pStyle w:val="26"/>
                    <w:rPr>
                      <w:rFonts w:ascii="Times New Roman" w:hAnsi="Times New Roman"/>
                      <w:b w:val="0"/>
                      <w:bCs/>
                      <w:color w:val="000000"/>
                      <w:highlight w:val="none"/>
                    </w:rPr>
                  </w:pPr>
                  <w:r>
                    <w:rPr>
                      <w:rFonts w:ascii="Times New Roman" w:hAnsi="Times New Roman"/>
                      <w:b w:val="0"/>
                      <w:bCs/>
                      <w:color w:val="000000"/>
                      <w:highlight w:val="none"/>
                    </w:rPr>
                    <w:t>3</w:t>
                  </w:r>
                </w:p>
              </w:tc>
              <w:tc>
                <w:tcPr>
                  <w:tcW w:w="1069" w:type="pct"/>
                  <w:noWrap w:val="0"/>
                  <w:vAlign w:val="center"/>
                </w:tcPr>
                <w:p w14:paraId="35DBB7F5">
                  <w:pPr>
                    <w:pStyle w:val="26"/>
                    <w:rPr>
                      <w:rFonts w:ascii="Times New Roman" w:hAnsi="Times New Roman"/>
                      <w:b w:val="0"/>
                      <w:bCs/>
                      <w:color w:val="000000"/>
                      <w:highlight w:val="none"/>
                    </w:rPr>
                  </w:pPr>
                  <w:r>
                    <w:rPr>
                      <w:rFonts w:ascii="Times New Roman" w:hAnsi="Times New Roman"/>
                      <w:b w:val="0"/>
                      <w:bCs/>
                      <w:color w:val="000000"/>
                      <w:highlight w:val="none"/>
                    </w:rPr>
                    <w:t>液压钳</w:t>
                  </w:r>
                </w:p>
              </w:tc>
              <w:tc>
                <w:tcPr>
                  <w:tcW w:w="1178" w:type="pct"/>
                  <w:noWrap w:val="0"/>
                  <w:vAlign w:val="center"/>
                </w:tcPr>
                <w:p w14:paraId="1FFB5482">
                  <w:pPr>
                    <w:pStyle w:val="26"/>
                    <w:rPr>
                      <w:rFonts w:ascii="Times New Roman" w:hAnsi="Times New Roman"/>
                      <w:b w:val="0"/>
                      <w:bCs/>
                      <w:color w:val="000000"/>
                      <w:highlight w:val="none"/>
                    </w:rPr>
                  </w:pPr>
                  <w:r>
                    <w:rPr>
                      <w:rFonts w:ascii="Times New Roman" w:hAnsi="Times New Roman"/>
                      <w:b w:val="0"/>
                      <w:bCs/>
                      <w:color w:val="000000"/>
                      <w:highlight w:val="none"/>
                    </w:rPr>
                    <w:t>600型或300型</w:t>
                  </w:r>
                </w:p>
              </w:tc>
              <w:tc>
                <w:tcPr>
                  <w:tcW w:w="518" w:type="pct"/>
                  <w:noWrap w:val="0"/>
                  <w:vAlign w:val="center"/>
                </w:tcPr>
                <w:p w14:paraId="571EB7C1">
                  <w:pPr>
                    <w:pStyle w:val="26"/>
                    <w:rPr>
                      <w:rFonts w:ascii="Times New Roman" w:hAnsi="Times New Roman"/>
                      <w:b w:val="0"/>
                      <w:bCs/>
                      <w:color w:val="000000"/>
                      <w:highlight w:val="none"/>
                    </w:rPr>
                  </w:pPr>
                  <w:r>
                    <w:rPr>
                      <w:rFonts w:ascii="Times New Roman" w:hAnsi="Times New Roman"/>
                      <w:b w:val="0"/>
                      <w:bCs/>
                      <w:color w:val="000000"/>
                      <w:highlight w:val="none"/>
                    </w:rPr>
                    <w:t>台</w:t>
                  </w:r>
                </w:p>
              </w:tc>
              <w:tc>
                <w:tcPr>
                  <w:tcW w:w="350" w:type="pct"/>
                  <w:noWrap w:val="0"/>
                  <w:vAlign w:val="center"/>
                </w:tcPr>
                <w:p w14:paraId="36F40331">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7DEEB6AF">
                  <w:pPr>
                    <w:pStyle w:val="26"/>
                    <w:rPr>
                      <w:rFonts w:ascii="Times New Roman" w:hAnsi="Times New Roman"/>
                      <w:b w:val="0"/>
                      <w:bCs/>
                      <w:color w:val="000000"/>
                      <w:highlight w:val="none"/>
                    </w:rPr>
                  </w:pPr>
                  <w:r>
                    <w:rPr>
                      <w:rFonts w:ascii="Times New Roman" w:hAnsi="Times New Roman"/>
                      <w:b w:val="0"/>
                      <w:bCs/>
                      <w:color w:val="000000"/>
                      <w:highlight w:val="none"/>
                    </w:rPr>
                    <w:t>足够长的配套管线</w:t>
                  </w:r>
                </w:p>
              </w:tc>
            </w:tr>
            <w:tr w14:paraId="16EB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5" w:hRule="atLeast"/>
              </w:trPr>
              <w:tc>
                <w:tcPr>
                  <w:tcW w:w="436" w:type="pct"/>
                  <w:noWrap w:val="0"/>
                  <w:vAlign w:val="center"/>
                </w:tcPr>
                <w:p w14:paraId="4A55D320">
                  <w:pPr>
                    <w:pStyle w:val="26"/>
                    <w:rPr>
                      <w:rFonts w:ascii="Times New Roman" w:hAnsi="Times New Roman"/>
                      <w:b w:val="0"/>
                      <w:bCs/>
                      <w:color w:val="000000"/>
                      <w:highlight w:val="none"/>
                    </w:rPr>
                  </w:pPr>
                  <w:r>
                    <w:rPr>
                      <w:rFonts w:ascii="Times New Roman" w:hAnsi="Times New Roman"/>
                      <w:b w:val="0"/>
                      <w:bCs/>
                      <w:color w:val="000000"/>
                      <w:highlight w:val="none"/>
                    </w:rPr>
                    <w:t>4</w:t>
                  </w:r>
                </w:p>
              </w:tc>
              <w:tc>
                <w:tcPr>
                  <w:tcW w:w="1069" w:type="pct"/>
                  <w:noWrap w:val="0"/>
                  <w:vAlign w:val="center"/>
                </w:tcPr>
                <w:p w14:paraId="13017598">
                  <w:pPr>
                    <w:pStyle w:val="26"/>
                    <w:rPr>
                      <w:rFonts w:ascii="Times New Roman" w:hAnsi="Times New Roman"/>
                      <w:b w:val="0"/>
                      <w:bCs/>
                      <w:color w:val="000000"/>
                      <w:highlight w:val="none"/>
                    </w:rPr>
                  </w:pPr>
                  <w:r>
                    <w:rPr>
                      <w:rFonts w:ascii="Times New Roman" w:hAnsi="Times New Roman"/>
                      <w:b w:val="0"/>
                      <w:bCs/>
                      <w:color w:val="000000"/>
                      <w:highlight w:val="none"/>
                    </w:rPr>
                    <w:t>方罐（采出液临时储罐）</w:t>
                  </w:r>
                </w:p>
              </w:tc>
              <w:tc>
                <w:tcPr>
                  <w:tcW w:w="1178" w:type="pct"/>
                  <w:noWrap w:val="0"/>
                  <w:vAlign w:val="center"/>
                </w:tcPr>
                <w:p w14:paraId="59A880AB">
                  <w:pPr>
                    <w:pStyle w:val="26"/>
                    <w:rPr>
                      <w:rFonts w:ascii="Times New Roman" w:hAnsi="Times New Roman"/>
                      <w:b w:val="0"/>
                      <w:bCs/>
                      <w:color w:val="000000"/>
                      <w:highlight w:val="none"/>
                    </w:rPr>
                  </w:pPr>
                  <w:r>
                    <w:rPr>
                      <w:rFonts w:ascii="Times New Roman" w:hAnsi="Times New Roman"/>
                      <w:b w:val="0"/>
                      <w:bCs/>
                      <w:color w:val="000000"/>
                      <w:highlight w:val="none"/>
                    </w:rPr>
                    <w:t>20m</w:t>
                  </w:r>
                  <w:r>
                    <w:rPr>
                      <w:rFonts w:ascii="Times New Roman" w:hAnsi="Times New Roman"/>
                      <w:b w:val="0"/>
                      <w:bCs/>
                      <w:color w:val="000000"/>
                      <w:highlight w:val="none"/>
                      <w:vertAlign w:val="superscript"/>
                    </w:rPr>
                    <w:t>3</w:t>
                  </w:r>
                </w:p>
              </w:tc>
              <w:tc>
                <w:tcPr>
                  <w:tcW w:w="518" w:type="pct"/>
                  <w:noWrap w:val="0"/>
                  <w:vAlign w:val="center"/>
                </w:tcPr>
                <w:p w14:paraId="3F13CDFC">
                  <w:pPr>
                    <w:pStyle w:val="26"/>
                    <w:rPr>
                      <w:rFonts w:ascii="Times New Roman" w:hAnsi="Times New Roman"/>
                      <w:b w:val="0"/>
                      <w:bCs/>
                      <w:color w:val="000000"/>
                      <w:highlight w:val="none"/>
                    </w:rPr>
                  </w:pPr>
                  <w:r>
                    <w:rPr>
                      <w:rFonts w:ascii="Times New Roman" w:hAnsi="Times New Roman"/>
                      <w:b w:val="0"/>
                      <w:bCs/>
                      <w:color w:val="000000"/>
                      <w:highlight w:val="none"/>
                    </w:rPr>
                    <w:t>个</w:t>
                  </w:r>
                </w:p>
              </w:tc>
              <w:tc>
                <w:tcPr>
                  <w:tcW w:w="350" w:type="pct"/>
                  <w:noWrap w:val="0"/>
                  <w:vAlign w:val="center"/>
                </w:tcPr>
                <w:p w14:paraId="3A55D2CE">
                  <w:pPr>
                    <w:pStyle w:val="26"/>
                    <w:rPr>
                      <w:rFonts w:ascii="Times New Roman" w:hAnsi="Times New Roman"/>
                      <w:b w:val="0"/>
                      <w:bCs/>
                      <w:color w:val="000000"/>
                      <w:highlight w:val="none"/>
                    </w:rPr>
                  </w:pPr>
                  <w:r>
                    <w:rPr>
                      <w:rFonts w:ascii="Times New Roman" w:hAnsi="Times New Roman"/>
                      <w:b w:val="0"/>
                      <w:bCs/>
                      <w:color w:val="000000"/>
                      <w:highlight w:val="none"/>
                    </w:rPr>
                    <w:t>4</w:t>
                  </w:r>
                </w:p>
              </w:tc>
              <w:tc>
                <w:tcPr>
                  <w:tcW w:w="1439" w:type="pct"/>
                  <w:noWrap w:val="0"/>
                  <w:vAlign w:val="center"/>
                </w:tcPr>
                <w:p w14:paraId="1BFF394A">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2D53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483" w:hRule="atLeast"/>
              </w:trPr>
              <w:tc>
                <w:tcPr>
                  <w:tcW w:w="436" w:type="pct"/>
                  <w:noWrap w:val="0"/>
                  <w:vAlign w:val="center"/>
                </w:tcPr>
                <w:p w14:paraId="6F2095BB">
                  <w:pPr>
                    <w:pStyle w:val="26"/>
                    <w:rPr>
                      <w:rFonts w:ascii="Times New Roman" w:hAnsi="Times New Roman"/>
                      <w:b w:val="0"/>
                      <w:bCs/>
                      <w:color w:val="000000"/>
                      <w:highlight w:val="none"/>
                    </w:rPr>
                  </w:pPr>
                  <w:r>
                    <w:rPr>
                      <w:rFonts w:ascii="Times New Roman" w:hAnsi="Times New Roman"/>
                      <w:b w:val="0"/>
                      <w:bCs/>
                      <w:color w:val="000000"/>
                      <w:highlight w:val="none"/>
                    </w:rPr>
                    <w:t>5</w:t>
                  </w:r>
                </w:p>
              </w:tc>
              <w:tc>
                <w:tcPr>
                  <w:tcW w:w="1069" w:type="pct"/>
                  <w:noWrap w:val="0"/>
                  <w:vAlign w:val="center"/>
                </w:tcPr>
                <w:p w14:paraId="064C3660">
                  <w:pPr>
                    <w:pStyle w:val="26"/>
                    <w:rPr>
                      <w:rFonts w:ascii="Times New Roman" w:hAnsi="Times New Roman"/>
                      <w:b w:val="0"/>
                      <w:bCs/>
                      <w:color w:val="000000"/>
                      <w:highlight w:val="none"/>
                    </w:rPr>
                  </w:pPr>
                  <w:r>
                    <w:rPr>
                      <w:rFonts w:ascii="Times New Roman" w:hAnsi="Times New Roman"/>
                      <w:b w:val="0"/>
                      <w:bCs/>
                      <w:color w:val="000000"/>
                      <w:highlight w:val="none"/>
                    </w:rPr>
                    <w:t>吊卡</w:t>
                  </w:r>
                </w:p>
              </w:tc>
              <w:tc>
                <w:tcPr>
                  <w:tcW w:w="1178" w:type="pct"/>
                  <w:noWrap w:val="0"/>
                  <w:vAlign w:val="center"/>
                </w:tcPr>
                <w:p w14:paraId="32B27A2A">
                  <w:pPr>
                    <w:pStyle w:val="26"/>
                    <w:rPr>
                      <w:rFonts w:ascii="Times New Roman" w:hAnsi="Times New Roman"/>
                      <w:b w:val="0"/>
                      <w:bCs/>
                      <w:color w:val="000000"/>
                      <w:highlight w:val="none"/>
                    </w:rPr>
                  </w:pPr>
                  <w:r>
                    <w:rPr>
                      <w:rFonts w:ascii="Times New Roman" w:hAnsi="Times New Roman"/>
                      <w:b w:val="0"/>
                      <w:bCs/>
                      <w:color w:val="000000"/>
                      <w:highlight w:val="none"/>
                    </w:rPr>
                    <w:t>Φ73.0mm/Φ88.9mm</w:t>
                  </w:r>
                </w:p>
              </w:tc>
              <w:tc>
                <w:tcPr>
                  <w:tcW w:w="518" w:type="pct"/>
                  <w:noWrap w:val="0"/>
                  <w:vAlign w:val="center"/>
                </w:tcPr>
                <w:p w14:paraId="33953A30">
                  <w:pPr>
                    <w:pStyle w:val="26"/>
                    <w:rPr>
                      <w:rFonts w:ascii="Times New Roman" w:hAnsi="Times New Roman"/>
                      <w:b w:val="0"/>
                      <w:bCs/>
                      <w:color w:val="000000"/>
                      <w:highlight w:val="none"/>
                    </w:rPr>
                  </w:pPr>
                  <w:r>
                    <w:rPr>
                      <w:rFonts w:ascii="Times New Roman" w:hAnsi="Times New Roman"/>
                      <w:b w:val="0"/>
                      <w:bCs/>
                      <w:color w:val="000000"/>
                      <w:highlight w:val="none"/>
                    </w:rPr>
                    <w:t>只</w:t>
                  </w:r>
                </w:p>
              </w:tc>
              <w:tc>
                <w:tcPr>
                  <w:tcW w:w="350" w:type="pct"/>
                  <w:noWrap w:val="0"/>
                  <w:vAlign w:val="center"/>
                </w:tcPr>
                <w:p w14:paraId="7B5E0A15">
                  <w:pPr>
                    <w:pStyle w:val="26"/>
                    <w:rPr>
                      <w:rFonts w:ascii="Times New Roman" w:hAnsi="Times New Roman"/>
                      <w:b w:val="0"/>
                      <w:bCs/>
                      <w:color w:val="000000"/>
                      <w:highlight w:val="none"/>
                    </w:rPr>
                  </w:pPr>
                  <w:r>
                    <w:rPr>
                      <w:rFonts w:ascii="Times New Roman" w:hAnsi="Times New Roman"/>
                      <w:b w:val="0"/>
                      <w:bCs/>
                      <w:color w:val="000000"/>
                      <w:highlight w:val="none"/>
                    </w:rPr>
                    <w:t>2/2</w:t>
                  </w:r>
                </w:p>
              </w:tc>
              <w:tc>
                <w:tcPr>
                  <w:tcW w:w="1439" w:type="pct"/>
                  <w:noWrap w:val="0"/>
                  <w:vAlign w:val="center"/>
                </w:tcPr>
                <w:p w14:paraId="1D89FE0C">
                  <w:pPr>
                    <w:pStyle w:val="26"/>
                    <w:rPr>
                      <w:rFonts w:ascii="Times New Roman" w:hAnsi="Times New Roman"/>
                      <w:b w:val="0"/>
                      <w:bCs/>
                      <w:color w:val="000000"/>
                      <w:highlight w:val="none"/>
                    </w:rPr>
                  </w:pPr>
                  <w:r>
                    <w:rPr>
                      <w:rFonts w:ascii="Times New Roman" w:hAnsi="Times New Roman"/>
                      <w:b w:val="0"/>
                      <w:bCs/>
                      <w:color w:val="000000"/>
                      <w:highlight w:val="none"/>
                    </w:rPr>
                    <w:t>50t</w:t>
                  </w:r>
                </w:p>
              </w:tc>
            </w:tr>
            <w:tr w14:paraId="78A4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5" w:hRule="atLeast"/>
              </w:trPr>
              <w:tc>
                <w:tcPr>
                  <w:tcW w:w="436" w:type="pct"/>
                  <w:noWrap w:val="0"/>
                  <w:vAlign w:val="center"/>
                </w:tcPr>
                <w:p w14:paraId="7DAD830B">
                  <w:pPr>
                    <w:pStyle w:val="26"/>
                    <w:rPr>
                      <w:rFonts w:ascii="Times New Roman" w:hAnsi="Times New Roman"/>
                      <w:b w:val="0"/>
                      <w:bCs/>
                      <w:color w:val="000000"/>
                      <w:highlight w:val="none"/>
                    </w:rPr>
                  </w:pPr>
                  <w:r>
                    <w:rPr>
                      <w:rFonts w:ascii="Times New Roman" w:hAnsi="Times New Roman"/>
                      <w:b w:val="0"/>
                      <w:bCs/>
                      <w:color w:val="000000"/>
                      <w:highlight w:val="none"/>
                    </w:rPr>
                    <w:t>6</w:t>
                  </w:r>
                </w:p>
              </w:tc>
              <w:tc>
                <w:tcPr>
                  <w:tcW w:w="1069" w:type="pct"/>
                  <w:noWrap w:val="0"/>
                  <w:vAlign w:val="center"/>
                </w:tcPr>
                <w:p w14:paraId="0602F1B1">
                  <w:pPr>
                    <w:pStyle w:val="26"/>
                    <w:rPr>
                      <w:rFonts w:ascii="Times New Roman" w:hAnsi="Times New Roman"/>
                      <w:b w:val="0"/>
                      <w:bCs/>
                      <w:color w:val="000000"/>
                      <w:highlight w:val="none"/>
                    </w:rPr>
                  </w:pPr>
                  <w:r>
                    <w:rPr>
                      <w:rFonts w:ascii="Times New Roman" w:hAnsi="Times New Roman"/>
                      <w:b w:val="0"/>
                      <w:bCs/>
                      <w:color w:val="000000"/>
                      <w:highlight w:val="none"/>
                    </w:rPr>
                    <w:t>吊环</w:t>
                  </w:r>
                </w:p>
              </w:tc>
              <w:tc>
                <w:tcPr>
                  <w:tcW w:w="1178" w:type="pct"/>
                  <w:noWrap w:val="0"/>
                  <w:vAlign w:val="center"/>
                </w:tcPr>
                <w:p w14:paraId="2880DD8D">
                  <w:pPr>
                    <w:pStyle w:val="26"/>
                    <w:rPr>
                      <w:rFonts w:ascii="Times New Roman" w:hAnsi="Times New Roman"/>
                      <w:b w:val="0"/>
                      <w:bCs/>
                      <w:color w:val="000000"/>
                      <w:highlight w:val="none"/>
                    </w:rPr>
                  </w:pPr>
                  <w:r>
                    <w:rPr>
                      <w:rFonts w:ascii="Times New Roman" w:hAnsi="Times New Roman"/>
                      <w:b w:val="0"/>
                      <w:bCs/>
                      <w:color w:val="000000"/>
                      <w:highlight w:val="none"/>
                    </w:rPr>
                    <w:t>SH-80</w:t>
                  </w:r>
                </w:p>
              </w:tc>
              <w:tc>
                <w:tcPr>
                  <w:tcW w:w="518" w:type="pct"/>
                  <w:noWrap w:val="0"/>
                  <w:vAlign w:val="center"/>
                </w:tcPr>
                <w:p w14:paraId="0D46C3F6">
                  <w:pPr>
                    <w:pStyle w:val="26"/>
                    <w:rPr>
                      <w:rFonts w:ascii="Times New Roman" w:hAnsi="Times New Roman"/>
                      <w:b w:val="0"/>
                      <w:bCs/>
                      <w:color w:val="000000"/>
                      <w:highlight w:val="none"/>
                    </w:rPr>
                  </w:pPr>
                  <w:r>
                    <w:rPr>
                      <w:rFonts w:ascii="Times New Roman" w:hAnsi="Times New Roman"/>
                      <w:b w:val="0"/>
                      <w:bCs/>
                      <w:color w:val="000000"/>
                      <w:highlight w:val="none"/>
                    </w:rPr>
                    <w:t>付</w:t>
                  </w:r>
                </w:p>
              </w:tc>
              <w:tc>
                <w:tcPr>
                  <w:tcW w:w="350" w:type="pct"/>
                  <w:noWrap w:val="0"/>
                  <w:vAlign w:val="center"/>
                </w:tcPr>
                <w:p w14:paraId="25C43085">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1353ED56">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0719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3" w:hRule="atLeast"/>
              </w:trPr>
              <w:tc>
                <w:tcPr>
                  <w:tcW w:w="436" w:type="pct"/>
                  <w:noWrap w:val="0"/>
                  <w:vAlign w:val="center"/>
                </w:tcPr>
                <w:p w14:paraId="3778DC47">
                  <w:pPr>
                    <w:pStyle w:val="26"/>
                    <w:rPr>
                      <w:rFonts w:ascii="Times New Roman" w:hAnsi="Times New Roman"/>
                      <w:b w:val="0"/>
                      <w:bCs/>
                      <w:color w:val="000000"/>
                      <w:highlight w:val="none"/>
                    </w:rPr>
                  </w:pPr>
                  <w:r>
                    <w:rPr>
                      <w:rFonts w:ascii="Times New Roman" w:hAnsi="Times New Roman"/>
                      <w:b w:val="0"/>
                      <w:bCs/>
                      <w:color w:val="000000"/>
                      <w:highlight w:val="none"/>
                    </w:rPr>
                    <w:t>7</w:t>
                  </w:r>
                </w:p>
              </w:tc>
              <w:tc>
                <w:tcPr>
                  <w:tcW w:w="1069" w:type="pct"/>
                  <w:noWrap w:val="0"/>
                  <w:vAlign w:val="center"/>
                </w:tcPr>
                <w:p w14:paraId="57D5A7B3">
                  <w:pPr>
                    <w:pStyle w:val="26"/>
                    <w:rPr>
                      <w:rFonts w:ascii="Times New Roman" w:hAnsi="Times New Roman"/>
                      <w:b w:val="0"/>
                      <w:bCs/>
                      <w:color w:val="000000"/>
                      <w:highlight w:val="none"/>
                    </w:rPr>
                  </w:pPr>
                  <w:r>
                    <w:rPr>
                      <w:rFonts w:ascii="Times New Roman" w:hAnsi="Times New Roman"/>
                      <w:b w:val="0"/>
                      <w:bCs/>
                      <w:color w:val="000000"/>
                      <w:highlight w:val="none"/>
                    </w:rPr>
                    <w:t>通管规</w:t>
                  </w:r>
                </w:p>
              </w:tc>
              <w:tc>
                <w:tcPr>
                  <w:tcW w:w="1178" w:type="pct"/>
                  <w:noWrap w:val="0"/>
                  <w:vAlign w:val="center"/>
                </w:tcPr>
                <w:p w14:paraId="05C96943">
                  <w:pPr>
                    <w:pStyle w:val="26"/>
                    <w:rPr>
                      <w:rFonts w:ascii="Times New Roman" w:hAnsi="Times New Roman"/>
                      <w:b w:val="0"/>
                      <w:bCs/>
                      <w:color w:val="000000"/>
                      <w:highlight w:val="none"/>
                    </w:rPr>
                  </w:pPr>
                  <w:r>
                    <w:rPr>
                      <w:rFonts w:ascii="Times New Roman" w:hAnsi="Times New Roman"/>
                      <w:b w:val="0"/>
                      <w:bCs/>
                      <w:color w:val="000000"/>
                      <w:highlight w:val="none"/>
                    </w:rPr>
                    <w:t>Φ73.0mm/58.0mm</w:t>
                  </w:r>
                </w:p>
              </w:tc>
              <w:tc>
                <w:tcPr>
                  <w:tcW w:w="518" w:type="pct"/>
                  <w:noWrap w:val="0"/>
                  <w:vAlign w:val="center"/>
                </w:tcPr>
                <w:p w14:paraId="454B2836">
                  <w:pPr>
                    <w:pStyle w:val="26"/>
                    <w:rPr>
                      <w:rFonts w:ascii="Times New Roman" w:hAnsi="Times New Roman"/>
                      <w:b w:val="0"/>
                      <w:bCs/>
                      <w:color w:val="000000"/>
                      <w:highlight w:val="none"/>
                    </w:rPr>
                  </w:pPr>
                  <w:r>
                    <w:rPr>
                      <w:rFonts w:ascii="Times New Roman" w:hAnsi="Times New Roman"/>
                      <w:b w:val="0"/>
                      <w:bCs/>
                      <w:color w:val="000000"/>
                      <w:highlight w:val="none"/>
                    </w:rPr>
                    <w:t>个</w:t>
                  </w:r>
                </w:p>
              </w:tc>
              <w:tc>
                <w:tcPr>
                  <w:tcW w:w="350" w:type="pct"/>
                  <w:noWrap w:val="0"/>
                  <w:vAlign w:val="center"/>
                </w:tcPr>
                <w:p w14:paraId="1A92449A">
                  <w:pPr>
                    <w:pStyle w:val="26"/>
                    <w:rPr>
                      <w:rFonts w:ascii="Times New Roman" w:hAnsi="Times New Roman"/>
                      <w:b w:val="0"/>
                      <w:bCs/>
                      <w:color w:val="000000"/>
                      <w:highlight w:val="none"/>
                    </w:rPr>
                  </w:pPr>
                  <w:r>
                    <w:rPr>
                      <w:rFonts w:ascii="Times New Roman" w:hAnsi="Times New Roman"/>
                      <w:b w:val="0"/>
                      <w:bCs/>
                      <w:color w:val="000000"/>
                      <w:highlight w:val="none"/>
                    </w:rPr>
                    <w:t>各2</w:t>
                  </w:r>
                </w:p>
              </w:tc>
              <w:tc>
                <w:tcPr>
                  <w:tcW w:w="1439" w:type="pct"/>
                  <w:noWrap w:val="0"/>
                  <w:vAlign w:val="center"/>
                </w:tcPr>
                <w:p w14:paraId="2FBC1750">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025A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45" w:hRule="atLeast"/>
              </w:trPr>
              <w:tc>
                <w:tcPr>
                  <w:tcW w:w="436" w:type="pct"/>
                  <w:noWrap w:val="0"/>
                  <w:vAlign w:val="center"/>
                </w:tcPr>
                <w:p w14:paraId="2DC206D5">
                  <w:pPr>
                    <w:pStyle w:val="26"/>
                    <w:rPr>
                      <w:rFonts w:ascii="Times New Roman" w:hAnsi="Times New Roman"/>
                      <w:b w:val="0"/>
                      <w:bCs/>
                      <w:color w:val="000000"/>
                      <w:highlight w:val="none"/>
                    </w:rPr>
                  </w:pPr>
                  <w:r>
                    <w:rPr>
                      <w:rFonts w:ascii="Times New Roman" w:hAnsi="Times New Roman"/>
                      <w:b w:val="0"/>
                      <w:bCs/>
                      <w:color w:val="000000"/>
                      <w:highlight w:val="none"/>
                    </w:rPr>
                    <w:t>8</w:t>
                  </w:r>
                </w:p>
              </w:tc>
              <w:tc>
                <w:tcPr>
                  <w:tcW w:w="1069" w:type="pct"/>
                  <w:noWrap w:val="0"/>
                  <w:vAlign w:val="center"/>
                </w:tcPr>
                <w:p w14:paraId="6A1A6F34">
                  <w:pPr>
                    <w:pStyle w:val="26"/>
                    <w:rPr>
                      <w:rFonts w:ascii="Times New Roman" w:hAnsi="Times New Roman"/>
                      <w:b w:val="0"/>
                      <w:bCs/>
                      <w:color w:val="000000"/>
                      <w:highlight w:val="none"/>
                    </w:rPr>
                  </w:pPr>
                  <w:r>
                    <w:rPr>
                      <w:rFonts w:ascii="Times New Roman" w:hAnsi="Times New Roman"/>
                      <w:b w:val="0"/>
                      <w:bCs/>
                      <w:color w:val="000000"/>
                      <w:highlight w:val="none"/>
                    </w:rPr>
                    <w:t>提升短节</w:t>
                  </w:r>
                </w:p>
              </w:tc>
              <w:tc>
                <w:tcPr>
                  <w:tcW w:w="1178" w:type="pct"/>
                  <w:noWrap w:val="0"/>
                  <w:vAlign w:val="center"/>
                </w:tcPr>
                <w:p w14:paraId="6CFDCE05">
                  <w:pPr>
                    <w:pStyle w:val="26"/>
                    <w:rPr>
                      <w:rFonts w:ascii="Times New Roman" w:hAnsi="Times New Roman"/>
                      <w:b w:val="0"/>
                      <w:bCs/>
                      <w:color w:val="000000"/>
                      <w:highlight w:val="none"/>
                    </w:rPr>
                  </w:pPr>
                  <w:r>
                    <w:rPr>
                      <w:rFonts w:ascii="Times New Roman" w:hAnsi="Times New Roman"/>
                      <w:b w:val="0"/>
                      <w:bCs/>
                      <w:color w:val="000000"/>
                      <w:highlight w:val="none"/>
                    </w:rPr>
                    <w:t>Φ88.9mm</w:t>
                  </w:r>
                </w:p>
              </w:tc>
              <w:tc>
                <w:tcPr>
                  <w:tcW w:w="518" w:type="pct"/>
                  <w:noWrap w:val="0"/>
                  <w:vAlign w:val="center"/>
                </w:tcPr>
                <w:p w14:paraId="57898441">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4081E816">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042E96BA">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54D1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90" w:hRule="atLeast"/>
              </w:trPr>
              <w:tc>
                <w:tcPr>
                  <w:tcW w:w="436" w:type="pct"/>
                  <w:noWrap w:val="0"/>
                  <w:vAlign w:val="center"/>
                </w:tcPr>
                <w:p w14:paraId="1CB696B5">
                  <w:pPr>
                    <w:pStyle w:val="26"/>
                    <w:rPr>
                      <w:rFonts w:ascii="Times New Roman" w:hAnsi="Times New Roman"/>
                      <w:b w:val="0"/>
                      <w:bCs/>
                      <w:color w:val="000000"/>
                      <w:highlight w:val="none"/>
                    </w:rPr>
                  </w:pPr>
                  <w:r>
                    <w:rPr>
                      <w:rFonts w:ascii="Times New Roman" w:hAnsi="Times New Roman"/>
                      <w:b w:val="0"/>
                      <w:bCs/>
                      <w:color w:val="000000"/>
                      <w:highlight w:val="none"/>
                    </w:rPr>
                    <w:t>9</w:t>
                  </w:r>
                </w:p>
              </w:tc>
              <w:tc>
                <w:tcPr>
                  <w:tcW w:w="1069" w:type="pct"/>
                  <w:noWrap w:val="0"/>
                  <w:vAlign w:val="center"/>
                </w:tcPr>
                <w:p w14:paraId="4A908C61">
                  <w:pPr>
                    <w:pStyle w:val="26"/>
                    <w:rPr>
                      <w:rFonts w:ascii="Times New Roman" w:hAnsi="Times New Roman"/>
                      <w:b w:val="0"/>
                      <w:bCs/>
                      <w:color w:val="000000"/>
                      <w:highlight w:val="none"/>
                    </w:rPr>
                  </w:pPr>
                  <w:r>
                    <w:rPr>
                      <w:rFonts w:ascii="Times New Roman" w:hAnsi="Times New Roman"/>
                      <w:b w:val="0"/>
                      <w:bCs/>
                      <w:color w:val="000000"/>
                      <w:highlight w:val="none"/>
                    </w:rPr>
                    <w:t>调整短节</w:t>
                  </w:r>
                </w:p>
              </w:tc>
              <w:tc>
                <w:tcPr>
                  <w:tcW w:w="1178" w:type="pct"/>
                  <w:noWrap w:val="0"/>
                  <w:vAlign w:val="center"/>
                </w:tcPr>
                <w:p w14:paraId="762B086B">
                  <w:pPr>
                    <w:pStyle w:val="26"/>
                    <w:rPr>
                      <w:rFonts w:ascii="Times New Roman" w:hAnsi="Times New Roman"/>
                      <w:b w:val="0"/>
                      <w:bCs/>
                      <w:color w:val="000000"/>
                      <w:highlight w:val="none"/>
                    </w:rPr>
                  </w:pPr>
                  <w:r>
                    <w:rPr>
                      <w:rFonts w:ascii="Times New Roman" w:hAnsi="Times New Roman"/>
                      <w:b w:val="0"/>
                      <w:bCs/>
                      <w:color w:val="000000"/>
                      <w:highlight w:val="none"/>
                    </w:rPr>
                    <w:t>Φ73.0mm</w:t>
                  </w:r>
                </w:p>
              </w:tc>
              <w:tc>
                <w:tcPr>
                  <w:tcW w:w="518" w:type="pct"/>
                  <w:noWrap w:val="0"/>
                  <w:vAlign w:val="center"/>
                </w:tcPr>
                <w:p w14:paraId="11081BFC">
                  <w:pPr>
                    <w:pStyle w:val="26"/>
                    <w:rPr>
                      <w:rFonts w:ascii="Times New Roman" w:hAnsi="Times New Roman"/>
                      <w:b w:val="0"/>
                      <w:bCs/>
                      <w:color w:val="000000"/>
                      <w:highlight w:val="none"/>
                    </w:rPr>
                  </w:pPr>
                  <w:r>
                    <w:rPr>
                      <w:rFonts w:ascii="Times New Roman" w:hAnsi="Times New Roman"/>
                      <w:b w:val="0"/>
                      <w:bCs/>
                      <w:color w:val="000000"/>
                      <w:highlight w:val="none"/>
                    </w:rPr>
                    <w:t>m</w:t>
                  </w:r>
                </w:p>
              </w:tc>
              <w:tc>
                <w:tcPr>
                  <w:tcW w:w="350" w:type="pct"/>
                  <w:noWrap w:val="0"/>
                  <w:vAlign w:val="center"/>
                </w:tcPr>
                <w:p w14:paraId="5D1156CA">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1356B35E">
                  <w:pPr>
                    <w:pStyle w:val="26"/>
                    <w:rPr>
                      <w:rFonts w:ascii="Times New Roman" w:hAnsi="Times New Roman"/>
                      <w:b w:val="0"/>
                      <w:bCs/>
                      <w:color w:val="000000"/>
                      <w:highlight w:val="none"/>
                    </w:rPr>
                  </w:pPr>
                  <w:r>
                    <w:rPr>
                      <w:rFonts w:ascii="Times New Roman" w:hAnsi="Times New Roman"/>
                      <w:b w:val="0"/>
                      <w:bCs/>
                      <w:color w:val="000000"/>
                      <w:highlight w:val="none"/>
                    </w:rPr>
                    <w:t>（0.3m、0.5m、1.0m、1.5m、2.0m）</w:t>
                  </w:r>
                </w:p>
              </w:tc>
            </w:tr>
            <w:tr w14:paraId="59FF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7" w:type="pct"/>
                <w:trHeight w:val="370" w:hRule="atLeast"/>
              </w:trPr>
              <w:tc>
                <w:tcPr>
                  <w:tcW w:w="436" w:type="pct"/>
                  <w:noWrap w:val="0"/>
                  <w:vAlign w:val="center"/>
                </w:tcPr>
                <w:p w14:paraId="747A5808">
                  <w:pPr>
                    <w:pStyle w:val="26"/>
                    <w:rPr>
                      <w:rFonts w:ascii="Times New Roman" w:hAnsi="Times New Roman"/>
                      <w:b w:val="0"/>
                      <w:bCs/>
                      <w:color w:val="000000"/>
                      <w:highlight w:val="none"/>
                    </w:rPr>
                  </w:pPr>
                  <w:r>
                    <w:rPr>
                      <w:rFonts w:ascii="Times New Roman" w:hAnsi="Times New Roman"/>
                      <w:b w:val="0"/>
                      <w:bCs/>
                      <w:color w:val="000000"/>
                      <w:highlight w:val="none"/>
                    </w:rPr>
                    <w:t>10</w:t>
                  </w:r>
                </w:p>
              </w:tc>
              <w:tc>
                <w:tcPr>
                  <w:tcW w:w="1069" w:type="pct"/>
                  <w:noWrap w:val="0"/>
                  <w:vAlign w:val="center"/>
                </w:tcPr>
                <w:p w14:paraId="1D446CA5">
                  <w:pPr>
                    <w:pStyle w:val="26"/>
                    <w:rPr>
                      <w:rFonts w:ascii="Times New Roman" w:hAnsi="Times New Roman"/>
                      <w:b w:val="0"/>
                      <w:bCs/>
                      <w:color w:val="000000"/>
                      <w:highlight w:val="none"/>
                    </w:rPr>
                  </w:pPr>
                  <w:r>
                    <w:rPr>
                      <w:rFonts w:ascii="Times New Roman" w:hAnsi="Times New Roman"/>
                      <w:b w:val="0"/>
                      <w:bCs/>
                      <w:color w:val="000000"/>
                      <w:highlight w:val="none"/>
                    </w:rPr>
                    <w:t>值班房</w:t>
                  </w:r>
                </w:p>
              </w:tc>
              <w:tc>
                <w:tcPr>
                  <w:tcW w:w="1178" w:type="pct"/>
                  <w:noWrap w:val="0"/>
                  <w:vAlign w:val="center"/>
                </w:tcPr>
                <w:p w14:paraId="35937C0B">
                  <w:pPr>
                    <w:pStyle w:val="26"/>
                    <w:rPr>
                      <w:rFonts w:ascii="Times New Roman" w:hAnsi="Times New Roman"/>
                      <w:b w:val="0"/>
                      <w:bCs/>
                      <w:color w:val="000000"/>
                      <w:highlight w:val="none"/>
                    </w:rPr>
                  </w:pPr>
                  <w:r>
                    <w:rPr>
                      <w:rFonts w:ascii="Times New Roman" w:hAnsi="Times New Roman"/>
                      <w:b w:val="0"/>
                      <w:bCs/>
                      <w:color w:val="000000"/>
                      <w:highlight w:val="none"/>
                    </w:rPr>
                    <w:t>-</w:t>
                  </w:r>
                </w:p>
              </w:tc>
              <w:tc>
                <w:tcPr>
                  <w:tcW w:w="518" w:type="pct"/>
                  <w:noWrap w:val="0"/>
                  <w:vAlign w:val="center"/>
                </w:tcPr>
                <w:p w14:paraId="711436BD">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5D47209F">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2C1952D8">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4C3E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44" w:type="pct"/>
                  <w:gridSpan w:val="2"/>
                  <w:noWrap w:val="0"/>
                  <w:vAlign w:val="center"/>
                </w:tcPr>
                <w:p w14:paraId="20E43A93">
                  <w:pPr>
                    <w:pStyle w:val="26"/>
                    <w:rPr>
                      <w:rFonts w:ascii="Times New Roman" w:hAnsi="Times New Roman"/>
                      <w:b w:val="0"/>
                      <w:bCs/>
                      <w:color w:val="000000"/>
                      <w:highlight w:val="none"/>
                    </w:rPr>
                  </w:pPr>
                  <w:r>
                    <w:rPr>
                      <w:rFonts w:ascii="Times New Roman" w:hAnsi="Times New Roman"/>
                      <w:b w:val="0"/>
                      <w:bCs/>
                      <w:color w:val="000000"/>
                      <w:highlight w:val="none"/>
                    </w:rPr>
                    <w:t>11</w:t>
                  </w:r>
                </w:p>
              </w:tc>
              <w:tc>
                <w:tcPr>
                  <w:tcW w:w="1069" w:type="pct"/>
                  <w:noWrap w:val="0"/>
                  <w:vAlign w:val="center"/>
                </w:tcPr>
                <w:p w14:paraId="3A08FC04">
                  <w:pPr>
                    <w:pStyle w:val="26"/>
                    <w:rPr>
                      <w:rFonts w:ascii="Times New Roman" w:hAnsi="Times New Roman"/>
                      <w:b w:val="0"/>
                      <w:bCs/>
                      <w:color w:val="000000"/>
                      <w:highlight w:val="none"/>
                    </w:rPr>
                  </w:pPr>
                  <w:r>
                    <w:rPr>
                      <w:rFonts w:ascii="Times New Roman" w:hAnsi="Times New Roman"/>
                      <w:b w:val="0"/>
                      <w:bCs/>
                      <w:color w:val="000000"/>
                      <w:highlight w:val="none"/>
                    </w:rPr>
                    <w:t>发电房</w:t>
                  </w:r>
                </w:p>
              </w:tc>
              <w:tc>
                <w:tcPr>
                  <w:tcW w:w="1178" w:type="pct"/>
                  <w:noWrap w:val="0"/>
                  <w:vAlign w:val="center"/>
                </w:tcPr>
                <w:p w14:paraId="1F92E7D4">
                  <w:pPr>
                    <w:pStyle w:val="26"/>
                    <w:rPr>
                      <w:rFonts w:ascii="Times New Roman" w:hAnsi="Times New Roman"/>
                      <w:b w:val="0"/>
                      <w:bCs/>
                      <w:color w:val="000000"/>
                      <w:highlight w:val="none"/>
                    </w:rPr>
                  </w:pPr>
                  <w:r>
                    <w:rPr>
                      <w:rFonts w:ascii="Times New Roman" w:hAnsi="Times New Roman"/>
                      <w:b w:val="0"/>
                      <w:bCs/>
                      <w:color w:val="000000"/>
                      <w:highlight w:val="none"/>
                    </w:rPr>
                    <w:t>-</w:t>
                  </w:r>
                </w:p>
              </w:tc>
              <w:tc>
                <w:tcPr>
                  <w:tcW w:w="518" w:type="pct"/>
                  <w:noWrap w:val="0"/>
                  <w:vAlign w:val="center"/>
                </w:tcPr>
                <w:p w14:paraId="2B5E0371">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5367D0BF">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09EAB87C">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2B1D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7B88B2BC">
                  <w:pPr>
                    <w:pStyle w:val="26"/>
                    <w:rPr>
                      <w:rFonts w:ascii="Times New Roman" w:hAnsi="Times New Roman"/>
                      <w:b w:val="0"/>
                      <w:bCs/>
                      <w:color w:val="000000"/>
                      <w:highlight w:val="none"/>
                    </w:rPr>
                  </w:pPr>
                  <w:r>
                    <w:rPr>
                      <w:rFonts w:ascii="Times New Roman" w:hAnsi="Times New Roman"/>
                      <w:b w:val="0"/>
                      <w:bCs/>
                      <w:color w:val="000000"/>
                      <w:highlight w:val="none"/>
                    </w:rPr>
                    <w:t>12</w:t>
                  </w:r>
                </w:p>
              </w:tc>
              <w:tc>
                <w:tcPr>
                  <w:tcW w:w="1069" w:type="pct"/>
                  <w:noWrap w:val="0"/>
                  <w:vAlign w:val="center"/>
                </w:tcPr>
                <w:p w14:paraId="16E18910">
                  <w:pPr>
                    <w:pStyle w:val="26"/>
                    <w:rPr>
                      <w:rFonts w:ascii="Times New Roman" w:hAnsi="Times New Roman"/>
                      <w:b w:val="0"/>
                      <w:bCs/>
                      <w:color w:val="000000"/>
                      <w:highlight w:val="none"/>
                    </w:rPr>
                  </w:pPr>
                  <w:r>
                    <w:rPr>
                      <w:rFonts w:ascii="Times New Roman" w:hAnsi="Times New Roman"/>
                      <w:b w:val="0"/>
                      <w:bCs/>
                      <w:color w:val="000000"/>
                      <w:highlight w:val="none"/>
                    </w:rPr>
                    <w:t>柴油发电机</w:t>
                  </w:r>
                </w:p>
              </w:tc>
              <w:tc>
                <w:tcPr>
                  <w:tcW w:w="1178" w:type="pct"/>
                  <w:noWrap w:val="0"/>
                  <w:vAlign w:val="center"/>
                </w:tcPr>
                <w:p w14:paraId="66C2C37D">
                  <w:pPr>
                    <w:pStyle w:val="26"/>
                    <w:rPr>
                      <w:rFonts w:ascii="Times New Roman" w:hAnsi="Times New Roman"/>
                      <w:b w:val="0"/>
                      <w:bCs/>
                      <w:color w:val="000000"/>
                      <w:highlight w:val="none"/>
                    </w:rPr>
                  </w:pPr>
                </w:p>
              </w:tc>
              <w:tc>
                <w:tcPr>
                  <w:tcW w:w="518" w:type="pct"/>
                  <w:noWrap w:val="0"/>
                  <w:vAlign w:val="center"/>
                </w:tcPr>
                <w:p w14:paraId="44F5EDFB">
                  <w:pPr>
                    <w:pStyle w:val="26"/>
                    <w:rPr>
                      <w:rFonts w:ascii="Times New Roman" w:hAnsi="Times New Roman"/>
                      <w:b w:val="0"/>
                      <w:bCs/>
                      <w:color w:val="000000"/>
                      <w:highlight w:val="none"/>
                    </w:rPr>
                  </w:pPr>
                  <w:r>
                    <w:rPr>
                      <w:rFonts w:ascii="Times New Roman" w:hAnsi="Times New Roman"/>
                      <w:b w:val="0"/>
                      <w:bCs/>
                      <w:color w:val="000000"/>
                      <w:highlight w:val="none"/>
                    </w:rPr>
                    <w:t>台</w:t>
                  </w:r>
                </w:p>
              </w:tc>
              <w:tc>
                <w:tcPr>
                  <w:tcW w:w="350" w:type="pct"/>
                  <w:noWrap w:val="0"/>
                  <w:vAlign w:val="center"/>
                </w:tcPr>
                <w:p w14:paraId="4D38C864">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5414D8B1">
                  <w:pPr>
                    <w:pStyle w:val="26"/>
                    <w:rPr>
                      <w:rFonts w:ascii="Times New Roman" w:hAnsi="Times New Roman"/>
                      <w:b w:val="0"/>
                      <w:bCs/>
                      <w:color w:val="000000"/>
                      <w:highlight w:val="none"/>
                    </w:rPr>
                  </w:pPr>
                </w:p>
              </w:tc>
            </w:tr>
            <w:tr w14:paraId="687C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44" w:type="pct"/>
                  <w:gridSpan w:val="2"/>
                  <w:noWrap w:val="0"/>
                  <w:vAlign w:val="center"/>
                </w:tcPr>
                <w:p w14:paraId="7BBA1258">
                  <w:pPr>
                    <w:pStyle w:val="26"/>
                    <w:rPr>
                      <w:rFonts w:ascii="Times New Roman" w:hAnsi="Times New Roman"/>
                      <w:b w:val="0"/>
                      <w:bCs/>
                      <w:color w:val="000000"/>
                      <w:highlight w:val="none"/>
                    </w:rPr>
                  </w:pPr>
                  <w:r>
                    <w:rPr>
                      <w:rFonts w:ascii="Times New Roman" w:hAnsi="Times New Roman"/>
                      <w:b w:val="0"/>
                      <w:bCs/>
                      <w:color w:val="000000"/>
                      <w:highlight w:val="none"/>
                    </w:rPr>
                    <w:t>13</w:t>
                  </w:r>
                </w:p>
              </w:tc>
              <w:tc>
                <w:tcPr>
                  <w:tcW w:w="1069" w:type="pct"/>
                  <w:noWrap w:val="0"/>
                  <w:vAlign w:val="center"/>
                </w:tcPr>
                <w:p w14:paraId="1617E579">
                  <w:pPr>
                    <w:pStyle w:val="26"/>
                    <w:rPr>
                      <w:rFonts w:ascii="Times New Roman" w:hAnsi="Times New Roman"/>
                      <w:b w:val="0"/>
                      <w:bCs/>
                      <w:color w:val="000000"/>
                      <w:highlight w:val="none"/>
                    </w:rPr>
                  </w:pPr>
                  <w:r>
                    <w:rPr>
                      <w:rFonts w:ascii="Times New Roman" w:hAnsi="Times New Roman"/>
                      <w:b w:val="0"/>
                      <w:bCs/>
                      <w:color w:val="000000"/>
                      <w:highlight w:val="none"/>
                    </w:rPr>
                    <w:t>气液分离装置</w:t>
                  </w:r>
                </w:p>
              </w:tc>
              <w:tc>
                <w:tcPr>
                  <w:tcW w:w="1178" w:type="pct"/>
                  <w:noWrap w:val="0"/>
                  <w:vAlign w:val="center"/>
                </w:tcPr>
                <w:p w14:paraId="16B35FB3">
                  <w:pPr>
                    <w:pStyle w:val="26"/>
                    <w:rPr>
                      <w:rFonts w:ascii="Times New Roman" w:hAnsi="Times New Roman"/>
                      <w:b w:val="0"/>
                      <w:bCs/>
                      <w:color w:val="000000"/>
                      <w:highlight w:val="none"/>
                    </w:rPr>
                  </w:pPr>
                </w:p>
              </w:tc>
              <w:tc>
                <w:tcPr>
                  <w:tcW w:w="518" w:type="pct"/>
                  <w:noWrap w:val="0"/>
                  <w:vAlign w:val="center"/>
                </w:tcPr>
                <w:p w14:paraId="7A63017A">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5810BA04">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29E283AF">
                  <w:pPr>
                    <w:pStyle w:val="26"/>
                    <w:rPr>
                      <w:rFonts w:ascii="Times New Roman" w:hAnsi="Times New Roman"/>
                      <w:b w:val="0"/>
                      <w:bCs/>
                      <w:color w:val="000000"/>
                      <w:highlight w:val="none"/>
                    </w:rPr>
                  </w:pPr>
                </w:p>
              </w:tc>
            </w:tr>
            <w:tr w14:paraId="3D26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16FDD14D">
                  <w:pPr>
                    <w:pStyle w:val="26"/>
                    <w:rPr>
                      <w:rFonts w:ascii="Times New Roman" w:hAnsi="Times New Roman"/>
                      <w:b w:val="0"/>
                      <w:bCs/>
                      <w:color w:val="000000"/>
                      <w:highlight w:val="none"/>
                    </w:rPr>
                  </w:pPr>
                  <w:r>
                    <w:rPr>
                      <w:rFonts w:ascii="Times New Roman" w:hAnsi="Times New Roman"/>
                      <w:b w:val="0"/>
                      <w:bCs/>
                      <w:color w:val="000000"/>
                      <w:highlight w:val="none"/>
                    </w:rPr>
                    <w:t>14</w:t>
                  </w:r>
                </w:p>
              </w:tc>
              <w:tc>
                <w:tcPr>
                  <w:tcW w:w="1069" w:type="pct"/>
                  <w:noWrap w:val="0"/>
                  <w:vAlign w:val="center"/>
                </w:tcPr>
                <w:p w14:paraId="199A3920">
                  <w:pPr>
                    <w:pStyle w:val="26"/>
                    <w:rPr>
                      <w:rFonts w:ascii="Times New Roman" w:hAnsi="Times New Roman"/>
                      <w:b w:val="0"/>
                      <w:bCs/>
                      <w:color w:val="000000"/>
                      <w:highlight w:val="none"/>
                    </w:rPr>
                  </w:pPr>
                  <w:r>
                    <w:rPr>
                      <w:rFonts w:ascii="Times New Roman" w:hAnsi="Times New Roman"/>
                      <w:b w:val="0"/>
                      <w:bCs/>
                      <w:color w:val="000000"/>
                      <w:highlight w:val="none"/>
                    </w:rPr>
                    <w:t>泵车</w:t>
                  </w:r>
                </w:p>
              </w:tc>
              <w:tc>
                <w:tcPr>
                  <w:tcW w:w="1178" w:type="pct"/>
                  <w:noWrap w:val="0"/>
                  <w:vAlign w:val="center"/>
                </w:tcPr>
                <w:p w14:paraId="61E23443">
                  <w:pPr>
                    <w:pStyle w:val="26"/>
                    <w:rPr>
                      <w:rFonts w:ascii="Times New Roman" w:hAnsi="Times New Roman"/>
                      <w:b w:val="0"/>
                      <w:bCs/>
                      <w:color w:val="000000"/>
                      <w:highlight w:val="none"/>
                    </w:rPr>
                  </w:pPr>
                  <w:r>
                    <w:rPr>
                      <w:rFonts w:ascii="Times New Roman" w:hAnsi="Times New Roman"/>
                      <w:b w:val="0"/>
                      <w:bCs/>
                      <w:color w:val="000000"/>
                      <w:highlight w:val="none"/>
                    </w:rPr>
                    <w:t>700型</w:t>
                  </w:r>
                </w:p>
              </w:tc>
              <w:tc>
                <w:tcPr>
                  <w:tcW w:w="518" w:type="pct"/>
                  <w:noWrap w:val="0"/>
                  <w:vAlign w:val="center"/>
                </w:tcPr>
                <w:p w14:paraId="5A4F59E3">
                  <w:pPr>
                    <w:pStyle w:val="26"/>
                    <w:rPr>
                      <w:rFonts w:ascii="Times New Roman" w:hAnsi="Times New Roman"/>
                      <w:b w:val="0"/>
                      <w:bCs/>
                      <w:color w:val="000000"/>
                      <w:highlight w:val="none"/>
                    </w:rPr>
                  </w:pPr>
                  <w:r>
                    <w:rPr>
                      <w:rFonts w:ascii="Times New Roman" w:hAnsi="Times New Roman"/>
                      <w:b w:val="0"/>
                      <w:bCs/>
                      <w:color w:val="000000"/>
                      <w:highlight w:val="none"/>
                    </w:rPr>
                    <w:t>台</w:t>
                  </w:r>
                </w:p>
              </w:tc>
              <w:tc>
                <w:tcPr>
                  <w:tcW w:w="350" w:type="pct"/>
                  <w:noWrap w:val="0"/>
                  <w:vAlign w:val="center"/>
                </w:tcPr>
                <w:p w14:paraId="4906C9D6">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620D58C1">
                  <w:pPr>
                    <w:pStyle w:val="26"/>
                    <w:rPr>
                      <w:rFonts w:ascii="Times New Roman" w:hAnsi="Times New Roman"/>
                      <w:b w:val="0"/>
                      <w:bCs/>
                      <w:color w:val="000000"/>
                      <w:highlight w:val="none"/>
                    </w:rPr>
                  </w:pPr>
                  <w:r>
                    <w:rPr>
                      <w:rFonts w:ascii="Times New Roman" w:hAnsi="Times New Roman"/>
                      <w:b w:val="0"/>
                      <w:bCs/>
                      <w:color w:val="000000"/>
                      <w:highlight w:val="none"/>
                    </w:rPr>
                    <w:t>-</w:t>
                  </w:r>
                </w:p>
              </w:tc>
            </w:tr>
            <w:tr w14:paraId="3A42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3E24486F">
                  <w:pPr>
                    <w:pStyle w:val="26"/>
                    <w:rPr>
                      <w:rFonts w:ascii="Times New Roman" w:hAnsi="Times New Roman"/>
                      <w:b w:val="0"/>
                      <w:bCs/>
                      <w:color w:val="000000"/>
                      <w:highlight w:val="none"/>
                    </w:rPr>
                  </w:pPr>
                  <w:r>
                    <w:rPr>
                      <w:rFonts w:ascii="Times New Roman" w:hAnsi="Times New Roman"/>
                      <w:b w:val="0"/>
                      <w:bCs/>
                      <w:color w:val="000000"/>
                      <w:highlight w:val="none"/>
                    </w:rPr>
                    <w:t>15</w:t>
                  </w:r>
                </w:p>
              </w:tc>
              <w:tc>
                <w:tcPr>
                  <w:tcW w:w="1069" w:type="pct"/>
                  <w:noWrap w:val="0"/>
                  <w:vAlign w:val="center"/>
                </w:tcPr>
                <w:p w14:paraId="04AB7C38">
                  <w:pPr>
                    <w:pStyle w:val="26"/>
                    <w:rPr>
                      <w:rFonts w:ascii="Times New Roman" w:hAnsi="Times New Roman"/>
                      <w:b w:val="0"/>
                      <w:bCs/>
                      <w:color w:val="000000"/>
                      <w:highlight w:val="none"/>
                    </w:rPr>
                  </w:pPr>
                  <w:r>
                    <w:rPr>
                      <w:rFonts w:ascii="Times New Roman" w:hAnsi="Times New Roman"/>
                      <w:b w:val="0"/>
                      <w:bCs/>
                      <w:color w:val="000000"/>
                      <w:highlight w:val="none"/>
                    </w:rPr>
                    <w:t>防喷器</w:t>
                  </w:r>
                </w:p>
              </w:tc>
              <w:tc>
                <w:tcPr>
                  <w:tcW w:w="1178" w:type="pct"/>
                  <w:noWrap w:val="0"/>
                  <w:vAlign w:val="center"/>
                </w:tcPr>
                <w:p w14:paraId="50635DF7">
                  <w:pPr>
                    <w:pStyle w:val="26"/>
                    <w:rPr>
                      <w:rFonts w:ascii="Times New Roman" w:hAnsi="Times New Roman"/>
                      <w:b w:val="0"/>
                      <w:bCs/>
                      <w:color w:val="000000"/>
                      <w:highlight w:val="none"/>
                    </w:rPr>
                  </w:pPr>
                </w:p>
              </w:tc>
              <w:tc>
                <w:tcPr>
                  <w:tcW w:w="518" w:type="pct"/>
                  <w:noWrap w:val="0"/>
                  <w:vAlign w:val="center"/>
                </w:tcPr>
                <w:p w14:paraId="14B00570">
                  <w:pPr>
                    <w:pStyle w:val="26"/>
                    <w:rPr>
                      <w:rFonts w:ascii="Times New Roman" w:hAnsi="Times New Roman"/>
                      <w:b w:val="0"/>
                      <w:bCs/>
                      <w:color w:val="000000"/>
                      <w:highlight w:val="none"/>
                    </w:rPr>
                  </w:pPr>
                  <w:r>
                    <w:rPr>
                      <w:rFonts w:ascii="Times New Roman" w:hAnsi="Times New Roman"/>
                      <w:b w:val="0"/>
                      <w:bCs/>
                      <w:color w:val="000000"/>
                      <w:highlight w:val="none"/>
                    </w:rPr>
                    <w:t>台</w:t>
                  </w:r>
                </w:p>
              </w:tc>
              <w:tc>
                <w:tcPr>
                  <w:tcW w:w="350" w:type="pct"/>
                  <w:noWrap w:val="0"/>
                  <w:vAlign w:val="center"/>
                </w:tcPr>
                <w:p w14:paraId="6EC4BAF1">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6F8B5AB1">
                  <w:pPr>
                    <w:pStyle w:val="26"/>
                    <w:rPr>
                      <w:rFonts w:ascii="Times New Roman" w:hAnsi="Times New Roman"/>
                      <w:b w:val="0"/>
                      <w:bCs/>
                      <w:color w:val="000000"/>
                      <w:highlight w:val="none"/>
                    </w:rPr>
                  </w:pPr>
                </w:p>
              </w:tc>
            </w:tr>
            <w:tr w14:paraId="45F89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44" w:type="pct"/>
                  <w:gridSpan w:val="2"/>
                  <w:noWrap w:val="0"/>
                  <w:vAlign w:val="center"/>
                </w:tcPr>
                <w:p w14:paraId="32F1F0E1">
                  <w:pPr>
                    <w:pStyle w:val="26"/>
                    <w:rPr>
                      <w:rFonts w:ascii="Times New Roman" w:hAnsi="Times New Roman"/>
                      <w:b w:val="0"/>
                      <w:bCs/>
                      <w:color w:val="000000"/>
                      <w:highlight w:val="none"/>
                    </w:rPr>
                  </w:pPr>
                  <w:r>
                    <w:rPr>
                      <w:rFonts w:ascii="Times New Roman" w:hAnsi="Times New Roman"/>
                      <w:b w:val="0"/>
                      <w:bCs/>
                      <w:color w:val="000000"/>
                      <w:highlight w:val="none"/>
                    </w:rPr>
                    <w:t>16</w:t>
                  </w:r>
                </w:p>
              </w:tc>
              <w:tc>
                <w:tcPr>
                  <w:tcW w:w="1069" w:type="pct"/>
                  <w:noWrap w:val="0"/>
                  <w:vAlign w:val="center"/>
                </w:tcPr>
                <w:p w14:paraId="60CCC845">
                  <w:pPr>
                    <w:pStyle w:val="26"/>
                    <w:rPr>
                      <w:rFonts w:ascii="Times New Roman" w:hAnsi="Times New Roman"/>
                      <w:b w:val="0"/>
                      <w:bCs/>
                      <w:color w:val="000000"/>
                      <w:highlight w:val="none"/>
                    </w:rPr>
                  </w:pPr>
                  <w:r>
                    <w:rPr>
                      <w:rFonts w:ascii="Times New Roman" w:hAnsi="Times New Roman"/>
                      <w:b w:val="0"/>
                      <w:bCs/>
                      <w:color w:val="000000"/>
                      <w:highlight w:val="none"/>
                    </w:rPr>
                    <w:t>放喷管及罐</w:t>
                  </w:r>
                </w:p>
              </w:tc>
              <w:tc>
                <w:tcPr>
                  <w:tcW w:w="1178" w:type="pct"/>
                  <w:noWrap w:val="0"/>
                  <w:vAlign w:val="center"/>
                </w:tcPr>
                <w:p w14:paraId="6F3A4923">
                  <w:pPr>
                    <w:pStyle w:val="26"/>
                    <w:rPr>
                      <w:rFonts w:ascii="Times New Roman" w:hAnsi="Times New Roman"/>
                      <w:b w:val="0"/>
                      <w:bCs/>
                      <w:color w:val="000000"/>
                      <w:highlight w:val="none"/>
                    </w:rPr>
                  </w:pPr>
                </w:p>
              </w:tc>
              <w:tc>
                <w:tcPr>
                  <w:tcW w:w="518" w:type="pct"/>
                  <w:noWrap w:val="0"/>
                  <w:vAlign w:val="center"/>
                </w:tcPr>
                <w:p w14:paraId="1A05A305">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01FEB3A5">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490AFEA5">
                  <w:pPr>
                    <w:pStyle w:val="26"/>
                    <w:rPr>
                      <w:rFonts w:ascii="Times New Roman" w:hAnsi="Times New Roman"/>
                      <w:b w:val="0"/>
                      <w:bCs/>
                      <w:color w:val="000000"/>
                      <w:highlight w:val="none"/>
                    </w:rPr>
                  </w:pPr>
                  <w:r>
                    <w:rPr>
                      <w:rFonts w:ascii="Times New Roman" w:hAnsi="Times New Roman"/>
                      <w:b w:val="0"/>
                      <w:bCs/>
                      <w:color w:val="000000"/>
                      <w:highlight w:val="none"/>
                    </w:rPr>
                    <w:t>放喷罐1个，30m</w:t>
                  </w:r>
                  <w:r>
                    <w:rPr>
                      <w:rFonts w:ascii="Times New Roman" w:hAnsi="Times New Roman"/>
                      <w:b w:val="0"/>
                      <w:bCs/>
                      <w:color w:val="000000"/>
                      <w:highlight w:val="none"/>
                      <w:vertAlign w:val="superscript"/>
                    </w:rPr>
                    <w:t>3</w:t>
                  </w:r>
                </w:p>
              </w:tc>
            </w:tr>
            <w:tr w14:paraId="5626D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0B4C7408">
                  <w:pPr>
                    <w:pStyle w:val="26"/>
                    <w:rPr>
                      <w:rFonts w:ascii="Times New Roman" w:hAnsi="Times New Roman"/>
                      <w:b w:val="0"/>
                      <w:bCs/>
                      <w:color w:val="000000"/>
                      <w:highlight w:val="none"/>
                    </w:rPr>
                  </w:pPr>
                  <w:r>
                    <w:rPr>
                      <w:rFonts w:ascii="Times New Roman" w:hAnsi="Times New Roman"/>
                      <w:b w:val="0"/>
                      <w:bCs/>
                      <w:color w:val="000000"/>
                      <w:highlight w:val="none"/>
                    </w:rPr>
                    <w:t>17</w:t>
                  </w:r>
                </w:p>
              </w:tc>
              <w:tc>
                <w:tcPr>
                  <w:tcW w:w="1069" w:type="pct"/>
                  <w:noWrap w:val="0"/>
                  <w:vAlign w:val="center"/>
                </w:tcPr>
                <w:p w14:paraId="7CA011AA">
                  <w:pPr>
                    <w:pStyle w:val="26"/>
                    <w:rPr>
                      <w:rFonts w:ascii="Times New Roman" w:hAnsi="Times New Roman"/>
                      <w:b w:val="0"/>
                      <w:bCs/>
                      <w:color w:val="000000"/>
                      <w:highlight w:val="none"/>
                    </w:rPr>
                  </w:pPr>
                  <w:r>
                    <w:rPr>
                      <w:rFonts w:ascii="Times New Roman" w:hAnsi="Times New Roman"/>
                      <w:b w:val="0"/>
                      <w:bCs/>
                      <w:color w:val="000000"/>
                      <w:highlight w:val="none"/>
                    </w:rPr>
                    <w:t>采油树</w:t>
                  </w:r>
                </w:p>
              </w:tc>
              <w:tc>
                <w:tcPr>
                  <w:tcW w:w="1178" w:type="pct"/>
                  <w:noWrap w:val="0"/>
                  <w:vAlign w:val="center"/>
                </w:tcPr>
                <w:p w14:paraId="155A84A9">
                  <w:pPr>
                    <w:pStyle w:val="26"/>
                    <w:rPr>
                      <w:rFonts w:ascii="Times New Roman" w:hAnsi="Times New Roman"/>
                      <w:b w:val="0"/>
                      <w:bCs/>
                      <w:color w:val="000000"/>
                      <w:highlight w:val="none"/>
                    </w:rPr>
                  </w:pPr>
                </w:p>
              </w:tc>
              <w:tc>
                <w:tcPr>
                  <w:tcW w:w="518" w:type="pct"/>
                  <w:noWrap w:val="0"/>
                  <w:vAlign w:val="center"/>
                </w:tcPr>
                <w:p w14:paraId="766F4719">
                  <w:pPr>
                    <w:pStyle w:val="26"/>
                    <w:rPr>
                      <w:rFonts w:ascii="Times New Roman" w:hAnsi="Times New Roman"/>
                      <w:b w:val="0"/>
                      <w:bCs/>
                      <w:color w:val="000000"/>
                      <w:highlight w:val="none"/>
                    </w:rPr>
                  </w:pPr>
                  <w:r>
                    <w:rPr>
                      <w:rFonts w:ascii="Times New Roman" w:hAnsi="Times New Roman"/>
                      <w:b w:val="0"/>
                      <w:bCs/>
                      <w:color w:val="000000"/>
                      <w:highlight w:val="none"/>
                    </w:rPr>
                    <w:t>套</w:t>
                  </w:r>
                </w:p>
              </w:tc>
              <w:tc>
                <w:tcPr>
                  <w:tcW w:w="350" w:type="pct"/>
                  <w:noWrap w:val="0"/>
                  <w:vAlign w:val="center"/>
                </w:tcPr>
                <w:p w14:paraId="44BFFDAE">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50A88605">
                  <w:pPr>
                    <w:pStyle w:val="26"/>
                    <w:rPr>
                      <w:rFonts w:ascii="Times New Roman" w:hAnsi="Times New Roman"/>
                      <w:b w:val="0"/>
                      <w:bCs/>
                      <w:color w:val="000000"/>
                      <w:highlight w:val="none"/>
                    </w:rPr>
                  </w:pPr>
                </w:p>
              </w:tc>
            </w:tr>
            <w:tr w14:paraId="53EE2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50AA0BAB">
                  <w:pPr>
                    <w:pStyle w:val="26"/>
                    <w:rPr>
                      <w:rFonts w:ascii="Times New Roman" w:hAnsi="Times New Roman"/>
                      <w:b w:val="0"/>
                      <w:bCs/>
                      <w:color w:val="000000"/>
                      <w:highlight w:val="none"/>
                    </w:rPr>
                  </w:pPr>
                  <w:r>
                    <w:rPr>
                      <w:rFonts w:ascii="Times New Roman" w:hAnsi="Times New Roman"/>
                      <w:b w:val="0"/>
                      <w:bCs/>
                      <w:color w:val="000000"/>
                      <w:highlight w:val="none"/>
                    </w:rPr>
                    <w:t>18</w:t>
                  </w:r>
                </w:p>
              </w:tc>
              <w:tc>
                <w:tcPr>
                  <w:tcW w:w="1069" w:type="pct"/>
                  <w:noWrap w:val="0"/>
                  <w:vAlign w:val="center"/>
                </w:tcPr>
                <w:p w14:paraId="589502E2">
                  <w:pPr>
                    <w:pStyle w:val="26"/>
                    <w:rPr>
                      <w:rFonts w:ascii="Times New Roman" w:hAnsi="Times New Roman"/>
                      <w:b w:val="0"/>
                      <w:bCs/>
                      <w:color w:val="000000"/>
                      <w:highlight w:val="none"/>
                    </w:rPr>
                  </w:pPr>
                  <w:r>
                    <w:rPr>
                      <w:rFonts w:ascii="Times New Roman" w:hAnsi="Times New Roman"/>
                      <w:b w:val="0"/>
                      <w:bCs/>
                      <w:color w:val="000000"/>
                      <w:highlight w:val="none"/>
                    </w:rPr>
                    <w:t>H</w:t>
                  </w:r>
                  <w:r>
                    <w:rPr>
                      <w:rFonts w:ascii="Times New Roman" w:hAnsi="Times New Roman"/>
                      <w:b w:val="0"/>
                      <w:bCs/>
                      <w:color w:val="000000"/>
                      <w:highlight w:val="none"/>
                      <w:vertAlign w:val="subscript"/>
                    </w:rPr>
                    <w:t>2</w:t>
                  </w:r>
                  <w:r>
                    <w:rPr>
                      <w:rFonts w:ascii="Times New Roman" w:hAnsi="Times New Roman"/>
                      <w:b w:val="0"/>
                      <w:bCs/>
                      <w:color w:val="000000"/>
                      <w:highlight w:val="none"/>
                    </w:rPr>
                    <w:t>S气体监测仪</w:t>
                  </w:r>
                </w:p>
              </w:tc>
              <w:tc>
                <w:tcPr>
                  <w:tcW w:w="1178" w:type="pct"/>
                  <w:noWrap w:val="0"/>
                  <w:vAlign w:val="center"/>
                </w:tcPr>
                <w:p w14:paraId="69799215">
                  <w:pPr>
                    <w:pStyle w:val="26"/>
                    <w:rPr>
                      <w:rFonts w:ascii="Times New Roman" w:hAnsi="Times New Roman"/>
                      <w:b w:val="0"/>
                      <w:bCs/>
                      <w:color w:val="000000"/>
                      <w:highlight w:val="none"/>
                    </w:rPr>
                  </w:pPr>
                </w:p>
              </w:tc>
              <w:tc>
                <w:tcPr>
                  <w:tcW w:w="518" w:type="pct"/>
                  <w:noWrap w:val="0"/>
                  <w:vAlign w:val="center"/>
                </w:tcPr>
                <w:p w14:paraId="7E2A1823">
                  <w:pPr>
                    <w:pStyle w:val="26"/>
                    <w:rPr>
                      <w:rFonts w:ascii="Times New Roman" w:hAnsi="Times New Roman"/>
                      <w:b w:val="0"/>
                      <w:bCs/>
                      <w:color w:val="000000"/>
                      <w:highlight w:val="none"/>
                    </w:rPr>
                  </w:pPr>
                  <w:r>
                    <w:rPr>
                      <w:rFonts w:ascii="Times New Roman" w:hAnsi="Times New Roman"/>
                      <w:b w:val="0"/>
                      <w:bCs/>
                      <w:color w:val="000000"/>
                      <w:highlight w:val="none"/>
                    </w:rPr>
                    <w:t>部</w:t>
                  </w:r>
                </w:p>
              </w:tc>
              <w:tc>
                <w:tcPr>
                  <w:tcW w:w="350" w:type="pct"/>
                  <w:noWrap w:val="0"/>
                  <w:vAlign w:val="center"/>
                </w:tcPr>
                <w:p w14:paraId="79FA0485">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322E1F10">
                  <w:pPr>
                    <w:pStyle w:val="26"/>
                    <w:rPr>
                      <w:rFonts w:ascii="Times New Roman" w:hAnsi="Times New Roman"/>
                      <w:b w:val="0"/>
                      <w:bCs/>
                      <w:color w:val="000000"/>
                      <w:highlight w:val="none"/>
                    </w:rPr>
                  </w:pPr>
                </w:p>
              </w:tc>
            </w:tr>
            <w:tr w14:paraId="7DD64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44" w:type="pct"/>
                  <w:gridSpan w:val="2"/>
                  <w:noWrap w:val="0"/>
                  <w:vAlign w:val="center"/>
                </w:tcPr>
                <w:p w14:paraId="7CE002E4">
                  <w:pPr>
                    <w:pStyle w:val="26"/>
                    <w:rPr>
                      <w:rFonts w:ascii="Times New Roman" w:hAnsi="Times New Roman"/>
                      <w:b w:val="0"/>
                      <w:bCs/>
                      <w:color w:val="000000"/>
                      <w:highlight w:val="none"/>
                    </w:rPr>
                  </w:pPr>
                  <w:r>
                    <w:rPr>
                      <w:rFonts w:ascii="Times New Roman" w:hAnsi="Times New Roman"/>
                      <w:b w:val="0"/>
                      <w:bCs/>
                      <w:color w:val="000000"/>
                      <w:highlight w:val="none"/>
                    </w:rPr>
                    <w:t>19</w:t>
                  </w:r>
                </w:p>
              </w:tc>
              <w:tc>
                <w:tcPr>
                  <w:tcW w:w="1069" w:type="pct"/>
                  <w:noWrap w:val="0"/>
                  <w:vAlign w:val="center"/>
                </w:tcPr>
                <w:p w14:paraId="2CBBF5BD">
                  <w:pPr>
                    <w:pStyle w:val="26"/>
                    <w:rPr>
                      <w:rFonts w:ascii="Times New Roman" w:hAnsi="Times New Roman"/>
                      <w:b w:val="0"/>
                      <w:bCs/>
                      <w:color w:val="000000"/>
                      <w:highlight w:val="none"/>
                    </w:rPr>
                  </w:pPr>
                  <w:r>
                    <w:rPr>
                      <w:rFonts w:ascii="Times New Roman" w:hAnsi="Times New Roman"/>
                      <w:b w:val="0"/>
                      <w:bCs/>
                      <w:color w:val="000000"/>
                      <w:highlight w:val="none"/>
                    </w:rPr>
                    <w:t>可燃气体检测仪</w:t>
                  </w:r>
                </w:p>
              </w:tc>
              <w:tc>
                <w:tcPr>
                  <w:tcW w:w="1178" w:type="pct"/>
                  <w:noWrap w:val="0"/>
                  <w:vAlign w:val="center"/>
                </w:tcPr>
                <w:p w14:paraId="79DD67AD">
                  <w:pPr>
                    <w:pStyle w:val="26"/>
                    <w:rPr>
                      <w:rFonts w:ascii="Times New Roman" w:hAnsi="Times New Roman"/>
                      <w:b w:val="0"/>
                      <w:bCs/>
                      <w:color w:val="000000"/>
                      <w:highlight w:val="none"/>
                    </w:rPr>
                  </w:pPr>
                </w:p>
              </w:tc>
              <w:tc>
                <w:tcPr>
                  <w:tcW w:w="518" w:type="pct"/>
                  <w:noWrap w:val="0"/>
                  <w:vAlign w:val="center"/>
                </w:tcPr>
                <w:p w14:paraId="4EBBF131">
                  <w:pPr>
                    <w:pStyle w:val="26"/>
                    <w:rPr>
                      <w:rFonts w:ascii="Times New Roman" w:hAnsi="Times New Roman"/>
                      <w:b w:val="0"/>
                      <w:bCs/>
                      <w:color w:val="000000"/>
                      <w:highlight w:val="none"/>
                    </w:rPr>
                  </w:pPr>
                  <w:r>
                    <w:rPr>
                      <w:rFonts w:ascii="Times New Roman" w:hAnsi="Times New Roman"/>
                      <w:b w:val="0"/>
                      <w:bCs/>
                      <w:color w:val="000000"/>
                      <w:highlight w:val="none"/>
                    </w:rPr>
                    <w:t>部</w:t>
                  </w:r>
                </w:p>
              </w:tc>
              <w:tc>
                <w:tcPr>
                  <w:tcW w:w="350" w:type="pct"/>
                  <w:noWrap w:val="0"/>
                  <w:vAlign w:val="center"/>
                </w:tcPr>
                <w:p w14:paraId="26156004">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182DA79E">
                  <w:pPr>
                    <w:pStyle w:val="26"/>
                    <w:rPr>
                      <w:rFonts w:ascii="Times New Roman" w:hAnsi="Times New Roman"/>
                      <w:b w:val="0"/>
                      <w:bCs/>
                      <w:color w:val="000000"/>
                      <w:highlight w:val="none"/>
                    </w:rPr>
                  </w:pPr>
                </w:p>
              </w:tc>
            </w:tr>
            <w:tr w14:paraId="4B64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7A5C65CA">
                  <w:pPr>
                    <w:pStyle w:val="26"/>
                    <w:rPr>
                      <w:rFonts w:ascii="Times New Roman" w:hAnsi="Times New Roman"/>
                      <w:b w:val="0"/>
                      <w:bCs/>
                      <w:color w:val="000000"/>
                      <w:highlight w:val="none"/>
                    </w:rPr>
                  </w:pPr>
                  <w:r>
                    <w:rPr>
                      <w:rFonts w:ascii="Times New Roman" w:hAnsi="Times New Roman"/>
                      <w:b w:val="0"/>
                      <w:bCs/>
                      <w:color w:val="000000"/>
                      <w:highlight w:val="none"/>
                    </w:rPr>
                    <w:t>20</w:t>
                  </w:r>
                </w:p>
              </w:tc>
              <w:tc>
                <w:tcPr>
                  <w:tcW w:w="1069" w:type="pct"/>
                  <w:noWrap w:val="0"/>
                  <w:vAlign w:val="center"/>
                </w:tcPr>
                <w:p w14:paraId="4D671EDF">
                  <w:pPr>
                    <w:pStyle w:val="26"/>
                    <w:rPr>
                      <w:rFonts w:ascii="Times New Roman" w:hAnsi="Times New Roman"/>
                      <w:b w:val="0"/>
                      <w:bCs/>
                      <w:color w:val="000000"/>
                      <w:highlight w:val="none"/>
                    </w:rPr>
                  </w:pPr>
                  <w:r>
                    <w:rPr>
                      <w:rFonts w:ascii="Times New Roman" w:hAnsi="Times New Roman"/>
                      <w:b w:val="0"/>
                      <w:bCs/>
                      <w:color w:val="000000"/>
                      <w:highlight w:val="none"/>
                    </w:rPr>
                    <w:t>消防砂</w:t>
                  </w:r>
                </w:p>
              </w:tc>
              <w:tc>
                <w:tcPr>
                  <w:tcW w:w="1178" w:type="pct"/>
                  <w:noWrap w:val="0"/>
                  <w:vAlign w:val="center"/>
                </w:tcPr>
                <w:p w14:paraId="0DED1034">
                  <w:pPr>
                    <w:pStyle w:val="26"/>
                    <w:rPr>
                      <w:rFonts w:ascii="Times New Roman" w:hAnsi="Times New Roman"/>
                      <w:b w:val="0"/>
                      <w:bCs/>
                      <w:color w:val="000000"/>
                      <w:highlight w:val="none"/>
                    </w:rPr>
                  </w:pPr>
                </w:p>
              </w:tc>
              <w:tc>
                <w:tcPr>
                  <w:tcW w:w="518" w:type="pct"/>
                  <w:noWrap w:val="0"/>
                  <w:vAlign w:val="center"/>
                </w:tcPr>
                <w:p w14:paraId="41B0ACA9">
                  <w:pPr>
                    <w:pStyle w:val="26"/>
                    <w:rPr>
                      <w:rFonts w:ascii="Times New Roman" w:hAnsi="Times New Roman"/>
                      <w:b w:val="0"/>
                      <w:bCs/>
                      <w:color w:val="000000"/>
                      <w:highlight w:val="none"/>
                    </w:rPr>
                  </w:pPr>
                  <w:r>
                    <w:rPr>
                      <w:rFonts w:ascii="Times New Roman" w:hAnsi="Times New Roman"/>
                      <w:b w:val="0"/>
                      <w:bCs/>
                      <w:color w:val="000000"/>
                      <w:highlight w:val="none"/>
                    </w:rPr>
                    <w:t>m</w:t>
                  </w:r>
                  <w:r>
                    <w:rPr>
                      <w:rFonts w:ascii="Times New Roman" w:hAnsi="Times New Roman"/>
                      <w:b w:val="0"/>
                      <w:bCs/>
                      <w:color w:val="000000"/>
                      <w:highlight w:val="none"/>
                      <w:vertAlign w:val="superscript"/>
                    </w:rPr>
                    <w:t>3</w:t>
                  </w:r>
                </w:p>
              </w:tc>
              <w:tc>
                <w:tcPr>
                  <w:tcW w:w="350" w:type="pct"/>
                  <w:noWrap w:val="0"/>
                  <w:vAlign w:val="center"/>
                </w:tcPr>
                <w:p w14:paraId="20673D0C">
                  <w:pPr>
                    <w:pStyle w:val="26"/>
                    <w:rPr>
                      <w:rFonts w:ascii="Times New Roman" w:hAnsi="Times New Roman"/>
                      <w:b w:val="0"/>
                      <w:bCs/>
                      <w:color w:val="000000"/>
                      <w:highlight w:val="none"/>
                    </w:rPr>
                  </w:pPr>
                  <w:r>
                    <w:rPr>
                      <w:rFonts w:ascii="Times New Roman" w:hAnsi="Times New Roman"/>
                      <w:b w:val="0"/>
                      <w:bCs/>
                      <w:color w:val="000000"/>
                      <w:highlight w:val="none"/>
                    </w:rPr>
                    <w:t>0.5</w:t>
                  </w:r>
                </w:p>
              </w:tc>
              <w:tc>
                <w:tcPr>
                  <w:tcW w:w="1439" w:type="pct"/>
                  <w:noWrap w:val="0"/>
                  <w:vAlign w:val="center"/>
                </w:tcPr>
                <w:p w14:paraId="6CACE1B2">
                  <w:pPr>
                    <w:pStyle w:val="26"/>
                    <w:rPr>
                      <w:rFonts w:ascii="Times New Roman" w:hAnsi="Times New Roman"/>
                      <w:b w:val="0"/>
                      <w:bCs/>
                      <w:color w:val="000000"/>
                      <w:highlight w:val="none"/>
                    </w:rPr>
                  </w:pPr>
                </w:p>
              </w:tc>
            </w:tr>
            <w:tr w14:paraId="6FBCA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4" w:type="pct"/>
                  <w:gridSpan w:val="2"/>
                  <w:noWrap w:val="0"/>
                  <w:vAlign w:val="center"/>
                </w:tcPr>
                <w:p w14:paraId="1A5E0ECD">
                  <w:pPr>
                    <w:pStyle w:val="26"/>
                    <w:rPr>
                      <w:rFonts w:ascii="Times New Roman" w:hAnsi="Times New Roman"/>
                      <w:b w:val="0"/>
                      <w:bCs/>
                      <w:color w:val="000000"/>
                      <w:highlight w:val="none"/>
                    </w:rPr>
                  </w:pPr>
                  <w:r>
                    <w:rPr>
                      <w:rFonts w:ascii="Times New Roman" w:hAnsi="Times New Roman"/>
                      <w:b w:val="0"/>
                      <w:bCs/>
                      <w:color w:val="000000"/>
                      <w:highlight w:val="none"/>
                    </w:rPr>
                    <w:t>21</w:t>
                  </w:r>
                </w:p>
              </w:tc>
              <w:tc>
                <w:tcPr>
                  <w:tcW w:w="1069" w:type="pct"/>
                  <w:noWrap w:val="0"/>
                  <w:vAlign w:val="center"/>
                </w:tcPr>
                <w:p w14:paraId="7E44C722">
                  <w:pPr>
                    <w:pStyle w:val="26"/>
                    <w:rPr>
                      <w:rFonts w:ascii="Times New Roman" w:hAnsi="Times New Roman"/>
                      <w:b w:val="0"/>
                      <w:bCs/>
                      <w:color w:val="000000"/>
                      <w:highlight w:val="none"/>
                    </w:rPr>
                  </w:pPr>
                  <w:r>
                    <w:rPr>
                      <w:rFonts w:ascii="Times New Roman" w:hAnsi="Times New Roman"/>
                      <w:b w:val="0"/>
                      <w:bCs/>
                      <w:color w:val="000000"/>
                      <w:highlight w:val="none"/>
                    </w:rPr>
                    <w:t>推车式干粉灭火器</w:t>
                  </w:r>
                </w:p>
              </w:tc>
              <w:tc>
                <w:tcPr>
                  <w:tcW w:w="1178" w:type="pct"/>
                  <w:noWrap w:val="0"/>
                  <w:vAlign w:val="center"/>
                </w:tcPr>
                <w:p w14:paraId="7C3BE681">
                  <w:pPr>
                    <w:pStyle w:val="26"/>
                    <w:rPr>
                      <w:rFonts w:ascii="Times New Roman" w:hAnsi="Times New Roman"/>
                      <w:b w:val="0"/>
                      <w:bCs/>
                      <w:color w:val="000000"/>
                      <w:highlight w:val="none"/>
                    </w:rPr>
                  </w:pPr>
                  <w:r>
                    <w:rPr>
                      <w:rFonts w:ascii="Times New Roman" w:hAnsi="Times New Roman"/>
                      <w:b w:val="0"/>
                      <w:bCs/>
                      <w:color w:val="000000"/>
                      <w:highlight w:val="none"/>
                    </w:rPr>
                    <w:t>MFZL35型</w:t>
                  </w:r>
                </w:p>
              </w:tc>
              <w:tc>
                <w:tcPr>
                  <w:tcW w:w="518" w:type="pct"/>
                  <w:noWrap w:val="0"/>
                  <w:vAlign w:val="center"/>
                </w:tcPr>
                <w:p w14:paraId="265C890D">
                  <w:pPr>
                    <w:pStyle w:val="26"/>
                    <w:rPr>
                      <w:rFonts w:ascii="Times New Roman" w:hAnsi="Times New Roman"/>
                      <w:b w:val="0"/>
                      <w:bCs/>
                      <w:color w:val="000000"/>
                      <w:highlight w:val="none"/>
                    </w:rPr>
                  </w:pPr>
                  <w:r>
                    <w:rPr>
                      <w:rFonts w:ascii="Times New Roman" w:hAnsi="Times New Roman"/>
                      <w:b w:val="0"/>
                      <w:bCs/>
                      <w:color w:val="000000"/>
                      <w:highlight w:val="none"/>
                    </w:rPr>
                    <w:t>具</w:t>
                  </w:r>
                </w:p>
              </w:tc>
              <w:tc>
                <w:tcPr>
                  <w:tcW w:w="350" w:type="pct"/>
                  <w:noWrap w:val="0"/>
                  <w:vAlign w:val="center"/>
                </w:tcPr>
                <w:p w14:paraId="35297D51">
                  <w:pPr>
                    <w:pStyle w:val="26"/>
                    <w:rPr>
                      <w:rFonts w:ascii="Times New Roman" w:hAnsi="Times New Roman"/>
                      <w:b w:val="0"/>
                      <w:bCs/>
                      <w:color w:val="000000"/>
                      <w:highlight w:val="none"/>
                    </w:rPr>
                  </w:pPr>
                  <w:r>
                    <w:rPr>
                      <w:rFonts w:ascii="Times New Roman" w:hAnsi="Times New Roman"/>
                      <w:b w:val="0"/>
                      <w:bCs/>
                      <w:color w:val="000000"/>
                      <w:highlight w:val="none"/>
                    </w:rPr>
                    <w:t>1</w:t>
                  </w:r>
                </w:p>
              </w:tc>
              <w:tc>
                <w:tcPr>
                  <w:tcW w:w="1439" w:type="pct"/>
                  <w:noWrap w:val="0"/>
                  <w:vAlign w:val="center"/>
                </w:tcPr>
                <w:p w14:paraId="7804F8BA">
                  <w:pPr>
                    <w:pStyle w:val="26"/>
                    <w:rPr>
                      <w:rFonts w:ascii="Times New Roman" w:hAnsi="Times New Roman"/>
                      <w:b w:val="0"/>
                      <w:bCs/>
                      <w:color w:val="000000"/>
                      <w:highlight w:val="none"/>
                    </w:rPr>
                  </w:pPr>
                </w:p>
              </w:tc>
            </w:tr>
            <w:tr w14:paraId="5B331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44" w:type="pct"/>
                  <w:gridSpan w:val="2"/>
                  <w:noWrap w:val="0"/>
                  <w:vAlign w:val="center"/>
                </w:tcPr>
                <w:p w14:paraId="011EBD4A">
                  <w:pPr>
                    <w:pStyle w:val="26"/>
                    <w:rPr>
                      <w:rFonts w:ascii="Times New Roman" w:hAnsi="Times New Roman"/>
                      <w:b w:val="0"/>
                      <w:bCs/>
                      <w:color w:val="000000"/>
                      <w:highlight w:val="none"/>
                    </w:rPr>
                  </w:pPr>
                  <w:r>
                    <w:rPr>
                      <w:rFonts w:ascii="Times New Roman" w:hAnsi="Times New Roman"/>
                      <w:b w:val="0"/>
                      <w:bCs/>
                      <w:color w:val="000000"/>
                      <w:highlight w:val="none"/>
                    </w:rPr>
                    <w:t>22</w:t>
                  </w:r>
                </w:p>
              </w:tc>
              <w:tc>
                <w:tcPr>
                  <w:tcW w:w="1069" w:type="pct"/>
                  <w:noWrap w:val="0"/>
                  <w:vAlign w:val="center"/>
                </w:tcPr>
                <w:p w14:paraId="0079525E">
                  <w:pPr>
                    <w:pStyle w:val="26"/>
                    <w:rPr>
                      <w:rFonts w:ascii="Times New Roman" w:hAnsi="Times New Roman"/>
                      <w:b w:val="0"/>
                      <w:bCs/>
                      <w:color w:val="000000"/>
                      <w:highlight w:val="none"/>
                    </w:rPr>
                  </w:pPr>
                  <w:r>
                    <w:rPr>
                      <w:rFonts w:ascii="Times New Roman" w:hAnsi="Times New Roman"/>
                      <w:b w:val="0"/>
                      <w:bCs/>
                      <w:color w:val="000000"/>
                      <w:highlight w:val="none"/>
                    </w:rPr>
                    <w:t>干粉灭火器</w:t>
                  </w:r>
                </w:p>
              </w:tc>
              <w:tc>
                <w:tcPr>
                  <w:tcW w:w="1178" w:type="pct"/>
                  <w:noWrap w:val="0"/>
                  <w:vAlign w:val="center"/>
                </w:tcPr>
                <w:p w14:paraId="1B221BD3">
                  <w:pPr>
                    <w:pStyle w:val="26"/>
                    <w:rPr>
                      <w:rFonts w:ascii="Times New Roman" w:hAnsi="Times New Roman"/>
                      <w:b w:val="0"/>
                      <w:bCs/>
                      <w:color w:val="000000"/>
                      <w:highlight w:val="none"/>
                    </w:rPr>
                  </w:pPr>
                  <w:r>
                    <w:rPr>
                      <w:rFonts w:ascii="Times New Roman" w:hAnsi="Times New Roman"/>
                      <w:b w:val="0"/>
                      <w:bCs/>
                      <w:color w:val="000000"/>
                      <w:highlight w:val="none"/>
                    </w:rPr>
                    <w:t>MFZL8型</w:t>
                  </w:r>
                </w:p>
              </w:tc>
              <w:tc>
                <w:tcPr>
                  <w:tcW w:w="518" w:type="pct"/>
                  <w:noWrap w:val="0"/>
                  <w:vAlign w:val="center"/>
                </w:tcPr>
                <w:p w14:paraId="6BEE756C">
                  <w:pPr>
                    <w:pStyle w:val="26"/>
                    <w:rPr>
                      <w:rFonts w:ascii="Times New Roman" w:hAnsi="Times New Roman"/>
                      <w:b w:val="0"/>
                      <w:bCs/>
                      <w:color w:val="000000"/>
                      <w:highlight w:val="none"/>
                    </w:rPr>
                  </w:pPr>
                  <w:r>
                    <w:rPr>
                      <w:rFonts w:ascii="Times New Roman" w:hAnsi="Times New Roman"/>
                      <w:b w:val="0"/>
                      <w:bCs/>
                      <w:color w:val="000000"/>
                      <w:highlight w:val="none"/>
                    </w:rPr>
                    <w:t>具</w:t>
                  </w:r>
                </w:p>
              </w:tc>
              <w:tc>
                <w:tcPr>
                  <w:tcW w:w="350" w:type="pct"/>
                  <w:noWrap w:val="0"/>
                  <w:vAlign w:val="center"/>
                </w:tcPr>
                <w:p w14:paraId="082441E2">
                  <w:pPr>
                    <w:pStyle w:val="26"/>
                    <w:rPr>
                      <w:rFonts w:ascii="Times New Roman" w:hAnsi="Times New Roman"/>
                      <w:b w:val="0"/>
                      <w:bCs/>
                      <w:color w:val="000000"/>
                      <w:highlight w:val="none"/>
                    </w:rPr>
                  </w:pPr>
                  <w:r>
                    <w:rPr>
                      <w:rFonts w:ascii="Times New Roman" w:hAnsi="Times New Roman"/>
                      <w:b w:val="0"/>
                      <w:bCs/>
                      <w:color w:val="000000"/>
                      <w:highlight w:val="none"/>
                    </w:rPr>
                    <w:t>4</w:t>
                  </w:r>
                </w:p>
              </w:tc>
              <w:tc>
                <w:tcPr>
                  <w:tcW w:w="1439" w:type="pct"/>
                  <w:noWrap w:val="0"/>
                  <w:vAlign w:val="center"/>
                </w:tcPr>
                <w:p w14:paraId="4E3652C2">
                  <w:pPr>
                    <w:pStyle w:val="26"/>
                    <w:rPr>
                      <w:rFonts w:ascii="Times New Roman" w:hAnsi="Times New Roman"/>
                      <w:b w:val="0"/>
                      <w:bCs/>
                      <w:color w:val="000000"/>
                      <w:highlight w:val="none"/>
                    </w:rPr>
                  </w:pPr>
                </w:p>
              </w:tc>
            </w:tr>
            <w:tr w14:paraId="2B77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44" w:type="pct"/>
                  <w:gridSpan w:val="2"/>
                  <w:noWrap w:val="0"/>
                  <w:vAlign w:val="center"/>
                </w:tcPr>
                <w:p w14:paraId="6DB9C527">
                  <w:pPr>
                    <w:pStyle w:val="26"/>
                    <w:rPr>
                      <w:rFonts w:ascii="Times New Roman" w:hAnsi="Times New Roman"/>
                      <w:b w:val="0"/>
                      <w:bCs/>
                      <w:color w:val="000000"/>
                      <w:highlight w:val="none"/>
                    </w:rPr>
                  </w:pPr>
                  <w:r>
                    <w:rPr>
                      <w:rFonts w:ascii="Times New Roman" w:hAnsi="Times New Roman"/>
                      <w:b w:val="0"/>
                      <w:bCs/>
                      <w:color w:val="000000"/>
                      <w:highlight w:val="none"/>
                    </w:rPr>
                    <w:t>23</w:t>
                  </w:r>
                </w:p>
              </w:tc>
              <w:tc>
                <w:tcPr>
                  <w:tcW w:w="1069" w:type="pct"/>
                  <w:noWrap w:val="0"/>
                  <w:vAlign w:val="center"/>
                </w:tcPr>
                <w:p w14:paraId="597C099C">
                  <w:pPr>
                    <w:pStyle w:val="26"/>
                    <w:rPr>
                      <w:rFonts w:ascii="Times New Roman" w:hAnsi="Times New Roman"/>
                      <w:b w:val="0"/>
                      <w:bCs/>
                      <w:color w:val="000000"/>
                      <w:highlight w:val="none"/>
                    </w:rPr>
                  </w:pPr>
                  <w:r>
                    <w:rPr>
                      <w:rFonts w:ascii="Times New Roman" w:hAnsi="Times New Roman"/>
                      <w:b w:val="0"/>
                      <w:bCs/>
                      <w:color w:val="000000"/>
                      <w:highlight w:val="none"/>
                    </w:rPr>
                    <w:t>柴油储罐</w:t>
                  </w:r>
                </w:p>
              </w:tc>
              <w:tc>
                <w:tcPr>
                  <w:tcW w:w="1178" w:type="pct"/>
                  <w:noWrap w:val="0"/>
                  <w:vAlign w:val="center"/>
                </w:tcPr>
                <w:p w14:paraId="00304609">
                  <w:pPr>
                    <w:pStyle w:val="26"/>
                    <w:rPr>
                      <w:rFonts w:ascii="Times New Roman" w:hAnsi="Times New Roman"/>
                      <w:b w:val="0"/>
                      <w:bCs/>
                      <w:color w:val="000000"/>
                      <w:highlight w:val="none"/>
                    </w:rPr>
                  </w:pPr>
                </w:p>
              </w:tc>
              <w:tc>
                <w:tcPr>
                  <w:tcW w:w="518" w:type="pct"/>
                  <w:noWrap w:val="0"/>
                  <w:vAlign w:val="center"/>
                </w:tcPr>
                <w:p w14:paraId="17A6C34A">
                  <w:pPr>
                    <w:pStyle w:val="26"/>
                    <w:rPr>
                      <w:rFonts w:ascii="Times New Roman" w:hAnsi="Times New Roman"/>
                      <w:b w:val="0"/>
                      <w:bCs/>
                      <w:color w:val="000000"/>
                      <w:highlight w:val="none"/>
                    </w:rPr>
                  </w:pPr>
                  <w:r>
                    <w:rPr>
                      <w:rFonts w:ascii="Times New Roman" w:hAnsi="Times New Roman"/>
                      <w:b w:val="0"/>
                      <w:bCs/>
                      <w:color w:val="000000"/>
                      <w:highlight w:val="none"/>
                    </w:rPr>
                    <w:t>m</w:t>
                  </w:r>
                  <w:r>
                    <w:rPr>
                      <w:rFonts w:ascii="Times New Roman" w:hAnsi="Times New Roman"/>
                      <w:b w:val="0"/>
                      <w:bCs/>
                      <w:color w:val="000000"/>
                      <w:highlight w:val="none"/>
                      <w:vertAlign w:val="superscript"/>
                    </w:rPr>
                    <w:t>3</w:t>
                  </w:r>
                </w:p>
              </w:tc>
              <w:tc>
                <w:tcPr>
                  <w:tcW w:w="350" w:type="pct"/>
                  <w:noWrap w:val="0"/>
                  <w:vAlign w:val="center"/>
                </w:tcPr>
                <w:p w14:paraId="73312D0E">
                  <w:pPr>
                    <w:pStyle w:val="26"/>
                    <w:rPr>
                      <w:rFonts w:ascii="Times New Roman" w:hAnsi="Times New Roman"/>
                      <w:b w:val="0"/>
                      <w:bCs/>
                      <w:color w:val="000000"/>
                      <w:highlight w:val="none"/>
                    </w:rPr>
                  </w:pPr>
                  <w:r>
                    <w:rPr>
                      <w:rFonts w:ascii="Times New Roman" w:hAnsi="Times New Roman"/>
                      <w:b w:val="0"/>
                      <w:bCs/>
                      <w:color w:val="000000"/>
                      <w:highlight w:val="none"/>
                    </w:rPr>
                    <w:t>5</w:t>
                  </w:r>
                </w:p>
              </w:tc>
              <w:tc>
                <w:tcPr>
                  <w:tcW w:w="1439" w:type="pct"/>
                  <w:noWrap w:val="0"/>
                  <w:vAlign w:val="center"/>
                </w:tcPr>
                <w:p w14:paraId="59A926DA">
                  <w:pPr>
                    <w:pStyle w:val="26"/>
                    <w:rPr>
                      <w:rFonts w:ascii="Times New Roman" w:hAnsi="Times New Roman"/>
                      <w:b w:val="0"/>
                      <w:bCs/>
                      <w:color w:val="000000"/>
                      <w:highlight w:val="none"/>
                    </w:rPr>
                  </w:pPr>
                </w:p>
              </w:tc>
            </w:tr>
          </w:tbl>
          <w:p w14:paraId="43B8E501">
            <w:pPr>
              <w:adjustRightInd/>
              <w:snapToGrid/>
              <w:spacing w:line="360" w:lineRule="auto"/>
              <w:ind w:firstLine="480" w:firstLineChars="200"/>
              <w:jc w:val="both"/>
              <w:rPr>
                <w:color w:val="000000"/>
                <w:highlight w:val="none"/>
              </w:rPr>
            </w:pPr>
            <w:r>
              <w:rPr>
                <w:color w:val="000000"/>
                <w:highlight w:val="none"/>
              </w:rPr>
              <w:t>（2）试油周期</w:t>
            </w:r>
          </w:p>
          <w:p w14:paraId="2D284915">
            <w:pPr>
              <w:adjustRightInd/>
              <w:snapToGrid/>
              <w:spacing w:line="360" w:lineRule="auto"/>
              <w:ind w:firstLine="480" w:firstLineChars="200"/>
              <w:jc w:val="both"/>
              <w:rPr>
                <w:color w:val="000000"/>
                <w:highlight w:val="none"/>
              </w:rPr>
            </w:pPr>
            <w:r>
              <w:rPr>
                <w:color w:val="000000"/>
                <w:highlight w:val="none"/>
              </w:rPr>
              <w:t>本项目单井试油周期180天，试油作业人数2人。</w:t>
            </w:r>
          </w:p>
          <w:p w14:paraId="3D513F24">
            <w:pPr>
              <w:keepNext/>
              <w:keepLines/>
              <w:adjustRightInd/>
              <w:snapToGrid/>
              <w:spacing w:line="360" w:lineRule="auto"/>
              <w:jc w:val="left"/>
              <w:outlineLvl w:val="1"/>
              <w:rPr>
                <w:b/>
                <w:bCs/>
                <w:color w:val="000000"/>
                <w:highlight w:val="none"/>
              </w:rPr>
            </w:pPr>
            <w:r>
              <w:rPr>
                <w:b/>
                <w:bCs/>
                <w:color w:val="000000"/>
                <w:highlight w:val="none"/>
              </w:rPr>
              <w:t>7 公用工程</w:t>
            </w:r>
          </w:p>
          <w:p w14:paraId="55C2C0D1">
            <w:pPr>
              <w:keepNext/>
              <w:keepLines/>
              <w:adjustRightInd/>
              <w:snapToGrid/>
              <w:spacing w:line="360" w:lineRule="auto"/>
              <w:jc w:val="left"/>
              <w:outlineLvl w:val="2"/>
              <w:rPr>
                <w:b/>
                <w:bCs/>
                <w:color w:val="000000"/>
                <w:highlight w:val="none"/>
              </w:rPr>
            </w:pPr>
            <w:r>
              <w:rPr>
                <w:b/>
                <w:bCs/>
                <w:color w:val="000000"/>
                <w:highlight w:val="none"/>
              </w:rPr>
              <w:t>7.1 给水</w:t>
            </w:r>
          </w:p>
          <w:p w14:paraId="664141D8">
            <w:pPr>
              <w:adjustRightInd/>
              <w:snapToGrid/>
              <w:spacing w:line="360" w:lineRule="auto"/>
              <w:ind w:firstLine="480" w:firstLineChars="200"/>
              <w:jc w:val="both"/>
              <w:rPr>
                <w:color w:val="000000"/>
                <w:highlight w:val="none"/>
              </w:rPr>
            </w:pPr>
            <w:r>
              <w:rPr>
                <w:color w:val="000000"/>
                <w:highlight w:val="none"/>
              </w:rPr>
              <w:t>钻井期间用水主要为生活用水，钻井期钻井人数35人/井，钻井周期为125天，按每人每天用水80L计算，钻井期生活用水350m</w:t>
            </w:r>
            <w:r>
              <w:rPr>
                <w:color w:val="000000"/>
                <w:highlight w:val="none"/>
                <w:vertAlign w:val="superscript"/>
              </w:rPr>
              <w:t>3</w:t>
            </w:r>
            <w:r>
              <w:rPr>
                <w:color w:val="000000"/>
                <w:highlight w:val="none"/>
              </w:rPr>
              <w:t>。试油期，设2人巡井，不在井场食宿。</w:t>
            </w:r>
          </w:p>
          <w:p w14:paraId="7AD1990A">
            <w:pPr>
              <w:adjustRightInd/>
              <w:snapToGrid/>
              <w:spacing w:line="360" w:lineRule="auto"/>
              <w:ind w:firstLine="480" w:firstLineChars="200"/>
              <w:jc w:val="both"/>
              <w:rPr>
                <w:color w:val="000000"/>
                <w:highlight w:val="none"/>
              </w:rPr>
            </w:pPr>
            <w:r>
              <w:rPr>
                <w:color w:val="000000"/>
                <w:highlight w:val="none"/>
              </w:rPr>
              <w:t>项目区周围无成熟的供水管网，水源从就近供水点由罐车拉运至施工现场。本项目钻井期用水量较小，供水可满足其需求量。</w:t>
            </w:r>
          </w:p>
          <w:p w14:paraId="34A47617">
            <w:pPr>
              <w:keepNext/>
              <w:keepLines/>
              <w:adjustRightInd/>
              <w:snapToGrid/>
              <w:spacing w:line="360" w:lineRule="auto"/>
              <w:jc w:val="left"/>
              <w:outlineLvl w:val="2"/>
              <w:rPr>
                <w:b/>
                <w:bCs/>
                <w:color w:val="000000"/>
                <w:highlight w:val="none"/>
              </w:rPr>
            </w:pPr>
            <w:r>
              <w:rPr>
                <w:b/>
                <w:bCs/>
                <w:color w:val="000000"/>
                <w:highlight w:val="none"/>
              </w:rPr>
              <w:t>7.2 排水</w:t>
            </w:r>
          </w:p>
          <w:p w14:paraId="61E0D4F1">
            <w:pPr>
              <w:adjustRightInd/>
              <w:snapToGrid/>
              <w:spacing w:line="360" w:lineRule="auto"/>
              <w:ind w:firstLine="480" w:firstLineChars="200"/>
              <w:jc w:val="both"/>
              <w:rPr>
                <w:color w:val="000000"/>
                <w:highlight w:val="none"/>
              </w:rPr>
            </w:pPr>
            <w:r>
              <w:rPr>
                <w:color w:val="000000"/>
                <w:highlight w:val="none"/>
              </w:rPr>
              <w:t>本项目在钻井过程中采用“钻井泥浆不落地技术”，分离出的液相循环使用，无钻井废水产生。本项目废水主要为钻井期生活污水和试油期井下作业废水（洗井废水和压裂返排液）。</w:t>
            </w:r>
          </w:p>
          <w:p w14:paraId="7C7D061A">
            <w:pPr>
              <w:adjustRightInd/>
              <w:snapToGrid/>
              <w:spacing w:line="360" w:lineRule="auto"/>
              <w:ind w:firstLine="480" w:firstLineChars="200"/>
              <w:jc w:val="both"/>
              <w:rPr>
                <w:color w:val="000000"/>
                <w:highlight w:val="none"/>
              </w:rPr>
            </w:pPr>
            <w:r>
              <w:rPr>
                <w:color w:val="000000"/>
                <w:highlight w:val="none"/>
              </w:rPr>
              <w:t>本项目施工期生活污水产生量为用水量的80%，预计生活污水产生量为280m</w:t>
            </w:r>
            <w:r>
              <w:rPr>
                <w:color w:val="000000"/>
                <w:highlight w:val="none"/>
                <w:vertAlign w:val="superscript"/>
              </w:rPr>
              <w:t>3</w:t>
            </w:r>
            <w:r>
              <w:rPr>
                <w:color w:val="000000"/>
                <w:highlight w:val="none"/>
              </w:rPr>
              <w:t>。施工期生活营地设环保厕所，生活污水收集进入防渗污水收集池，</w:t>
            </w:r>
            <w:r>
              <w:rPr>
                <w:color w:val="000000"/>
                <w:szCs w:val="21"/>
                <w:highlight w:val="none"/>
              </w:rPr>
              <w:t>石西油田作业区生活区污水处理站</w:t>
            </w:r>
            <w:r>
              <w:rPr>
                <w:color w:val="000000"/>
                <w:highlight w:val="none"/>
              </w:rPr>
              <w:t>处理。</w:t>
            </w:r>
          </w:p>
          <w:p w14:paraId="7360C952">
            <w:pPr>
              <w:adjustRightInd/>
              <w:snapToGrid/>
              <w:spacing w:line="360" w:lineRule="auto"/>
              <w:ind w:firstLine="480" w:firstLineChars="200"/>
              <w:jc w:val="both"/>
              <w:rPr>
                <w:color w:val="000000"/>
                <w:highlight w:val="none"/>
              </w:rPr>
            </w:pPr>
            <w:r>
              <w:rPr>
                <w:color w:val="000000"/>
                <w:highlight w:val="none"/>
              </w:rPr>
              <w:t>本项目试油作业期间洗井废水（54.26t）和压裂返排液（306.42m</w:t>
            </w:r>
            <w:r>
              <w:rPr>
                <w:color w:val="000000"/>
                <w:highlight w:val="none"/>
                <w:vertAlign w:val="superscript"/>
              </w:rPr>
              <w:t>3</w:t>
            </w:r>
            <w:r>
              <w:rPr>
                <w:color w:val="000000"/>
                <w:highlight w:val="none"/>
              </w:rPr>
              <w:t>）入罐收集后拉运至石西集中处理站修井废液池中后再回收至石西采出水处理系统处理，达到《碎屑岩油藏注水水质指标技术要求及分析方法》（SY/T5329-2022）中标准后回注油藏。</w:t>
            </w:r>
          </w:p>
          <w:p w14:paraId="0515D881">
            <w:pPr>
              <w:keepNext/>
              <w:keepLines/>
              <w:spacing w:line="360" w:lineRule="auto"/>
              <w:jc w:val="left"/>
              <w:outlineLvl w:val="2"/>
              <w:rPr>
                <w:b/>
                <w:bCs/>
                <w:color w:val="000000"/>
                <w:highlight w:val="none"/>
              </w:rPr>
            </w:pPr>
            <w:r>
              <w:rPr>
                <w:b/>
                <w:bCs/>
                <w:color w:val="000000"/>
                <w:highlight w:val="none"/>
              </w:rPr>
              <w:t>7.3供暖</w:t>
            </w:r>
          </w:p>
          <w:p w14:paraId="31D515A8">
            <w:pPr>
              <w:spacing w:line="360" w:lineRule="auto"/>
              <w:ind w:firstLine="480" w:firstLineChars="200"/>
              <w:jc w:val="left"/>
              <w:rPr>
                <w:color w:val="000000"/>
                <w:highlight w:val="none"/>
              </w:rPr>
            </w:pPr>
            <w:r>
              <w:rPr>
                <w:color w:val="000000"/>
                <w:highlight w:val="none"/>
              </w:rPr>
              <w:t>本项目钻井期不在冬季，无需供暖。</w:t>
            </w:r>
          </w:p>
          <w:p w14:paraId="53F25B77">
            <w:pPr>
              <w:spacing w:line="360" w:lineRule="auto"/>
              <w:jc w:val="both"/>
              <w:rPr>
                <w:b/>
                <w:bCs/>
                <w:color w:val="000000"/>
                <w:highlight w:val="none"/>
              </w:rPr>
            </w:pPr>
            <w:r>
              <w:rPr>
                <w:b/>
                <w:bCs/>
                <w:color w:val="000000"/>
                <w:highlight w:val="none"/>
              </w:rPr>
              <w:t>7.4 供电</w:t>
            </w:r>
          </w:p>
          <w:p w14:paraId="733D2745">
            <w:pPr>
              <w:adjustRightInd/>
              <w:snapToGrid/>
              <w:spacing w:line="360" w:lineRule="auto"/>
              <w:ind w:firstLine="480" w:firstLineChars="200"/>
              <w:jc w:val="left"/>
              <w:rPr>
                <w:color w:val="000000"/>
                <w:highlight w:val="none"/>
              </w:rPr>
            </w:pPr>
            <w:r>
              <w:rPr>
                <w:color w:val="000000"/>
                <w:highlight w:val="none"/>
              </w:rPr>
              <w:t>钻井作业和试油作业使用柴油机和柴油发电机供电，每井钻井队配备钻井柴油机3台（2用1备），柴油发电机2台（1用1备），钻井及试油期共125天，预计消耗柴油量216.3t。</w:t>
            </w:r>
          </w:p>
          <w:p w14:paraId="381D670E">
            <w:pPr>
              <w:keepNext/>
              <w:keepLines/>
              <w:spacing w:line="360" w:lineRule="auto"/>
              <w:jc w:val="both"/>
              <w:outlineLvl w:val="1"/>
              <w:rPr>
                <w:b/>
                <w:bCs/>
                <w:color w:val="000000"/>
                <w:sz w:val="28"/>
                <w:szCs w:val="28"/>
                <w:highlight w:val="none"/>
              </w:rPr>
            </w:pPr>
            <w:r>
              <w:rPr>
                <w:b/>
                <w:bCs/>
                <w:color w:val="000000"/>
                <w:sz w:val="28"/>
                <w:szCs w:val="28"/>
                <w:highlight w:val="none"/>
              </w:rPr>
              <w:t>8 依托工程</w:t>
            </w:r>
          </w:p>
          <w:p w14:paraId="6DF5DC15">
            <w:pPr>
              <w:pStyle w:val="5"/>
              <w:numPr>
                <w:ilvl w:val="0"/>
                <w:numId w:val="0"/>
              </w:numPr>
              <w:jc w:val="both"/>
              <w:rPr>
                <w:b/>
                <w:bCs w:val="0"/>
                <w:color w:val="000000"/>
                <w:sz w:val="24"/>
                <w:highlight w:val="none"/>
              </w:rPr>
            </w:pPr>
            <w:r>
              <w:rPr>
                <w:b/>
                <w:bCs w:val="0"/>
                <w:color w:val="000000"/>
                <w:sz w:val="24"/>
                <w:highlight w:val="none"/>
              </w:rPr>
              <w:t>8.1 石西集中处理站</w:t>
            </w:r>
          </w:p>
          <w:p w14:paraId="55CC07B9">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（1）石西集中处理站环保手续</w:t>
            </w:r>
          </w:p>
          <w:p w14:paraId="5FA08618">
            <w:pPr>
              <w:widowControl/>
              <w:spacing w:line="360" w:lineRule="auto"/>
              <w:ind w:firstLine="480" w:firstLineChars="200"/>
              <w:jc w:val="left"/>
              <w:rPr>
                <w:color w:val="000000"/>
                <w:highlight w:val="none"/>
              </w:rPr>
            </w:pPr>
            <w:r>
              <w:rPr>
                <w:color w:val="000000"/>
                <w:kern w:val="0"/>
                <w:highlight w:val="none"/>
                <w:lang w:bidi="ar"/>
              </w:rPr>
              <w:t>石西集中处理站建设于1998年，是集原油处理、采出水处理、清水处理及注水为一体的集中处理站。石西集中处理站工程包含在《新疆石油管理局石西油田开发建设环境影响报告书》中，于1998年8月4日通过国家环境保护总局环评批复（环发〔1998〕201号），于2005年1月13日通过竣工环境保护验收（环验</w:t>
            </w:r>
            <w:r>
              <w:rPr>
                <w:rFonts w:hint="eastAsia"/>
                <w:color w:val="000000"/>
                <w:kern w:val="0"/>
                <w:highlight w:val="none"/>
                <w:lang w:bidi="ar"/>
              </w:rPr>
              <w:t>〔2005〕07号</w:t>
            </w:r>
            <w:r>
              <w:rPr>
                <w:color w:val="000000"/>
                <w:kern w:val="0"/>
                <w:highlight w:val="none"/>
                <w:lang w:bidi="ar"/>
              </w:rPr>
              <w:t>）。</w:t>
            </w:r>
          </w:p>
          <w:p w14:paraId="2DB453AC">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（2）石西集中处理站概况</w:t>
            </w:r>
          </w:p>
          <w:p w14:paraId="2E4D3A79">
            <w:pPr>
              <w:pStyle w:val="29"/>
              <w:jc w:val="both"/>
              <w:rPr>
                <w:color w:val="000000"/>
                <w:highlight w:val="none"/>
              </w:rPr>
            </w:pPr>
            <w:r>
              <w:rPr>
                <w:color w:val="000000"/>
                <w:highlight w:val="none"/>
              </w:rPr>
              <w:t>石西集中处理站原油处理规模为</w:t>
            </w:r>
            <w:r>
              <w:rPr>
                <w:color w:val="000000"/>
                <w:szCs w:val="28"/>
                <w:highlight w:val="none"/>
              </w:rPr>
              <w:t>120×10</w:t>
            </w:r>
            <w:r>
              <w:rPr>
                <w:color w:val="000000"/>
                <w:szCs w:val="28"/>
                <w:highlight w:val="none"/>
                <w:vertAlign w:val="superscript"/>
              </w:rPr>
              <w:t>4</w:t>
            </w:r>
            <w:r>
              <w:rPr>
                <w:color w:val="000000"/>
                <w:szCs w:val="28"/>
                <w:highlight w:val="none"/>
              </w:rPr>
              <w:t>t/a，</w:t>
            </w:r>
            <w:r>
              <w:rPr>
                <w:color w:val="000000"/>
                <w:highlight w:val="none"/>
              </w:rPr>
              <w:t>目前实际处理规模为80×10</w:t>
            </w:r>
            <w:r>
              <w:rPr>
                <w:color w:val="000000"/>
                <w:highlight w:val="none"/>
                <w:vertAlign w:val="superscript"/>
              </w:rPr>
              <w:t>4</w:t>
            </w:r>
            <w:r>
              <w:rPr>
                <w:color w:val="000000"/>
                <w:highlight w:val="none"/>
              </w:rPr>
              <w:t>t/a。石西集中处理站采出水处理规模为2600m</w:t>
            </w:r>
            <w:r>
              <w:rPr>
                <w:color w:val="000000"/>
                <w:highlight w:val="none"/>
                <w:vertAlign w:val="superscript"/>
              </w:rPr>
              <w:t>3</w:t>
            </w:r>
            <w:r>
              <w:rPr>
                <w:color w:val="000000"/>
                <w:highlight w:val="none"/>
              </w:rPr>
              <w:t>/d，目前实际处理规模为400m</w:t>
            </w:r>
            <w:r>
              <w:rPr>
                <w:color w:val="000000"/>
                <w:highlight w:val="none"/>
                <w:vertAlign w:val="superscript"/>
              </w:rPr>
              <w:t>3</w:t>
            </w:r>
            <w:r>
              <w:rPr>
                <w:color w:val="000000"/>
                <w:highlight w:val="none"/>
              </w:rPr>
              <w:t>/d。</w:t>
            </w:r>
          </w:p>
          <w:p w14:paraId="065D8A8F">
            <w:pPr>
              <w:widowControl/>
              <w:spacing w:line="360" w:lineRule="auto"/>
              <w:ind w:firstLine="480" w:firstLineChars="200"/>
              <w:jc w:val="left"/>
              <w:rPr>
                <w:color w:val="000000"/>
                <w:highlight w:val="none"/>
              </w:rPr>
            </w:pPr>
            <w:r>
              <w:rPr>
                <w:color w:val="000000"/>
                <w:highlight w:val="none"/>
              </w:rPr>
              <w:t>原油处理工艺：</w:t>
            </w:r>
            <w:r>
              <w:rPr>
                <w:color w:val="000000"/>
                <w:kern w:val="0"/>
                <w:highlight w:val="none"/>
                <w:lang w:bidi="ar"/>
              </w:rPr>
              <w:t>油区来油经管汇间汇合后进油气分离器，分离后，液相进沉降罐区进行一段重力沉降脱水，一段脱水原油含水10%左右，然后进入二段缓冲罐。缓冲罐内液体通过提升泵加压、加热炉加热后进脱水器脱水，将原油含水率</w:t>
            </w:r>
            <w:r>
              <w:rPr>
                <w:rFonts w:hint="eastAsia"/>
                <w:color w:val="000000"/>
                <w:kern w:val="0"/>
                <w:highlight w:val="none"/>
                <w:lang w:bidi="ar"/>
              </w:rPr>
              <w:t>再降</w:t>
            </w:r>
            <w:r>
              <w:rPr>
                <w:color w:val="000000"/>
                <w:kern w:val="0"/>
                <w:highlight w:val="none"/>
                <w:lang w:bidi="ar"/>
              </w:rPr>
              <w:t>至0.5%以下，然后进入原稳塔进行负压闪蒸，闪蒸后的原油进净化油罐，后经外输泵外输。分离后的天然气进除油器进行脱液，后经计量调压后输送至石西天然气处理站。卸油台来的原油经卸油泵打入罐区沉降罐进行处理。</w:t>
            </w:r>
          </w:p>
          <w:p w14:paraId="013EC97F">
            <w:pPr>
              <w:widowControl/>
              <w:spacing w:line="360" w:lineRule="auto"/>
              <w:ind w:firstLine="480" w:firstLineChars="200"/>
              <w:jc w:val="both"/>
              <w:rPr>
                <w:color w:val="000000"/>
                <w:highlight w:val="none"/>
              </w:rPr>
            </w:pPr>
            <w:r>
              <w:rPr>
                <w:color w:val="000000"/>
                <w:highlight w:val="none"/>
              </w:rPr>
              <w:t>污水处理系统：</w:t>
            </w:r>
            <w:r>
              <w:rPr>
                <w:color w:val="000000"/>
                <w:kern w:val="0"/>
                <w:highlight w:val="none"/>
                <w:lang w:bidi="ar"/>
              </w:rPr>
              <w:t>原油处理系统分离出的采出水（含油量≤300mg/L，悬浮物≤200mg/L）在进水口加入次氯酸钠杀菌剂进行第一次杀菌，进入2座1000m</w:t>
            </w:r>
            <w:r>
              <w:rPr>
                <w:color w:val="000000"/>
                <w:kern w:val="0"/>
                <w:highlight w:val="none"/>
                <w:vertAlign w:val="superscript"/>
                <w:lang w:bidi="ar"/>
              </w:rPr>
              <w:t>3</w:t>
            </w:r>
            <w:r>
              <w:rPr>
                <w:color w:val="000000"/>
                <w:kern w:val="0"/>
                <w:highlight w:val="none"/>
                <w:lang w:bidi="ar"/>
              </w:rPr>
              <w:t xml:space="preserve">调储罐进行水量、水质调节，经初步沉降除去大部分浮油和大颗粒悬浮物，保证调储罐出水悬浮物≤100mg/L、含油≤100mg/L；调储罐出水进反应沉降单元，经过化学反应、絮凝沉降后，出水（含油≤20mg/L、悬浮物≤20mg/L）经双滤料过滤器处理，出口水质指标可达到：含油≤7mg/L、悬浮物≤7mg/L，在双滤 </w:t>
            </w:r>
          </w:p>
          <w:p w14:paraId="57D70E12">
            <w:pPr>
              <w:widowControl/>
              <w:spacing w:line="360" w:lineRule="auto"/>
              <w:jc w:val="both"/>
              <w:rPr>
                <w:color w:val="000000"/>
                <w:highlight w:val="none"/>
              </w:rPr>
            </w:pPr>
            <w:r>
              <w:rPr>
                <w:color w:val="000000"/>
                <w:kern w:val="0"/>
                <w:highlight w:val="none"/>
                <w:lang w:bidi="ar"/>
              </w:rPr>
              <w:t>料过滤器新增加药口，出水口加入次氯酸钠杀菌剂进行第二次杀菌，处理后的净化水进入注水罐，用于石西油田和石南31井区油藏注水开发。</w:t>
            </w:r>
          </w:p>
          <w:p w14:paraId="26F97CD3">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（3）依托可行性</w:t>
            </w:r>
          </w:p>
          <w:p w14:paraId="5143AEBC">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石西集中处理站环保手续齐全。石西集中处理站目前剩余处理原油处理能力80×10</w:t>
            </w:r>
            <w:r>
              <w:rPr>
                <w:rFonts w:ascii="Times New Roman" w:hAnsi="Times New Roman"/>
                <w:color w:val="000000"/>
                <w:sz w:val="24"/>
                <w:szCs w:val="21"/>
                <w:highlight w:val="none"/>
                <w:vertAlign w:val="superscript"/>
              </w:rPr>
              <w:t>4</w:t>
            </w:r>
            <w:r>
              <w:rPr>
                <w:rFonts w:ascii="Times New Roman" w:hAnsi="Times New Roman"/>
                <w:color w:val="000000"/>
                <w:sz w:val="24"/>
                <w:szCs w:val="21"/>
                <w:highlight w:val="none"/>
              </w:rPr>
              <w:t>t/a，剩余废水处理能力400m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/d。本项目产生洗井废水54.26m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、压裂返排液306.42m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，由专用罐车拉运至石西集中处理站修井废液池中后再回收至石西采出水处理系统处理，依托可行。</w:t>
            </w:r>
          </w:p>
          <w:p w14:paraId="72331178">
            <w:pPr>
              <w:pStyle w:val="23"/>
              <w:jc w:val="both"/>
              <w:rPr>
                <w:color w:val="000000"/>
                <w:highlight w:val="none"/>
              </w:rPr>
            </w:pPr>
            <w:r>
              <w:rPr>
                <w:color w:val="000000"/>
                <w:highlight w:val="none"/>
              </w:rPr>
              <w:t xml:space="preserve">8.2 </w:t>
            </w:r>
            <w:r>
              <w:rPr>
                <w:bCs/>
                <w:color w:val="000000"/>
                <w:highlight w:val="none"/>
              </w:rPr>
              <w:t>石西油田作业区生活污水处理站</w:t>
            </w:r>
          </w:p>
          <w:p w14:paraId="5722779B">
            <w:pPr>
              <w:pStyle w:val="20"/>
              <w:spacing w:line="360" w:lineRule="auto"/>
              <w:ind w:firstLine="480" w:firstLineChars="200"/>
              <w:jc w:val="both"/>
              <w:rPr>
                <w:rFonts w:ascii="Times New Roman" w:cs="Times New Roman"/>
                <w:b w:val="0"/>
                <w:bCs/>
                <w:color w:val="000000"/>
                <w:highlight w:val="none"/>
              </w:rPr>
            </w:pPr>
            <w:r>
              <w:rPr>
                <w:rFonts w:ascii="Times New Roman" w:cs="Times New Roman"/>
                <w:b w:val="0"/>
                <w:bCs/>
                <w:color w:val="000000"/>
                <w:highlight w:val="none"/>
              </w:rPr>
              <w:t>本项目施工期施工人员产生的生活污水在防渗生活污水收集池收集后，定期由吸污车拉运至石西油田作业区生活污水处理站进行处理。</w:t>
            </w:r>
          </w:p>
          <w:p w14:paraId="266DA106">
            <w:pPr>
              <w:pStyle w:val="20"/>
              <w:spacing w:line="360" w:lineRule="auto"/>
              <w:ind w:firstLine="480" w:firstLineChars="200"/>
              <w:jc w:val="both"/>
              <w:rPr>
                <w:rFonts w:ascii="Times New Roman" w:cs="Times New Roman"/>
                <w:b w:val="0"/>
                <w:bCs/>
                <w:color w:val="000000"/>
                <w:highlight w:val="none"/>
              </w:rPr>
            </w:pPr>
            <w:r>
              <w:rPr>
                <w:rFonts w:ascii="Times New Roman" w:cs="Times New Roman"/>
                <w:b w:val="0"/>
                <w:bCs/>
                <w:color w:val="000000"/>
                <w:highlight w:val="none"/>
              </w:rPr>
              <w:t>石西油田作业区生活污水处理站位于石西集中处理站的西侧，距离本项目区约30.9km，项目区至石西集中处理站的油区道路已建成，废水运输较便捷。石西油田作业区于2018年实施了《石西油田作业区生活污水处理系统改造工程》，该项目于2018年11月15日取得原和布克赛尔蒙古自治县环保局批复（批复文号：和环评字〔2018〕50号），2019年10月31日建设完成，2020年1月10日完成自主验收。石西油田作业区生活污水处理系统设计处理规模为600m</w:t>
            </w:r>
            <w:r>
              <w:rPr>
                <w:rFonts w:ascii="Times New Roman" w:cs="Times New Roman"/>
                <w:b w:val="0"/>
                <w:bCs/>
                <w:color w:val="000000"/>
                <w:highlight w:val="none"/>
                <w:vertAlign w:val="superscript"/>
              </w:rPr>
              <w:t>3</w:t>
            </w:r>
            <w:r>
              <w:rPr>
                <w:rFonts w:ascii="Times New Roman" w:cs="Times New Roman"/>
                <w:b w:val="0"/>
                <w:bCs/>
                <w:color w:val="000000"/>
                <w:highlight w:val="none"/>
              </w:rPr>
              <w:t>/d，采用“接触氧化＋斜板沉淀+二氧化氯消毒”的处理工艺，出水水质可满足《城镇污水处理厂污染物排放标准》（GB18918-2002）的二级标准和《城市污水再生利用 城市杂用水水质标准》（GB/T18920-2020）中城市绿化指标，处理达标后用于厂区及周围沙漠植被的绿化。</w:t>
            </w:r>
          </w:p>
          <w:p w14:paraId="6D2A74BF">
            <w:pPr>
              <w:widowControl/>
              <w:spacing w:line="360" w:lineRule="auto"/>
              <w:ind w:firstLine="480"/>
              <w:jc w:val="left"/>
              <w:rPr>
                <w:color w:val="000000"/>
                <w:highlight w:val="none"/>
              </w:rPr>
            </w:pPr>
            <w:r>
              <w:rPr>
                <w:bCs/>
                <w:color w:val="000000"/>
                <w:highlight w:val="none"/>
              </w:rPr>
              <w:t>目前石西油田作业区生活污水处理系统实际处理量为540m</w:t>
            </w:r>
            <w:r>
              <w:rPr>
                <w:bCs/>
                <w:color w:val="000000"/>
                <w:highlight w:val="none"/>
                <w:vertAlign w:val="superscript"/>
              </w:rPr>
              <w:t>3</w:t>
            </w:r>
            <w:r>
              <w:rPr>
                <w:bCs/>
                <w:color w:val="000000"/>
                <w:highlight w:val="none"/>
              </w:rPr>
              <w:t>/d，剩余处理能力60m</w:t>
            </w:r>
            <w:r>
              <w:rPr>
                <w:bCs/>
                <w:color w:val="000000"/>
                <w:highlight w:val="none"/>
                <w:vertAlign w:val="superscript"/>
              </w:rPr>
              <w:t>3</w:t>
            </w:r>
            <w:r>
              <w:rPr>
                <w:bCs/>
                <w:color w:val="000000"/>
                <w:highlight w:val="none"/>
              </w:rPr>
              <w:t>/d。</w:t>
            </w:r>
            <w:r>
              <w:rPr>
                <w:color w:val="000000"/>
                <w:kern w:val="0"/>
                <w:highlight w:val="none"/>
                <w:lang w:bidi="ar"/>
              </w:rPr>
              <w:t>本项目施工人员的生活污水最大产生量为2.24m³/d（280m³/施工期）</w:t>
            </w:r>
            <w:r>
              <w:rPr>
                <w:bCs/>
                <w:color w:val="000000"/>
                <w:highlight w:val="none"/>
              </w:rPr>
              <w:t>，依托可行。</w:t>
            </w:r>
          </w:p>
          <w:p w14:paraId="560CAA67">
            <w:pPr>
              <w:pStyle w:val="23"/>
              <w:jc w:val="both"/>
              <w:rPr>
                <w:color w:val="000000"/>
                <w:highlight w:val="none"/>
              </w:rPr>
            </w:pPr>
            <w:r>
              <w:rPr>
                <w:color w:val="000000"/>
                <w:highlight w:val="none"/>
              </w:rPr>
              <w:t xml:space="preserve">8.3 </w:t>
            </w:r>
            <w:r>
              <w:rPr>
                <w:bCs/>
                <w:color w:val="000000"/>
                <w:highlight w:val="none"/>
              </w:rPr>
              <w:t>石西油田作业区生活垃圾填埋场</w:t>
            </w:r>
          </w:p>
          <w:p w14:paraId="077AFC42">
            <w:pPr>
              <w:widowControl/>
              <w:spacing w:line="360" w:lineRule="auto"/>
              <w:ind w:firstLine="480"/>
              <w:jc w:val="both"/>
              <w:rPr>
                <w:bCs/>
                <w:color w:val="000000"/>
                <w:highlight w:val="none"/>
              </w:rPr>
            </w:pPr>
            <w:r>
              <w:rPr>
                <w:bCs/>
                <w:color w:val="000000"/>
                <w:highlight w:val="none"/>
              </w:rPr>
              <w:t>石西油田作业区在2017年已建1座生活垃圾填埋场及危废临时暂存场，位于石西公寓西北偏西方向2.5km处。生活垃圾卫生填埋场占地22900m</w:t>
            </w:r>
            <w:r>
              <w:rPr>
                <w:bCs/>
                <w:color w:val="000000"/>
                <w:highlight w:val="none"/>
                <w:vertAlign w:val="superscript"/>
              </w:rPr>
              <w:t>2</w:t>
            </w:r>
            <w:r>
              <w:rPr>
                <w:bCs/>
                <w:color w:val="000000"/>
                <w:highlight w:val="none"/>
              </w:rPr>
              <w:t>，设计库容为25000m</w:t>
            </w:r>
            <w:r>
              <w:rPr>
                <w:bCs/>
                <w:color w:val="000000"/>
                <w:highlight w:val="none"/>
                <w:vertAlign w:val="superscript"/>
              </w:rPr>
              <w:t>3</w:t>
            </w:r>
            <w:r>
              <w:rPr>
                <w:bCs/>
                <w:color w:val="000000"/>
                <w:highlight w:val="none"/>
              </w:rPr>
              <w:t>，处理规模为1320t/a，</w:t>
            </w:r>
            <w:r>
              <w:rPr>
                <w:color w:val="000000"/>
                <w:kern w:val="0"/>
                <w:highlight w:val="none"/>
                <w:lang w:bidi="ar"/>
              </w:rPr>
              <w:t>采用人工合成材料防渗衬层</w:t>
            </w:r>
            <w:r>
              <w:rPr>
                <w:bCs/>
                <w:color w:val="000000"/>
                <w:highlight w:val="none"/>
              </w:rPr>
              <w:t>，设计使用年限15年；危险废物临时储存场主要用于临时储存油井作业过程中产生的含油污泥及含油手套、大布、防渗膜等，占地650m</w:t>
            </w:r>
            <w:r>
              <w:rPr>
                <w:bCs/>
                <w:color w:val="000000"/>
                <w:highlight w:val="none"/>
                <w:vertAlign w:val="superscript"/>
              </w:rPr>
              <w:t>2</w:t>
            </w:r>
            <w:r>
              <w:rPr>
                <w:bCs/>
                <w:color w:val="000000"/>
                <w:highlight w:val="none"/>
              </w:rPr>
              <w:t>，设计最大暂存容量为400m</w:t>
            </w:r>
            <w:r>
              <w:rPr>
                <w:bCs/>
                <w:color w:val="000000"/>
                <w:highlight w:val="none"/>
                <w:vertAlign w:val="superscript"/>
              </w:rPr>
              <w:t>3</w:t>
            </w:r>
            <w:r>
              <w:rPr>
                <w:bCs/>
                <w:color w:val="000000"/>
                <w:highlight w:val="none"/>
              </w:rPr>
              <w:t>，年暂存量为700m</w:t>
            </w:r>
            <w:r>
              <w:rPr>
                <w:bCs/>
                <w:color w:val="000000"/>
                <w:highlight w:val="none"/>
                <w:vertAlign w:val="superscript"/>
              </w:rPr>
              <w:t>3</w:t>
            </w:r>
            <w:r>
              <w:rPr>
                <w:bCs/>
                <w:color w:val="000000"/>
                <w:highlight w:val="none"/>
              </w:rPr>
              <w:t>/a，设计使用年限25年，储存场墙体及地坪防渗采用2mm厚高密度聚乙烯防渗膜。</w:t>
            </w:r>
          </w:p>
          <w:p w14:paraId="1789102B">
            <w:pPr>
              <w:widowControl/>
              <w:spacing w:line="360" w:lineRule="auto"/>
              <w:ind w:firstLine="480"/>
              <w:jc w:val="both"/>
              <w:rPr>
                <w:bCs/>
                <w:color w:val="000000"/>
                <w:highlight w:val="none"/>
              </w:rPr>
            </w:pPr>
            <w:r>
              <w:rPr>
                <w:color w:val="000000"/>
                <w:kern w:val="0"/>
                <w:highlight w:val="none"/>
                <w:lang w:bidi="ar"/>
              </w:rPr>
              <w:t>石西油田作业区生活垃圾填埋场包含在《石西油田作业区生活垃圾填埋场及危险废物临时储存场新建工程环境影响报告书》中</w:t>
            </w:r>
            <w:r>
              <w:rPr>
                <w:bCs/>
                <w:color w:val="000000"/>
                <w:highlight w:val="none"/>
              </w:rPr>
              <w:t>，该项目于2017年4月27日取得原自治区环保厅批复（批复文号：新环函〔2017〕616号），2019年4月29日通过新疆维吾尔自治区生态环境厅竣工环保验收（新环环评函〔2019〕516号）。</w:t>
            </w:r>
          </w:p>
          <w:p w14:paraId="32D94537">
            <w:pPr>
              <w:widowControl/>
              <w:spacing w:line="360" w:lineRule="auto"/>
              <w:ind w:firstLine="480"/>
              <w:jc w:val="both"/>
              <w:rPr>
                <w:color w:val="000000"/>
                <w:highlight w:val="none"/>
              </w:rPr>
            </w:pPr>
            <w:r>
              <w:rPr>
                <w:bCs/>
                <w:color w:val="000000"/>
                <w:highlight w:val="none"/>
              </w:rPr>
              <w:t>本项目施工期生活垃圾运送至石西油田作业区生活垃圾填埋场填埋处置。</w:t>
            </w:r>
            <w:r>
              <w:rPr>
                <w:color w:val="000000"/>
                <w:kern w:val="0"/>
                <w:highlight w:val="none"/>
                <w:lang w:bidi="ar"/>
              </w:rPr>
              <w:t>本项目生活垃圾产生量</w:t>
            </w:r>
            <w:r>
              <w:rPr>
                <w:bCs/>
                <w:color w:val="000000"/>
                <w:highlight w:val="none"/>
              </w:rPr>
              <w:t>为2.18t，相</w:t>
            </w:r>
            <w:r>
              <w:rPr>
                <w:color w:val="000000"/>
                <w:kern w:val="0"/>
                <w:highlight w:val="none"/>
                <w:lang w:bidi="ar"/>
              </w:rPr>
              <w:t>对石西油田作业区生活垃圾填埋场处理量占比较小，可满足本项目生活垃圾处理要求。</w:t>
            </w:r>
          </w:p>
        </w:tc>
      </w:tr>
      <w:tr w14:paraId="2244E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390" w:type="pct"/>
            <w:noWrap w:val="0"/>
            <w:vAlign w:val="center"/>
          </w:tcPr>
          <w:p w14:paraId="331E18AF">
            <w:pPr>
              <w:rPr>
                <w:color w:val="000000"/>
                <w:kern w:val="0"/>
                <w:highlight w:val="none"/>
              </w:rPr>
            </w:pPr>
            <w:r>
              <w:rPr>
                <w:color w:val="000000"/>
                <w:kern w:val="0"/>
                <w:highlight w:val="none"/>
              </w:rPr>
              <w:t>总平面及现场布置</w:t>
            </w:r>
          </w:p>
        </w:tc>
        <w:tc>
          <w:tcPr>
            <w:tcW w:w="4609" w:type="pct"/>
            <w:noWrap w:val="0"/>
            <w:vAlign w:val="center"/>
          </w:tcPr>
          <w:p w14:paraId="624487BB">
            <w:pPr>
              <w:spacing w:line="360" w:lineRule="auto"/>
              <w:jc w:val="left"/>
              <w:rPr>
                <w:b/>
                <w:bCs/>
                <w:color w:val="000000"/>
                <w:highlight w:val="none"/>
              </w:rPr>
            </w:pPr>
            <w:r>
              <w:rPr>
                <w:b/>
                <w:bCs/>
                <w:color w:val="000000"/>
                <w:highlight w:val="none"/>
              </w:rPr>
              <w:t>1 钻井期井场平面布置图</w:t>
            </w:r>
          </w:p>
          <w:p w14:paraId="4AF349E7">
            <w:pPr>
              <w:spacing w:line="360" w:lineRule="auto"/>
              <w:ind w:firstLine="480" w:firstLineChars="200"/>
              <w:jc w:val="left"/>
              <w:rPr>
                <w:color w:val="000000"/>
                <w:highlight w:val="none"/>
              </w:rPr>
            </w:pPr>
            <w:r>
              <w:rPr>
                <w:color w:val="000000"/>
                <w:highlight w:val="none"/>
              </w:rPr>
              <w:t>项目的布置本着结构简单、流程合理的原则进行布局。井场布置有值班房、机房、发电房、罐区、不落地设备区等。</w:t>
            </w:r>
          </w:p>
          <w:p w14:paraId="52884BEA">
            <w:pPr>
              <w:pStyle w:val="3"/>
              <w:rPr>
                <w:snapToGrid w:val="0"/>
                <w:color w:val="000000"/>
                <w:szCs w:val="24"/>
                <w:highlight w:val="none"/>
              </w:rPr>
            </w:pPr>
            <w:r>
              <w:rPr>
                <w:snapToGrid w:val="0"/>
                <w:color w:val="000000"/>
                <w:szCs w:val="24"/>
                <w:highlight w:val="none"/>
              </w:rPr>
              <w:t>2 试油井场平面布局</w:t>
            </w:r>
          </w:p>
          <w:p w14:paraId="08195B08">
            <w:pPr>
              <w:spacing w:line="360" w:lineRule="auto"/>
              <w:ind w:firstLine="480" w:firstLineChars="200"/>
              <w:jc w:val="both"/>
              <w:rPr>
                <w:rFonts w:ascii="Times New Roman" w:hAnsi="Times New Roman" w:cs="Times New Roman"/>
                <w:color w:val="000000"/>
                <w:sz w:val="24"/>
                <w:highlight w:val="none"/>
              </w:rPr>
            </w:pPr>
            <w:r>
              <w:rPr>
                <w:snapToGrid w:val="0"/>
                <w:color w:val="000000"/>
                <w:highlight w:val="none"/>
              </w:rPr>
              <w:t>试油</w:t>
            </w:r>
            <w:r>
              <w:rPr>
                <w:color w:val="000000"/>
                <w:highlight w:val="none"/>
              </w:rPr>
              <w:t>井场布置有值班房、发电房、罐区、不落地设备区、放喷管线等，试油</w:t>
            </w:r>
            <w:r>
              <w:rPr>
                <w:snapToGrid w:val="0"/>
                <w:color w:val="000000"/>
                <w:highlight w:val="none"/>
              </w:rPr>
              <w:t>井场平面布置。</w:t>
            </w:r>
          </w:p>
          <w:p w14:paraId="115AF9A8">
            <w:pPr>
              <w:keepNext/>
              <w:keepLines/>
              <w:spacing w:line="360" w:lineRule="auto"/>
              <w:jc w:val="left"/>
              <w:outlineLvl w:val="2"/>
              <w:rPr>
                <w:b/>
                <w:bCs/>
                <w:color w:val="000000"/>
                <w:highlight w:val="none"/>
              </w:rPr>
            </w:pPr>
            <w:r>
              <w:rPr>
                <w:b/>
                <w:bCs/>
                <w:color w:val="000000"/>
                <w:highlight w:val="none"/>
              </w:rPr>
              <w:t>3 防渗设计</w:t>
            </w:r>
          </w:p>
          <w:p w14:paraId="14946194">
            <w:pPr>
              <w:spacing w:line="360" w:lineRule="auto"/>
              <w:ind w:firstLine="480" w:firstLineChars="200"/>
              <w:jc w:val="both"/>
              <w:rPr>
                <w:color w:val="000000"/>
                <w:highlight w:val="none"/>
              </w:rPr>
            </w:pPr>
            <w:r>
              <w:rPr>
                <w:color w:val="000000"/>
                <w:highlight w:val="none"/>
              </w:rPr>
              <w:t>本项目钻井井场柴油罐区、岩屑储罐、各类罐体罐基础、生活污水收集池和</w:t>
            </w:r>
            <w:r>
              <w:rPr>
                <w:rFonts w:hint="eastAsia"/>
                <w:color w:val="000000"/>
                <w:highlight w:val="none"/>
              </w:rPr>
              <w:t>预留</w:t>
            </w:r>
            <w:r>
              <w:rPr>
                <w:color w:val="000000"/>
                <w:highlight w:val="none"/>
              </w:rPr>
              <w:t>放喷池采取重点防渗，参照《危险废物贮存污染控制标准》（GB18597-2023）中相应防渗要求执行；材料房、配电房、录井房、地质房等采取一般防渗要求执行；其他区域采取简单防渗，采取一般地面硬化。</w:t>
            </w:r>
          </w:p>
          <w:p w14:paraId="098585C1">
            <w:pPr>
              <w:keepNext/>
              <w:keepLines/>
              <w:spacing w:line="360" w:lineRule="auto"/>
              <w:jc w:val="left"/>
              <w:outlineLvl w:val="2"/>
              <w:rPr>
                <w:b/>
                <w:bCs/>
                <w:color w:val="000000"/>
                <w:highlight w:val="none"/>
              </w:rPr>
            </w:pPr>
            <w:r>
              <w:rPr>
                <w:b/>
                <w:bCs/>
                <w:color w:val="000000"/>
                <w:highlight w:val="none"/>
              </w:rPr>
              <w:t>4临时工程平面布置</w:t>
            </w:r>
          </w:p>
          <w:p w14:paraId="4CD415A0">
            <w:pPr>
              <w:spacing w:line="360" w:lineRule="auto"/>
              <w:ind w:firstLine="480" w:firstLineChars="200"/>
              <w:jc w:val="both"/>
              <w:rPr>
                <w:color w:val="000000"/>
                <w:highlight w:val="none"/>
              </w:rPr>
            </w:pPr>
            <w:r>
              <w:rPr>
                <w:color w:val="000000"/>
                <w:highlight w:val="none"/>
              </w:rPr>
              <w:t>本项目在井场附近设</w:t>
            </w:r>
            <w:r>
              <w:rPr>
                <w:rFonts w:hint="eastAsia"/>
                <w:color w:val="000000"/>
                <w:highlight w:val="none"/>
              </w:rPr>
              <w:t>2</w:t>
            </w:r>
            <w:r>
              <w:rPr>
                <w:color w:val="000000"/>
                <w:highlight w:val="none"/>
              </w:rPr>
              <w:t>处生活营地（</w:t>
            </w:r>
            <w:r>
              <w:rPr>
                <w:rFonts w:hint="eastAsia"/>
                <w:color w:val="000000"/>
                <w:highlight w:val="none"/>
              </w:rPr>
              <w:t>7350</w:t>
            </w:r>
            <w:r>
              <w:rPr>
                <w:color w:val="000000"/>
                <w:highlight w:val="none"/>
              </w:rPr>
              <w:t>m</w:t>
            </w:r>
            <w:r>
              <w:rPr>
                <w:color w:val="000000"/>
                <w:highlight w:val="none"/>
                <w:vertAlign w:val="superscript"/>
              </w:rPr>
              <w:t>2</w:t>
            </w:r>
            <w:r>
              <w:rPr>
                <w:color w:val="000000"/>
                <w:highlight w:val="none"/>
              </w:rPr>
              <w:t>），生活污水防渗收集池设置在生活营地内。根据井口位置和周围已建道路情况修建临时道路</w:t>
            </w:r>
            <w:r>
              <w:rPr>
                <w:rFonts w:hint="eastAsia"/>
                <w:color w:val="000000"/>
                <w:highlight w:val="none"/>
              </w:rPr>
              <w:t>，</w:t>
            </w:r>
            <w:r>
              <w:rPr>
                <w:color w:val="000000"/>
                <w:highlight w:val="none"/>
              </w:rPr>
              <w:t>修建临时道路</w:t>
            </w:r>
            <w:r>
              <w:rPr>
                <w:rFonts w:hint="eastAsia"/>
                <w:color w:val="000000"/>
                <w:highlight w:val="none"/>
              </w:rPr>
              <w:t>共3.388k</w:t>
            </w:r>
            <w:r>
              <w:rPr>
                <w:color w:val="000000"/>
                <w:highlight w:val="none"/>
              </w:rPr>
              <w:t>m，道路占地面积</w:t>
            </w:r>
            <w:r>
              <w:rPr>
                <w:rFonts w:hint="eastAsia"/>
                <w:color w:val="000000"/>
                <w:highlight w:val="none"/>
              </w:rPr>
              <w:t>69093</w:t>
            </w:r>
            <w:r>
              <w:rPr>
                <w:color w:val="000000"/>
                <w:highlight w:val="none"/>
              </w:rPr>
              <w:t>m</w:t>
            </w:r>
            <w:r>
              <w:rPr>
                <w:color w:val="000000"/>
                <w:highlight w:val="none"/>
                <w:vertAlign w:val="superscript"/>
              </w:rPr>
              <w:t>2</w:t>
            </w:r>
            <w:r>
              <w:rPr>
                <w:rFonts w:hint="eastAsia"/>
                <w:color w:val="000000"/>
                <w:highlight w:val="none"/>
              </w:rPr>
              <w:t>，其中：莫173井井场道路长1488.4m，宽29m，生活营地道路长15m，宽10m；莫174H井井场道路长1900km，宽13.5m，生活营地道路长10m，宽8m。</w:t>
            </w:r>
          </w:p>
        </w:tc>
      </w:tr>
      <w:tr w14:paraId="31939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390" w:type="pct"/>
            <w:noWrap w:val="0"/>
            <w:vAlign w:val="center"/>
          </w:tcPr>
          <w:p w14:paraId="5B8ED08F">
            <w:pPr>
              <w:rPr>
                <w:color w:val="000000"/>
                <w:kern w:val="0"/>
                <w:highlight w:val="none"/>
              </w:rPr>
            </w:pPr>
            <w:r>
              <w:rPr>
                <w:color w:val="000000"/>
                <w:kern w:val="0"/>
                <w:highlight w:val="none"/>
              </w:rPr>
              <w:t>施工方案</w:t>
            </w:r>
          </w:p>
        </w:tc>
        <w:tc>
          <w:tcPr>
            <w:tcW w:w="4609" w:type="pct"/>
            <w:noWrap w:val="0"/>
            <w:vAlign w:val="center"/>
          </w:tcPr>
          <w:p w14:paraId="08099681">
            <w:pPr>
              <w:spacing w:line="360" w:lineRule="auto"/>
              <w:ind w:firstLine="480" w:firstLineChars="200"/>
              <w:jc w:val="left"/>
              <w:rPr>
                <w:color w:val="000000"/>
                <w:highlight w:val="none"/>
              </w:rPr>
            </w:pPr>
            <w:r>
              <w:rPr>
                <w:color w:val="000000"/>
                <w:highlight w:val="none"/>
              </w:rPr>
              <w:t>本项目包括：钻前作业、钻井施工、试油作业、钻后工程。</w:t>
            </w:r>
          </w:p>
          <w:p w14:paraId="2B14224E">
            <w:pPr>
              <w:keepNext/>
              <w:keepLines/>
              <w:spacing w:line="360" w:lineRule="auto"/>
              <w:jc w:val="left"/>
              <w:outlineLvl w:val="1"/>
              <w:rPr>
                <w:b/>
                <w:bCs/>
                <w:color w:val="000000"/>
                <w:sz w:val="28"/>
                <w:szCs w:val="28"/>
                <w:highlight w:val="none"/>
              </w:rPr>
            </w:pPr>
            <w:r>
              <w:rPr>
                <w:b/>
                <w:bCs/>
                <w:color w:val="000000"/>
                <w:sz w:val="28"/>
                <w:szCs w:val="28"/>
                <w:highlight w:val="none"/>
              </w:rPr>
              <w:t>1 钻前作业</w:t>
            </w:r>
          </w:p>
          <w:p w14:paraId="3FDC054C">
            <w:pPr>
              <w:spacing w:line="360" w:lineRule="auto"/>
              <w:ind w:firstLine="480" w:firstLineChars="200"/>
              <w:jc w:val="left"/>
              <w:rPr>
                <w:color w:val="000000"/>
                <w:highlight w:val="none"/>
              </w:rPr>
            </w:pPr>
            <w:r>
              <w:rPr>
                <w:color w:val="000000"/>
                <w:highlight w:val="none"/>
              </w:rPr>
              <w:t>钻前作业主要包括：井场、道路以及生活营地占地清理平整，设备入场等，工艺流程如下：</w:t>
            </w:r>
          </w:p>
          <w:p w14:paraId="26FC51A6">
            <w:pPr>
              <w:spacing w:line="360" w:lineRule="auto"/>
              <w:ind w:firstLine="480" w:firstLineChars="200"/>
              <w:jc w:val="left"/>
              <w:rPr>
                <w:color w:val="000000"/>
                <w:highlight w:val="none"/>
              </w:rPr>
            </w:pPr>
            <w:r>
              <w:rPr>
                <w:color w:val="000000"/>
                <w:highlight w:val="none"/>
              </w:rPr>
              <w:t>（1）钻前整理场地，并保证全套钻井设备达到相关的安装标准。</w:t>
            </w:r>
          </w:p>
          <w:p w14:paraId="306BA32E">
            <w:pPr>
              <w:spacing w:line="360" w:lineRule="auto"/>
              <w:ind w:firstLine="480" w:firstLineChars="200"/>
              <w:jc w:val="left"/>
              <w:rPr>
                <w:color w:val="000000"/>
                <w:highlight w:val="none"/>
              </w:rPr>
            </w:pPr>
            <w:r>
              <w:rPr>
                <w:color w:val="000000"/>
                <w:highlight w:val="none"/>
              </w:rPr>
              <w:t>（2）在钻机安装的过程中，注意保护井口设备。</w:t>
            </w:r>
          </w:p>
          <w:p w14:paraId="786DDFC0">
            <w:pPr>
              <w:spacing w:line="360" w:lineRule="auto"/>
              <w:ind w:firstLine="480" w:firstLineChars="200"/>
              <w:jc w:val="left"/>
              <w:rPr>
                <w:color w:val="000000"/>
                <w:highlight w:val="none"/>
              </w:rPr>
            </w:pPr>
            <w:r>
              <w:rPr>
                <w:color w:val="000000"/>
                <w:highlight w:val="none"/>
              </w:rPr>
              <w:t>（3）要求天车、转盘、井口三点成一条铅垂线，误差小于10mm；确保在施工过程中不偏磨井口套管及井控设备。</w:t>
            </w:r>
          </w:p>
          <w:p w14:paraId="65A9934C">
            <w:pPr>
              <w:spacing w:line="360" w:lineRule="auto"/>
              <w:ind w:firstLine="480" w:firstLineChars="200"/>
              <w:jc w:val="left"/>
              <w:rPr>
                <w:color w:val="000000"/>
                <w:highlight w:val="none"/>
              </w:rPr>
            </w:pPr>
            <w:r>
              <w:rPr>
                <w:color w:val="000000"/>
                <w:highlight w:val="none"/>
              </w:rPr>
              <w:t>（4）设备运转正常，安全装置灵活好用。各种仪器仪表准确灵敏好用。</w:t>
            </w:r>
          </w:p>
          <w:p w14:paraId="54B6C1D4">
            <w:pPr>
              <w:spacing w:line="360" w:lineRule="auto"/>
              <w:ind w:firstLine="480" w:firstLineChars="200"/>
              <w:jc w:val="left"/>
              <w:rPr>
                <w:color w:val="000000"/>
                <w:highlight w:val="none"/>
              </w:rPr>
            </w:pPr>
            <w:r>
              <w:rPr>
                <w:color w:val="000000"/>
                <w:highlight w:val="none"/>
              </w:rPr>
              <w:t>（5）钻具在入井前必须用通径规通径。</w:t>
            </w:r>
          </w:p>
          <w:p w14:paraId="5AC49038">
            <w:pPr>
              <w:spacing w:line="360" w:lineRule="auto"/>
              <w:ind w:firstLine="480" w:firstLineChars="200"/>
              <w:jc w:val="left"/>
              <w:rPr>
                <w:color w:val="000000"/>
                <w:highlight w:val="none"/>
              </w:rPr>
            </w:pPr>
            <w:r>
              <w:rPr>
                <w:color w:val="000000"/>
                <w:highlight w:val="none"/>
              </w:rPr>
              <w:t>（6）对所有的下井钻具进行外观检查和超声波探伤，准确丈量钻具，钻具记录上注明内外径、扣型，特殊工具要画草图。</w:t>
            </w:r>
          </w:p>
          <w:p w14:paraId="21F813CF">
            <w:pPr>
              <w:spacing w:line="360" w:lineRule="auto"/>
              <w:ind w:firstLine="480" w:firstLineChars="200"/>
              <w:jc w:val="left"/>
              <w:rPr>
                <w:color w:val="000000"/>
                <w:highlight w:val="none"/>
              </w:rPr>
            </w:pPr>
            <w:r>
              <w:rPr>
                <w:color w:val="000000"/>
                <w:highlight w:val="none"/>
              </w:rPr>
              <w:t>（7）钻前道路以能通重型车为标准修建，修建为简易砂石路。</w:t>
            </w:r>
          </w:p>
          <w:p w14:paraId="58B452E1">
            <w:pPr>
              <w:keepNext/>
              <w:keepLines/>
              <w:spacing w:line="360" w:lineRule="auto"/>
              <w:jc w:val="left"/>
              <w:outlineLvl w:val="1"/>
              <w:rPr>
                <w:b/>
                <w:bCs/>
                <w:color w:val="000000"/>
                <w:sz w:val="28"/>
                <w:szCs w:val="28"/>
                <w:highlight w:val="none"/>
              </w:rPr>
            </w:pPr>
            <w:r>
              <w:rPr>
                <w:b/>
                <w:bCs/>
                <w:color w:val="000000"/>
                <w:sz w:val="28"/>
                <w:szCs w:val="28"/>
                <w:highlight w:val="none"/>
              </w:rPr>
              <w:t>2 钻井施工</w:t>
            </w:r>
          </w:p>
          <w:p w14:paraId="09C413C5">
            <w:pPr>
              <w:spacing w:line="360" w:lineRule="auto"/>
              <w:ind w:firstLine="480" w:firstLineChars="200"/>
              <w:jc w:val="both"/>
              <w:rPr>
                <w:color w:val="000000"/>
                <w:highlight w:val="none"/>
              </w:rPr>
            </w:pPr>
            <w:r>
              <w:rPr>
                <w:color w:val="000000"/>
                <w:highlight w:val="none"/>
              </w:rPr>
              <w:t>钻井时采用旋转的钻头给所钻的地层一定的压力，使钻头的牙齿嵌入地层，然后旋转钻头，利用旋转钻头的扭矩来切削地层，并用循环的钻井液将钻屑带出井眼，以保证持续钻井。钻井施工作业流程及排污节点。</w:t>
            </w:r>
          </w:p>
          <w:p w14:paraId="28B1A9EB">
            <w:pPr>
              <w:spacing w:line="360" w:lineRule="auto"/>
              <w:ind w:firstLine="480" w:firstLineChars="200"/>
              <w:jc w:val="both"/>
              <w:rPr>
                <w:color w:val="000000"/>
                <w:highlight w:val="none"/>
              </w:rPr>
            </w:pPr>
            <w:r>
              <w:rPr>
                <w:color w:val="000000"/>
                <w:highlight w:val="none"/>
              </w:rPr>
              <w:t>钻井时井筒排出的钻井泥浆及岩屑进入泥浆不落地循环系统，该系统设置振动筛、除砂器、除泥器、离心机四级处理，经四级处理后，岩屑与钻井液完全分离，钻井液返回井筒，水基岩屑临时贮存在井场内的岩屑储罐，委托第三方岩屑公司进行无害化处置。三开钻井过程产生的油基岩屑属于HW08类危险废物（废物代码：071-002-08），采用专用装置收集，由具有相应危废资质单位转运、处置。</w:t>
            </w:r>
          </w:p>
          <w:p w14:paraId="314985F1">
            <w:pPr>
              <w:spacing w:line="360" w:lineRule="auto"/>
              <w:ind w:firstLine="480" w:firstLineChars="200"/>
              <w:jc w:val="both"/>
              <w:rPr>
                <w:color w:val="000000"/>
                <w:highlight w:val="none"/>
              </w:rPr>
            </w:pPr>
            <w:r>
              <w:rPr>
                <w:color w:val="000000"/>
                <w:highlight w:val="none"/>
              </w:rPr>
              <w:t>工艺流程如下：</w:t>
            </w:r>
          </w:p>
          <w:p w14:paraId="5E39433D">
            <w:pPr>
              <w:spacing w:line="360" w:lineRule="auto"/>
              <w:ind w:firstLine="480" w:firstLineChars="200"/>
              <w:jc w:val="both"/>
              <w:rPr>
                <w:color w:val="000000"/>
                <w:highlight w:val="none"/>
              </w:rPr>
            </w:pPr>
            <w:r>
              <w:rPr>
                <w:color w:val="000000"/>
                <w:highlight w:val="none"/>
              </w:rPr>
              <w:t>（1）钻井井口产生的钻井泥浆、岩屑混合物经振动筛、除砂器、除泥器、离心机四级实现初步分离，分离出的液相进入废水收集罐，用于钻井液配制。分离出的混合物进入收集箱待进一步处理。</w:t>
            </w:r>
          </w:p>
          <w:p w14:paraId="25E05D55">
            <w:pPr>
              <w:spacing w:line="360" w:lineRule="auto"/>
              <w:ind w:firstLine="480" w:firstLineChars="200"/>
              <w:jc w:val="both"/>
              <w:rPr>
                <w:color w:val="000000"/>
                <w:highlight w:val="none"/>
              </w:rPr>
            </w:pPr>
            <w:r>
              <w:rPr>
                <w:color w:val="000000"/>
                <w:highlight w:val="none"/>
              </w:rPr>
              <w:t>（2）收集箱中的混合物经不落地系统进一步固液分离，水基岩屑委托第三方岩屑公司进行无害化处置，油基岩屑委托有危废资质单位转运、处置。</w:t>
            </w:r>
          </w:p>
          <w:p w14:paraId="1AF63B1C">
            <w:pPr>
              <w:spacing w:line="360" w:lineRule="auto"/>
              <w:ind w:firstLine="480" w:firstLineChars="200"/>
              <w:jc w:val="both"/>
              <w:rPr>
                <w:color w:val="000000"/>
                <w:highlight w:val="none"/>
              </w:rPr>
            </w:pPr>
            <w:r>
              <w:rPr>
                <w:color w:val="000000"/>
                <w:highlight w:val="none"/>
              </w:rPr>
              <w:t>（3）完井后剩余泥浆回收利用，不外排；防渗膜由施工队回收利用，废弃防渗膜交由有危废处理资质的单位处理。</w:t>
            </w:r>
          </w:p>
          <w:p w14:paraId="78622AC1">
            <w:pPr>
              <w:spacing w:line="360" w:lineRule="auto"/>
              <w:ind w:firstLine="480" w:firstLineChars="200"/>
              <w:jc w:val="both"/>
              <w:rPr>
                <w:color w:val="000000"/>
                <w:highlight w:val="none"/>
              </w:rPr>
            </w:pPr>
            <w:r>
              <w:rPr>
                <w:color w:val="000000"/>
                <w:highlight w:val="none"/>
              </w:rPr>
              <w:t>固井作业：</w:t>
            </w:r>
          </w:p>
          <w:p w14:paraId="1D989BCC">
            <w:pPr>
              <w:spacing w:line="360" w:lineRule="auto"/>
              <w:ind w:firstLine="480" w:firstLineChars="200"/>
              <w:jc w:val="both"/>
              <w:rPr>
                <w:color w:val="000000"/>
                <w:highlight w:val="none"/>
              </w:rPr>
            </w:pPr>
            <w:r>
              <w:rPr>
                <w:color w:val="000000"/>
                <w:highlight w:val="none"/>
              </w:rPr>
              <w:t>固井是在已钻成的井眼内下入套管，然后在套管与井壁之间环空内注入水泥浆将套管和地层固结在一起的工艺过程，可防止复杂情况以保证安全继续钻进下一段井眼或保证顺利开采生产层中的油、气。</w:t>
            </w:r>
          </w:p>
          <w:p w14:paraId="77FF0756">
            <w:pPr>
              <w:spacing w:line="360" w:lineRule="auto"/>
              <w:ind w:firstLine="480" w:firstLineChars="200"/>
              <w:jc w:val="both"/>
              <w:rPr>
                <w:color w:val="000000"/>
                <w:highlight w:val="none"/>
              </w:rPr>
            </w:pPr>
            <w:r>
              <w:rPr>
                <w:color w:val="000000"/>
                <w:highlight w:val="none"/>
              </w:rPr>
              <w:t>固井工程包括：下套管和注水泥两个过程。下套管就是在已经钻成的井眼中按规定深度下入一定直径、由某种或几种不同钢级及壁厚的套管组成的套管柱。注水泥就是在地面上将水泥浆通过套管柱注入到井眼与套管柱之间的环形空间中的过程。固井的主要目的是封隔疏松的易塌、易漏地层；封隔油、气、水层，防止互相窜漏。固井作业的主要设备有水泥搅拌机、下灰罐车、混合漏斗和其他附属安全防喷设备等。</w:t>
            </w:r>
          </w:p>
          <w:p w14:paraId="2C654AF8">
            <w:pPr>
              <w:spacing w:line="360" w:lineRule="auto"/>
              <w:ind w:firstLine="480" w:firstLineChars="200"/>
              <w:jc w:val="both"/>
              <w:rPr>
                <w:color w:val="000000"/>
                <w:highlight w:val="none"/>
              </w:rPr>
            </w:pPr>
            <w:r>
              <w:rPr>
                <w:color w:val="000000"/>
                <w:highlight w:val="none"/>
              </w:rPr>
              <w:t>另外，现场施工前根据实际情况要做水泥浆配方及性能复核试验，同时，如果是钻井中井漏严重，则应考虑采用双凝水泥浆体系固井，从而提高固井质量，防止因为井漏事故造成地下水环境污染。</w:t>
            </w:r>
          </w:p>
          <w:p w14:paraId="38394758">
            <w:pPr>
              <w:keepNext/>
              <w:keepLines/>
              <w:spacing w:line="360" w:lineRule="auto"/>
              <w:jc w:val="left"/>
              <w:outlineLvl w:val="2"/>
              <w:rPr>
                <w:b/>
                <w:bCs/>
                <w:color w:val="000000"/>
                <w:sz w:val="28"/>
                <w:szCs w:val="28"/>
                <w:highlight w:val="none"/>
              </w:rPr>
            </w:pPr>
            <w:r>
              <w:rPr>
                <w:b/>
                <w:bCs/>
                <w:color w:val="000000"/>
                <w:sz w:val="28"/>
                <w:szCs w:val="28"/>
                <w:highlight w:val="none"/>
              </w:rPr>
              <w:t>3 试油作业</w:t>
            </w:r>
          </w:p>
          <w:p w14:paraId="6F04F2E2">
            <w:pPr>
              <w:spacing w:line="360" w:lineRule="auto"/>
              <w:ind w:firstLine="480" w:firstLineChars="200"/>
              <w:jc w:val="both"/>
              <w:rPr>
                <w:color w:val="000000"/>
                <w:highlight w:val="none"/>
              </w:rPr>
            </w:pPr>
            <w:r>
              <w:rPr>
                <w:color w:val="000000"/>
                <w:highlight w:val="none"/>
              </w:rPr>
              <w:t>当钻至井目的层后，对油气应进行试油作业，试油就是利用专用的设备和方法，对通过地震勘察、钻井录井、测井等间接手段初步确定的可能含油（气）层位进行直接的测试，并取得目的层的产能、压力、温度、油气水性质以及地质资料的工艺过程。如钻孔在目的层遇到裂隙发育，则不需进行射孔、酸化、压裂等工作，钻孔在目的层未遇裂隙，则需进行射孔，用射孔枪打开产层，用酸化压裂液清洗裂隙，酸化目的层。</w:t>
            </w:r>
          </w:p>
          <w:p w14:paraId="661B1EFE">
            <w:pPr>
              <w:spacing w:line="360" w:lineRule="auto"/>
              <w:ind w:firstLine="480" w:firstLineChars="200"/>
              <w:jc w:val="both"/>
              <w:rPr>
                <w:color w:val="000000"/>
                <w:highlight w:val="none"/>
              </w:rPr>
            </w:pPr>
            <w:r>
              <w:rPr>
                <w:color w:val="000000"/>
                <w:highlight w:val="none"/>
              </w:rPr>
              <w:t>试油作业包括：通井（用钻杆或油管带通井规下入井内，清除井壁上附着的固体物质，如：钢渣、固井残留水泥等，同时检查套管是否有影响试油工具通过的弯曲等）、洗井（使用泵注设备，利用洗井液，通过井内管柱内外循环，清除套管壁杂物等，每口井洗井1次）、射孔（利用专用设备和射孔枪，对套管和井壁进行射孔，建立地层与井筒之间的通道）、压裂（用泵车将压裂液挤入目的层，当把目的层压出许多裂缝后，加入支撑剂，如石英砂等，充填进裂缝，提高目的层的渗透能力，每口井进行1次压裂作业）等操作，试井前安装井口各种计量设备、油气两相分离设备，采出液临时储罐等。如有油气资源，则产出液经两相分离器分离后，采出液进入临时储罐，拉运至</w:t>
            </w:r>
            <w:r>
              <w:rPr>
                <w:rFonts w:hint="eastAsia"/>
                <w:color w:val="000000"/>
                <w:highlight w:val="none"/>
              </w:rPr>
              <w:t>石西集中处理站</w:t>
            </w:r>
            <w:r>
              <w:rPr>
                <w:color w:val="000000"/>
                <w:highlight w:val="none"/>
              </w:rPr>
              <w:t>，伴生气由放散管燃烧放散。</w:t>
            </w:r>
          </w:p>
          <w:p w14:paraId="714B5D31">
            <w:pPr>
              <w:keepNext/>
              <w:keepLines/>
              <w:spacing w:line="360" w:lineRule="auto"/>
              <w:jc w:val="left"/>
              <w:outlineLvl w:val="2"/>
              <w:rPr>
                <w:b/>
                <w:bCs/>
                <w:color w:val="000000"/>
                <w:highlight w:val="none"/>
              </w:rPr>
            </w:pPr>
            <w:r>
              <w:rPr>
                <w:b/>
                <w:bCs/>
                <w:color w:val="000000"/>
                <w:highlight w:val="none"/>
              </w:rPr>
              <w:t>4 钻后工程</w:t>
            </w:r>
          </w:p>
          <w:p w14:paraId="42F130F8">
            <w:pPr>
              <w:spacing w:line="360" w:lineRule="auto"/>
              <w:ind w:firstLine="480" w:firstLineChars="200"/>
              <w:jc w:val="both"/>
              <w:rPr>
                <w:color w:val="000000"/>
                <w:kern w:val="0"/>
                <w:highlight w:val="none"/>
              </w:rPr>
            </w:pPr>
            <w:r>
              <w:rPr>
                <w:color w:val="000000"/>
                <w:highlight w:val="none"/>
              </w:rPr>
              <w:t>测试完井后。要换装井口装置，有油气时井口需换装</w:t>
            </w:r>
            <w:r>
              <w:rPr>
                <w:rFonts w:hint="eastAsia"/>
                <w:color w:val="000000"/>
                <w:highlight w:val="none"/>
              </w:rPr>
              <w:t>采油树</w:t>
            </w:r>
            <w:r>
              <w:rPr>
                <w:color w:val="000000"/>
                <w:highlight w:val="none"/>
              </w:rPr>
              <w:t>，其余设施将拆除、搬迁，钻井液材料全部进行回收，井场无遗留，钻井过程中产生的各类废物进行清理，并进行产能建设工程的环境影响评价，若该井无开采价值，则将井口用水泥封固，并对临时占地进行恢复。</w:t>
            </w:r>
          </w:p>
        </w:tc>
      </w:tr>
      <w:tr w14:paraId="04F13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390" w:type="pct"/>
            <w:noWrap w:val="0"/>
            <w:vAlign w:val="center"/>
          </w:tcPr>
          <w:p w14:paraId="32BD4372">
            <w:pPr>
              <w:rPr>
                <w:color w:val="000000"/>
                <w:kern w:val="0"/>
                <w:highlight w:val="none"/>
              </w:rPr>
            </w:pPr>
            <w:r>
              <w:rPr>
                <w:color w:val="000000"/>
                <w:kern w:val="0"/>
                <w:highlight w:val="none"/>
              </w:rPr>
              <w:t>其他</w:t>
            </w:r>
          </w:p>
        </w:tc>
        <w:tc>
          <w:tcPr>
            <w:tcW w:w="4609" w:type="pct"/>
            <w:noWrap w:val="0"/>
            <w:vAlign w:val="bottom"/>
          </w:tcPr>
          <w:p w14:paraId="668CA4F1">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本项目总占地面积113337m</w:t>
            </w:r>
            <w:r>
              <w:rPr>
                <w:rFonts w:ascii="Times New Roman" w:hAnsi="Times New Roman"/>
                <w:color w:val="000000"/>
                <w:sz w:val="24"/>
                <w:szCs w:val="21"/>
                <w:highlight w:val="none"/>
                <w:vertAlign w:val="superscript"/>
              </w:rPr>
              <w:t>2</w:t>
            </w:r>
            <w:r>
              <w:rPr>
                <w:rFonts w:ascii="Times New Roman" w:hAnsi="Times New Roman"/>
                <w:color w:val="000000"/>
                <w:sz w:val="24"/>
                <w:szCs w:val="21"/>
                <w:highlight w:val="none"/>
              </w:rPr>
              <w:t>，均为临时占地，</w:t>
            </w:r>
            <w:r>
              <w:rPr>
                <w:rFonts w:hint="eastAsia" w:ascii="Times New Roman" w:hAnsi="Times New Roman"/>
                <w:color w:val="000000"/>
                <w:sz w:val="24"/>
                <w:szCs w:val="21"/>
                <w:highlight w:val="none"/>
              </w:rPr>
              <w:t>莫173占地类型涉及临时占用国家特别规定灌木林地5.3890</w:t>
            </w:r>
            <w:r>
              <w:rPr>
                <w:rFonts w:hint="eastAsia" w:ascii="Times New Roman" w:hAnsi="Times New Roman"/>
                <w:color w:val="000000"/>
                <w:sz w:val="24"/>
                <w:szCs w:val="21"/>
                <w:highlight w:val="none"/>
                <w:lang w:val="en-US" w:eastAsia="zh-CN"/>
              </w:rPr>
              <w:t>hm²与公路用地0.2566hm²</w:t>
            </w:r>
            <w:r>
              <w:rPr>
                <w:rFonts w:hint="eastAsia" w:ascii="Times New Roman" w:hAnsi="Times New Roman"/>
                <w:color w:val="000000"/>
                <w:sz w:val="24"/>
                <w:szCs w:val="21"/>
                <w:highlight w:val="none"/>
              </w:rPr>
              <w:t>，莫174H</w:t>
            </w:r>
            <w:r>
              <w:rPr>
                <w:rFonts w:ascii="Times New Roman" w:hAnsi="Times New Roman"/>
                <w:color w:val="000000"/>
                <w:sz w:val="24"/>
                <w:szCs w:val="21"/>
                <w:highlight w:val="none"/>
              </w:rPr>
              <w:t>占地类型为灌木林地。本项目占地面积情况见表2-10。</w:t>
            </w:r>
          </w:p>
          <w:p w14:paraId="69C01568">
            <w:pPr>
              <w:overflowPunct w:val="0"/>
              <w:adjustRightInd/>
              <w:ind w:firstLine="422" w:firstLineChars="200"/>
              <w:rPr>
                <w:b/>
                <w:color w:val="000000"/>
                <w:sz w:val="21"/>
                <w:szCs w:val="21"/>
                <w:highlight w:val="none"/>
              </w:rPr>
            </w:pPr>
            <w:r>
              <w:rPr>
                <w:b/>
                <w:color w:val="000000"/>
                <w:sz w:val="21"/>
                <w:szCs w:val="21"/>
                <w:highlight w:val="none"/>
              </w:rPr>
              <w:t>表2-</w:t>
            </w:r>
            <w:r>
              <w:rPr>
                <w:rFonts w:hint="eastAsia"/>
                <w:b/>
                <w:color w:val="000000"/>
                <w:sz w:val="21"/>
                <w:szCs w:val="21"/>
                <w:highlight w:val="none"/>
              </w:rPr>
              <w:t>10</w:t>
            </w:r>
            <w:r>
              <w:rPr>
                <w:b/>
                <w:color w:val="000000"/>
                <w:sz w:val="21"/>
                <w:szCs w:val="21"/>
                <w:highlight w:val="none"/>
              </w:rPr>
              <w:t xml:space="preserve">  项目占地情况一览表</w:t>
            </w:r>
          </w:p>
          <w:tbl>
            <w:tblPr>
              <w:tblStyle w:val="16"/>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801"/>
              <w:gridCol w:w="1806"/>
              <w:gridCol w:w="798"/>
              <w:gridCol w:w="2320"/>
            </w:tblGrid>
            <w:tr w14:paraId="360A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1" w:type="pct"/>
                  <w:noWrap w:val="0"/>
                  <w:vAlign w:val="center"/>
                </w:tcPr>
                <w:p w14:paraId="5F5EE392">
                  <w:pPr>
                    <w:pStyle w:val="25"/>
                    <w:rPr>
                      <w:color w:val="000000"/>
                      <w:highlight w:val="none"/>
                    </w:rPr>
                  </w:pPr>
                  <w:r>
                    <w:rPr>
                      <w:color w:val="000000"/>
                      <w:highlight w:val="none"/>
                    </w:rPr>
                    <w:t>井号</w:t>
                  </w:r>
                </w:p>
              </w:tc>
              <w:tc>
                <w:tcPr>
                  <w:tcW w:w="1151" w:type="pct"/>
                  <w:noWrap w:val="0"/>
                  <w:vAlign w:val="center"/>
                </w:tcPr>
                <w:p w14:paraId="03F9CBE4">
                  <w:pPr>
                    <w:pStyle w:val="25"/>
                    <w:rPr>
                      <w:color w:val="000000"/>
                      <w:highlight w:val="none"/>
                    </w:rPr>
                  </w:pPr>
                  <w:r>
                    <w:rPr>
                      <w:color w:val="000000"/>
                      <w:highlight w:val="none"/>
                    </w:rPr>
                    <w:t>区域</w:t>
                  </w:r>
                </w:p>
              </w:tc>
              <w:tc>
                <w:tcPr>
                  <w:tcW w:w="1154" w:type="pct"/>
                  <w:noWrap w:val="0"/>
                  <w:vAlign w:val="center"/>
                </w:tcPr>
                <w:p w14:paraId="04A14F21">
                  <w:pPr>
                    <w:pStyle w:val="25"/>
                    <w:rPr>
                      <w:color w:val="000000"/>
                      <w:highlight w:val="none"/>
                    </w:rPr>
                  </w:pPr>
                  <w:r>
                    <w:rPr>
                      <w:color w:val="000000"/>
                      <w:highlight w:val="none"/>
                    </w:rPr>
                    <w:t>临时占地（m</w:t>
                  </w:r>
                  <w:r>
                    <w:rPr>
                      <w:color w:val="000000"/>
                      <w:highlight w:val="none"/>
                      <w:vertAlign w:val="superscript"/>
                    </w:rPr>
                    <w:t>2</w:t>
                  </w:r>
                  <w:r>
                    <w:rPr>
                      <w:color w:val="000000"/>
                      <w:highlight w:val="none"/>
                    </w:rPr>
                    <w:t>）</w:t>
                  </w:r>
                </w:p>
              </w:tc>
              <w:tc>
                <w:tcPr>
                  <w:tcW w:w="510" w:type="pct"/>
                  <w:noWrap w:val="0"/>
                  <w:vAlign w:val="center"/>
                </w:tcPr>
                <w:p w14:paraId="6029B0F1">
                  <w:pPr>
                    <w:pStyle w:val="25"/>
                    <w:rPr>
                      <w:color w:val="000000"/>
                      <w:highlight w:val="none"/>
                    </w:rPr>
                  </w:pPr>
                  <w:r>
                    <w:rPr>
                      <w:color w:val="000000"/>
                      <w:highlight w:val="none"/>
                    </w:rPr>
                    <w:t>用地类型</w:t>
                  </w:r>
                </w:p>
              </w:tc>
              <w:tc>
                <w:tcPr>
                  <w:tcW w:w="1482" w:type="pct"/>
                  <w:noWrap w:val="0"/>
                  <w:vAlign w:val="center"/>
                </w:tcPr>
                <w:p w14:paraId="73AF82D3">
                  <w:pPr>
                    <w:pStyle w:val="25"/>
                    <w:rPr>
                      <w:color w:val="000000"/>
                      <w:highlight w:val="none"/>
                    </w:rPr>
                  </w:pPr>
                  <w:r>
                    <w:rPr>
                      <w:color w:val="000000"/>
                      <w:highlight w:val="none"/>
                    </w:rPr>
                    <w:t>备  注</w:t>
                  </w:r>
                </w:p>
              </w:tc>
            </w:tr>
            <w:tr w14:paraId="3911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1" w:type="pct"/>
                  <w:vMerge w:val="restart"/>
                  <w:noWrap w:val="0"/>
                  <w:vAlign w:val="center"/>
                </w:tcPr>
                <w:p w14:paraId="1DA6C638">
                  <w:pPr>
                    <w:pStyle w:val="25"/>
                    <w:rPr>
                      <w:rFonts w:hint="eastAsia"/>
                      <w:color w:val="000000"/>
                      <w:highlight w:val="none"/>
                    </w:rPr>
                  </w:pPr>
                  <w:r>
                    <w:rPr>
                      <w:rFonts w:hint="eastAsia"/>
                      <w:color w:val="000000"/>
                      <w:highlight w:val="none"/>
                    </w:rPr>
                    <w:t>莫173井</w:t>
                  </w:r>
                </w:p>
              </w:tc>
              <w:tc>
                <w:tcPr>
                  <w:tcW w:w="1151" w:type="pct"/>
                  <w:noWrap w:val="0"/>
                  <w:vAlign w:val="center"/>
                </w:tcPr>
                <w:p w14:paraId="0E17F119">
                  <w:pPr>
                    <w:pStyle w:val="25"/>
                    <w:rPr>
                      <w:color w:val="000000"/>
                      <w:highlight w:val="none"/>
                    </w:rPr>
                  </w:pPr>
                  <w:r>
                    <w:rPr>
                      <w:color w:val="000000"/>
                      <w:highlight w:val="none"/>
                    </w:rPr>
                    <w:t>井场</w:t>
                  </w:r>
                </w:p>
              </w:tc>
              <w:tc>
                <w:tcPr>
                  <w:tcW w:w="1154" w:type="pct"/>
                  <w:noWrap w:val="0"/>
                  <w:vAlign w:val="center"/>
                </w:tcPr>
                <w:p w14:paraId="4D4EB1A6">
                  <w:pPr>
                    <w:pStyle w:val="25"/>
                    <w:rPr>
                      <w:color w:val="000000"/>
                      <w:highlight w:val="none"/>
                    </w:rPr>
                  </w:pPr>
                  <w:r>
                    <w:rPr>
                      <w:rFonts w:hint="eastAsia"/>
                      <w:color w:val="000000"/>
                      <w:highlight w:val="none"/>
                      <w:lang w:bidi="ar"/>
                    </w:rPr>
                    <w:t>20800</w:t>
                  </w:r>
                </w:p>
              </w:tc>
              <w:tc>
                <w:tcPr>
                  <w:tcW w:w="510" w:type="pct"/>
                  <w:vMerge w:val="restart"/>
                  <w:noWrap w:val="0"/>
                  <w:vAlign w:val="center"/>
                </w:tcPr>
                <w:p w14:paraId="4CC47860">
                  <w:pPr>
                    <w:pStyle w:val="25"/>
                    <w:rPr>
                      <w:rFonts w:hint="default" w:eastAsia="宋体"/>
                      <w:color w:val="000000"/>
                      <w:highlight w:val="none"/>
                      <w:lang w:val="en-US" w:eastAsia="zh-CN"/>
                    </w:rPr>
                  </w:pPr>
                  <w:r>
                    <w:rPr>
                      <w:color w:val="000000"/>
                      <w:highlight w:val="none"/>
                    </w:rPr>
                    <w:t>灌木林地</w:t>
                  </w:r>
                  <w:r>
                    <w:rPr>
                      <w:rStyle w:val="18"/>
                      <w:rFonts w:hint="eastAsia"/>
                      <w:color w:val="000000"/>
                      <w:szCs w:val="24"/>
                      <w:highlight w:val="none"/>
                      <w:lang w:eastAsia="zh-CN"/>
                    </w:rPr>
                    <w:t>、</w:t>
                  </w:r>
                  <w:r>
                    <w:rPr>
                      <w:rStyle w:val="18"/>
                      <w:rFonts w:hint="eastAsia"/>
                      <w:color w:val="000000"/>
                      <w:szCs w:val="24"/>
                      <w:highlight w:val="none"/>
                      <w:lang w:val="en-US" w:eastAsia="zh-CN"/>
                    </w:rPr>
                    <w:t>公路用地</w:t>
                  </w:r>
                </w:p>
              </w:tc>
              <w:tc>
                <w:tcPr>
                  <w:tcW w:w="1482" w:type="pct"/>
                  <w:noWrap w:val="0"/>
                  <w:vAlign w:val="center"/>
                </w:tcPr>
                <w:p w14:paraId="77F30543">
                  <w:pPr>
                    <w:pStyle w:val="25"/>
                    <w:rPr>
                      <w:color w:val="000000"/>
                      <w:highlight w:val="none"/>
                    </w:rPr>
                  </w:pPr>
                  <w:r>
                    <w:rPr>
                      <w:rFonts w:hint="eastAsia"/>
                      <w:color w:val="000000"/>
                      <w:highlight w:val="none"/>
                    </w:rPr>
                    <w:t>160m</w:t>
                  </w:r>
                  <w:r>
                    <w:rPr>
                      <w:color w:val="000000"/>
                      <w:highlight w:val="none"/>
                    </w:rPr>
                    <w:t>×</w:t>
                  </w:r>
                  <w:r>
                    <w:rPr>
                      <w:rFonts w:hint="eastAsia"/>
                      <w:color w:val="000000"/>
                      <w:highlight w:val="none"/>
                    </w:rPr>
                    <w:t>130m</w:t>
                  </w:r>
                </w:p>
              </w:tc>
            </w:tr>
            <w:tr w14:paraId="1337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1" w:type="pct"/>
                  <w:vMerge w:val="continue"/>
                  <w:noWrap w:val="0"/>
                  <w:vAlign w:val="center"/>
                </w:tcPr>
                <w:p w14:paraId="470A0531">
                  <w:pPr>
                    <w:pStyle w:val="25"/>
                    <w:rPr>
                      <w:color w:val="000000"/>
                      <w:highlight w:val="none"/>
                    </w:rPr>
                  </w:pPr>
                </w:p>
              </w:tc>
              <w:tc>
                <w:tcPr>
                  <w:tcW w:w="1151" w:type="pct"/>
                  <w:noWrap w:val="0"/>
                  <w:vAlign w:val="center"/>
                </w:tcPr>
                <w:p w14:paraId="4E3579DB">
                  <w:pPr>
                    <w:pStyle w:val="25"/>
                    <w:rPr>
                      <w:color w:val="000000"/>
                      <w:highlight w:val="none"/>
                    </w:rPr>
                  </w:pPr>
                  <w:r>
                    <w:rPr>
                      <w:color w:val="000000"/>
                      <w:highlight w:val="none"/>
                    </w:rPr>
                    <w:t>道路</w:t>
                  </w:r>
                </w:p>
              </w:tc>
              <w:tc>
                <w:tcPr>
                  <w:tcW w:w="1154" w:type="pct"/>
                  <w:noWrap w:val="0"/>
                  <w:vAlign w:val="center"/>
                </w:tcPr>
                <w:p w14:paraId="405500C1">
                  <w:pPr>
                    <w:pStyle w:val="25"/>
                    <w:rPr>
                      <w:color w:val="000000"/>
                      <w:highlight w:val="none"/>
                    </w:rPr>
                  </w:pPr>
                  <w:r>
                    <w:rPr>
                      <w:rFonts w:hint="eastAsia"/>
                      <w:color w:val="000000"/>
                      <w:highlight w:val="none"/>
                    </w:rPr>
                    <w:t>43363</w:t>
                  </w:r>
                </w:p>
              </w:tc>
              <w:tc>
                <w:tcPr>
                  <w:tcW w:w="510" w:type="pct"/>
                  <w:vMerge w:val="continue"/>
                  <w:noWrap w:val="0"/>
                  <w:vAlign w:val="center"/>
                </w:tcPr>
                <w:p w14:paraId="0F073D55">
                  <w:pPr>
                    <w:pStyle w:val="25"/>
                    <w:rPr>
                      <w:color w:val="000000"/>
                      <w:highlight w:val="none"/>
                    </w:rPr>
                  </w:pPr>
                </w:p>
              </w:tc>
              <w:tc>
                <w:tcPr>
                  <w:tcW w:w="1482" w:type="pct"/>
                  <w:noWrap w:val="0"/>
                  <w:vAlign w:val="center"/>
                </w:tcPr>
                <w:p w14:paraId="2D124E03">
                  <w:pPr>
                    <w:pStyle w:val="25"/>
                    <w:rPr>
                      <w:rFonts w:hint="eastAsia"/>
                      <w:color w:val="000000"/>
                      <w:highlight w:val="none"/>
                    </w:rPr>
                  </w:pPr>
                  <w:r>
                    <w:rPr>
                      <w:rFonts w:hint="eastAsia"/>
                      <w:color w:val="000000"/>
                      <w:highlight w:val="none"/>
                    </w:rPr>
                    <w:t>井场道路</w:t>
                  </w:r>
                  <w:r>
                    <w:rPr>
                      <w:color w:val="000000"/>
                      <w:highlight w:val="none"/>
                    </w:rPr>
                    <w:t>长度</w:t>
                  </w:r>
                  <w:r>
                    <w:rPr>
                      <w:rFonts w:hint="eastAsia"/>
                      <w:color w:val="000000"/>
                      <w:highlight w:val="none"/>
                    </w:rPr>
                    <w:t>1488.4</w:t>
                  </w:r>
                  <w:r>
                    <w:rPr>
                      <w:color w:val="000000"/>
                      <w:highlight w:val="none"/>
                    </w:rPr>
                    <w:t>m，宽度</w:t>
                  </w:r>
                  <w:r>
                    <w:rPr>
                      <w:rFonts w:hint="eastAsia"/>
                      <w:color w:val="000000"/>
                      <w:highlight w:val="none"/>
                    </w:rPr>
                    <w:t>29</w:t>
                  </w:r>
                  <w:r>
                    <w:rPr>
                      <w:color w:val="000000"/>
                      <w:highlight w:val="none"/>
                    </w:rPr>
                    <w:t>m</w:t>
                  </w:r>
                  <w:r>
                    <w:rPr>
                      <w:rFonts w:hint="eastAsia"/>
                      <w:color w:val="000000"/>
                      <w:highlight w:val="none"/>
                    </w:rPr>
                    <w:t>；生活营地道路</w:t>
                  </w:r>
                  <w:r>
                    <w:rPr>
                      <w:color w:val="000000"/>
                      <w:highlight w:val="none"/>
                    </w:rPr>
                    <w:t>长度</w:t>
                  </w:r>
                  <w:r>
                    <w:rPr>
                      <w:rFonts w:hint="eastAsia"/>
                      <w:color w:val="000000"/>
                      <w:highlight w:val="none"/>
                    </w:rPr>
                    <w:t>25</w:t>
                  </w:r>
                  <w:r>
                    <w:rPr>
                      <w:color w:val="000000"/>
                      <w:highlight w:val="none"/>
                    </w:rPr>
                    <w:t>m</w:t>
                  </w:r>
                  <w:r>
                    <w:rPr>
                      <w:rFonts w:hint="eastAsia"/>
                      <w:color w:val="000000"/>
                      <w:highlight w:val="none"/>
                    </w:rPr>
                    <w:t>，</w:t>
                  </w:r>
                  <w:r>
                    <w:rPr>
                      <w:color w:val="000000"/>
                      <w:highlight w:val="none"/>
                    </w:rPr>
                    <w:t>宽度</w:t>
                  </w:r>
                  <w:r>
                    <w:rPr>
                      <w:rFonts w:hint="eastAsia"/>
                      <w:color w:val="000000"/>
                      <w:highlight w:val="none"/>
                    </w:rPr>
                    <w:t>8</w:t>
                  </w:r>
                  <w:r>
                    <w:rPr>
                      <w:color w:val="000000"/>
                      <w:highlight w:val="none"/>
                    </w:rPr>
                    <w:t>m</w:t>
                  </w:r>
                </w:p>
              </w:tc>
            </w:tr>
            <w:tr w14:paraId="52F5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1" w:type="pct"/>
                  <w:vMerge w:val="continue"/>
                  <w:noWrap w:val="0"/>
                  <w:vAlign w:val="center"/>
                </w:tcPr>
                <w:p w14:paraId="0ACC3F72">
                  <w:pPr>
                    <w:pStyle w:val="25"/>
                    <w:rPr>
                      <w:color w:val="000000"/>
                      <w:highlight w:val="none"/>
                    </w:rPr>
                  </w:pPr>
                </w:p>
              </w:tc>
              <w:tc>
                <w:tcPr>
                  <w:tcW w:w="1151" w:type="pct"/>
                  <w:noWrap w:val="0"/>
                  <w:vAlign w:val="center"/>
                </w:tcPr>
                <w:p w14:paraId="3F1B2041">
                  <w:pPr>
                    <w:pStyle w:val="25"/>
                    <w:rPr>
                      <w:color w:val="000000"/>
                      <w:highlight w:val="none"/>
                    </w:rPr>
                  </w:pPr>
                  <w:r>
                    <w:rPr>
                      <w:color w:val="000000"/>
                      <w:highlight w:val="none"/>
                    </w:rPr>
                    <w:t>生活营地</w:t>
                  </w:r>
                </w:p>
              </w:tc>
              <w:tc>
                <w:tcPr>
                  <w:tcW w:w="1154" w:type="pct"/>
                  <w:noWrap w:val="0"/>
                  <w:vAlign w:val="center"/>
                </w:tcPr>
                <w:p w14:paraId="461CCE81">
                  <w:pPr>
                    <w:pStyle w:val="25"/>
                    <w:rPr>
                      <w:color w:val="000000"/>
                      <w:highlight w:val="none"/>
                    </w:rPr>
                  </w:pPr>
                  <w:r>
                    <w:rPr>
                      <w:rFonts w:hint="eastAsia"/>
                      <w:color w:val="000000"/>
                      <w:highlight w:val="none"/>
                      <w:lang w:bidi="ar"/>
                    </w:rPr>
                    <w:t>3850</w:t>
                  </w:r>
                </w:p>
              </w:tc>
              <w:tc>
                <w:tcPr>
                  <w:tcW w:w="510" w:type="pct"/>
                  <w:vMerge w:val="continue"/>
                  <w:noWrap w:val="0"/>
                  <w:vAlign w:val="center"/>
                </w:tcPr>
                <w:p w14:paraId="49025006">
                  <w:pPr>
                    <w:pStyle w:val="25"/>
                    <w:rPr>
                      <w:color w:val="000000"/>
                      <w:highlight w:val="none"/>
                    </w:rPr>
                  </w:pPr>
                </w:p>
              </w:tc>
              <w:tc>
                <w:tcPr>
                  <w:tcW w:w="1482" w:type="pct"/>
                  <w:noWrap w:val="0"/>
                  <w:vAlign w:val="center"/>
                </w:tcPr>
                <w:p w14:paraId="7D04F2B4">
                  <w:pPr>
                    <w:pStyle w:val="25"/>
                    <w:rPr>
                      <w:color w:val="000000"/>
                      <w:highlight w:val="none"/>
                    </w:rPr>
                  </w:pPr>
                  <w:r>
                    <w:rPr>
                      <w:rFonts w:hint="eastAsia"/>
                      <w:color w:val="000000"/>
                      <w:highlight w:val="none"/>
                    </w:rPr>
                    <w:t>7</w:t>
                  </w:r>
                  <w:r>
                    <w:rPr>
                      <w:color w:val="000000"/>
                      <w:highlight w:val="none"/>
                    </w:rPr>
                    <w:t>0m×</w:t>
                  </w:r>
                  <w:r>
                    <w:rPr>
                      <w:rFonts w:hint="eastAsia"/>
                      <w:color w:val="000000"/>
                      <w:highlight w:val="none"/>
                    </w:rPr>
                    <w:t>55</w:t>
                  </w:r>
                  <w:r>
                    <w:rPr>
                      <w:color w:val="000000"/>
                      <w:highlight w:val="none"/>
                    </w:rPr>
                    <w:t>m</w:t>
                  </w:r>
                </w:p>
              </w:tc>
            </w:tr>
            <w:tr w14:paraId="403E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1" w:type="pct"/>
                  <w:vMerge w:val="continue"/>
                  <w:noWrap w:val="0"/>
                  <w:vAlign w:val="center"/>
                </w:tcPr>
                <w:p w14:paraId="275F85B0">
                  <w:pPr>
                    <w:pStyle w:val="25"/>
                    <w:rPr>
                      <w:color w:val="000000"/>
                      <w:highlight w:val="none"/>
                    </w:rPr>
                  </w:pPr>
                </w:p>
              </w:tc>
              <w:tc>
                <w:tcPr>
                  <w:tcW w:w="1151" w:type="pct"/>
                  <w:noWrap w:val="0"/>
                  <w:vAlign w:val="center"/>
                </w:tcPr>
                <w:p w14:paraId="2C0BFAF3">
                  <w:pPr>
                    <w:pStyle w:val="25"/>
                    <w:rPr>
                      <w:color w:val="000000"/>
                      <w:highlight w:val="none"/>
                    </w:rPr>
                  </w:pPr>
                  <w:r>
                    <w:rPr>
                      <w:color w:val="000000"/>
                      <w:highlight w:val="none"/>
                    </w:rPr>
                    <w:t>放喷管线</w:t>
                  </w:r>
                </w:p>
              </w:tc>
              <w:tc>
                <w:tcPr>
                  <w:tcW w:w="1154" w:type="pct"/>
                  <w:noWrap w:val="0"/>
                  <w:vAlign w:val="center"/>
                </w:tcPr>
                <w:p w14:paraId="6B1CA27B">
                  <w:pPr>
                    <w:pStyle w:val="25"/>
                    <w:rPr>
                      <w:color w:val="000000"/>
                      <w:highlight w:val="none"/>
                      <w:lang w:bidi="ar"/>
                    </w:rPr>
                  </w:pPr>
                  <w:r>
                    <w:rPr>
                      <w:rFonts w:hint="eastAsia"/>
                      <w:color w:val="000000"/>
                      <w:highlight w:val="none"/>
                      <w:lang w:bidi="ar"/>
                    </w:rPr>
                    <w:t>72</w:t>
                  </w:r>
                </w:p>
              </w:tc>
              <w:tc>
                <w:tcPr>
                  <w:tcW w:w="510" w:type="pct"/>
                  <w:vMerge w:val="continue"/>
                  <w:noWrap w:val="0"/>
                  <w:vAlign w:val="center"/>
                </w:tcPr>
                <w:p w14:paraId="0C26D51E">
                  <w:pPr>
                    <w:pStyle w:val="25"/>
                    <w:rPr>
                      <w:color w:val="000000"/>
                      <w:highlight w:val="none"/>
                    </w:rPr>
                  </w:pPr>
                </w:p>
              </w:tc>
              <w:tc>
                <w:tcPr>
                  <w:tcW w:w="1482" w:type="pct"/>
                  <w:noWrap w:val="0"/>
                  <w:vAlign w:val="center"/>
                </w:tcPr>
                <w:p w14:paraId="3369ACB7">
                  <w:pPr>
                    <w:pStyle w:val="25"/>
                    <w:rPr>
                      <w:rFonts w:hint="eastAsia"/>
                      <w:color w:val="000000"/>
                      <w:highlight w:val="none"/>
                    </w:rPr>
                  </w:pPr>
                  <w:r>
                    <w:rPr>
                      <w:color w:val="000000"/>
                      <w:highlight w:val="none"/>
                    </w:rPr>
                    <w:t>3</w:t>
                  </w:r>
                  <w:r>
                    <w:rPr>
                      <w:rFonts w:hint="eastAsia"/>
                      <w:color w:val="000000"/>
                      <w:highlight w:val="none"/>
                    </w:rPr>
                    <w:t>6</w:t>
                  </w:r>
                  <w:r>
                    <w:rPr>
                      <w:color w:val="000000"/>
                      <w:highlight w:val="none"/>
                    </w:rPr>
                    <w:t>×</w:t>
                  </w:r>
                  <w:r>
                    <w:rPr>
                      <w:rFonts w:hint="eastAsia"/>
                      <w:color w:val="000000"/>
                      <w:highlight w:val="none"/>
                    </w:rPr>
                    <w:t>2</w:t>
                  </w:r>
                </w:p>
              </w:tc>
            </w:tr>
            <w:tr w14:paraId="6A7D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restart"/>
                  <w:noWrap w:val="0"/>
                  <w:vAlign w:val="center"/>
                </w:tcPr>
                <w:p w14:paraId="65473B4C">
                  <w:pPr>
                    <w:pStyle w:val="25"/>
                    <w:rPr>
                      <w:color w:val="000000"/>
                      <w:highlight w:val="none"/>
                    </w:rPr>
                  </w:pPr>
                  <w:r>
                    <w:rPr>
                      <w:rFonts w:hint="eastAsia"/>
                      <w:color w:val="000000"/>
                      <w:highlight w:val="none"/>
                    </w:rPr>
                    <w:t>莫174H井</w:t>
                  </w:r>
                </w:p>
              </w:tc>
              <w:tc>
                <w:tcPr>
                  <w:tcW w:w="1151" w:type="pct"/>
                  <w:noWrap w:val="0"/>
                  <w:vAlign w:val="center"/>
                </w:tcPr>
                <w:p w14:paraId="167B3D7B">
                  <w:pPr>
                    <w:pStyle w:val="25"/>
                    <w:rPr>
                      <w:color w:val="000000"/>
                      <w:highlight w:val="none"/>
                    </w:rPr>
                  </w:pPr>
                  <w:r>
                    <w:rPr>
                      <w:color w:val="000000"/>
                      <w:highlight w:val="none"/>
                    </w:rPr>
                    <w:t>井场</w:t>
                  </w:r>
                </w:p>
              </w:tc>
              <w:tc>
                <w:tcPr>
                  <w:tcW w:w="1154" w:type="pct"/>
                  <w:noWrap w:val="0"/>
                  <w:vAlign w:val="center"/>
                </w:tcPr>
                <w:p w14:paraId="5593D8A1">
                  <w:pPr>
                    <w:pStyle w:val="25"/>
                    <w:rPr>
                      <w:color w:val="000000"/>
                      <w:highlight w:val="none"/>
                      <w:lang w:bidi="ar"/>
                    </w:rPr>
                  </w:pPr>
                  <w:r>
                    <w:rPr>
                      <w:rFonts w:hint="eastAsia"/>
                      <w:color w:val="000000"/>
                      <w:highlight w:val="none"/>
                    </w:rPr>
                    <w:t>15950</w:t>
                  </w:r>
                </w:p>
              </w:tc>
              <w:tc>
                <w:tcPr>
                  <w:tcW w:w="510" w:type="pct"/>
                  <w:vMerge w:val="restart"/>
                  <w:noWrap w:val="0"/>
                  <w:vAlign w:val="center"/>
                </w:tcPr>
                <w:p w14:paraId="01FF0F0F">
                  <w:pPr>
                    <w:pStyle w:val="25"/>
                    <w:rPr>
                      <w:color w:val="000000"/>
                      <w:highlight w:val="none"/>
                    </w:rPr>
                  </w:pPr>
                  <w:r>
                    <w:rPr>
                      <w:color w:val="000000"/>
                      <w:highlight w:val="none"/>
                    </w:rPr>
                    <w:t>灌木林地</w:t>
                  </w:r>
                </w:p>
              </w:tc>
              <w:tc>
                <w:tcPr>
                  <w:tcW w:w="1482" w:type="pct"/>
                  <w:noWrap w:val="0"/>
                  <w:vAlign w:val="center"/>
                </w:tcPr>
                <w:p w14:paraId="65C34F5D">
                  <w:pPr>
                    <w:pStyle w:val="25"/>
                    <w:rPr>
                      <w:color w:val="000000"/>
                      <w:highlight w:val="none"/>
                    </w:rPr>
                  </w:pPr>
                  <w:r>
                    <w:rPr>
                      <w:rFonts w:hint="eastAsia"/>
                      <w:color w:val="000000"/>
                      <w:highlight w:val="none"/>
                    </w:rPr>
                    <w:t>145m</w:t>
                  </w:r>
                  <w:r>
                    <w:rPr>
                      <w:color w:val="000000"/>
                      <w:highlight w:val="none"/>
                    </w:rPr>
                    <w:t>×</w:t>
                  </w:r>
                  <w:r>
                    <w:rPr>
                      <w:rFonts w:hint="eastAsia"/>
                      <w:color w:val="000000"/>
                      <w:highlight w:val="none"/>
                    </w:rPr>
                    <w:t>110m</w:t>
                  </w:r>
                </w:p>
              </w:tc>
            </w:tr>
            <w:tr w14:paraId="2225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1" w:type="pct"/>
                  <w:vMerge w:val="continue"/>
                  <w:noWrap w:val="0"/>
                  <w:vAlign w:val="center"/>
                </w:tcPr>
                <w:p w14:paraId="63FDEC5D">
                  <w:pPr>
                    <w:pStyle w:val="25"/>
                    <w:rPr>
                      <w:color w:val="000000"/>
                      <w:highlight w:val="none"/>
                    </w:rPr>
                  </w:pPr>
                </w:p>
              </w:tc>
              <w:tc>
                <w:tcPr>
                  <w:tcW w:w="1151" w:type="pct"/>
                  <w:noWrap w:val="0"/>
                  <w:vAlign w:val="center"/>
                </w:tcPr>
                <w:p w14:paraId="200D46F7">
                  <w:pPr>
                    <w:pStyle w:val="25"/>
                    <w:rPr>
                      <w:color w:val="000000"/>
                      <w:highlight w:val="none"/>
                    </w:rPr>
                  </w:pPr>
                  <w:r>
                    <w:rPr>
                      <w:color w:val="000000"/>
                      <w:highlight w:val="none"/>
                    </w:rPr>
                    <w:t>道路</w:t>
                  </w:r>
                </w:p>
              </w:tc>
              <w:tc>
                <w:tcPr>
                  <w:tcW w:w="1154" w:type="pct"/>
                  <w:noWrap w:val="0"/>
                  <w:vAlign w:val="center"/>
                </w:tcPr>
                <w:p w14:paraId="524A3455">
                  <w:pPr>
                    <w:pStyle w:val="25"/>
                    <w:rPr>
                      <w:color w:val="000000"/>
                      <w:highlight w:val="none"/>
                    </w:rPr>
                  </w:pPr>
                  <w:r>
                    <w:rPr>
                      <w:rFonts w:hint="eastAsia"/>
                      <w:color w:val="000000"/>
                      <w:highlight w:val="none"/>
                    </w:rPr>
                    <w:t>25730</w:t>
                  </w:r>
                </w:p>
              </w:tc>
              <w:tc>
                <w:tcPr>
                  <w:tcW w:w="510" w:type="pct"/>
                  <w:vMerge w:val="continue"/>
                  <w:noWrap w:val="0"/>
                  <w:vAlign w:val="center"/>
                </w:tcPr>
                <w:p w14:paraId="16DFDFBC">
                  <w:pPr>
                    <w:pStyle w:val="25"/>
                    <w:rPr>
                      <w:color w:val="000000"/>
                      <w:highlight w:val="none"/>
                    </w:rPr>
                  </w:pPr>
                </w:p>
              </w:tc>
              <w:tc>
                <w:tcPr>
                  <w:tcW w:w="1482" w:type="pct"/>
                  <w:noWrap w:val="0"/>
                  <w:vAlign w:val="center"/>
                </w:tcPr>
                <w:p w14:paraId="017B5E36">
                  <w:pPr>
                    <w:pStyle w:val="25"/>
                    <w:rPr>
                      <w:color w:val="000000"/>
                      <w:highlight w:val="none"/>
                    </w:rPr>
                  </w:pPr>
                  <w:r>
                    <w:rPr>
                      <w:rFonts w:hint="eastAsia"/>
                      <w:color w:val="000000"/>
                      <w:highlight w:val="none"/>
                    </w:rPr>
                    <w:t>井场道路</w:t>
                  </w:r>
                  <w:r>
                    <w:rPr>
                      <w:color w:val="000000"/>
                      <w:highlight w:val="none"/>
                    </w:rPr>
                    <w:t>长度</w:t>
                  </w:r>
                  <w:r>
                    <w:rPr>
                      <w:rFonts w:hint="eastAsia"/>
                      <w:color w:val="000000"/>
                      <w:highlight w:val="none"/>
                    </w:rPr>
                    <w:t>1900</w:t>
                  </w:r>
                  <w:r>
                    <w:rPr>
                      <w:color w:val="000000"/>
                      <w:highlight w:val="none"/>
                    </w:rPr>
                    <w:t>m，宽度</w:t>
                  </w:r>
                  <w:r>
                    <w:rPr>
                      <w:rFonts w:hint="eastAsia"/>
                      <w:color w:val="000000"/>
                      <w:highlight w:val="none"/>
                    </w:rPr>
                    <w:t>13.5</w:t>
                  </w:r>
                  <w:r>
                    <w:rPr>
                      <w:color w:val="000000"/>
                      <w:highlight w:val="none"/>
                    </w:rPr>
                    <w:t>m</w:t>
                  </w:r>
                  <w:r>
                    <w:rPr>
                      <w:rFonts w:hint="eastAsia"/>
                      <w:color w:val="000000"/>
                      <w:highlight w:val="none"/>
                    </w:rPr>
                    <w:t>；生活营地道路</w:t>
                  </w:r>
                  <w:r>
                    <w:rPr>
                      <w:color w:val="000000"/>
                      <w:highlight w:val="none"/>
                    </w:rPr>
                    <w:t>长度</w:t>
                  </w:r>
                  <w:r>
                    <w:rPr>
                      <w:rFonts w:hint="eastAsia"/>
                      <w:color w:val="000000"/>
                      <w:highlight w:val="none"/>
                    </w:rPr>
                    <w:t>10</w:t>
                  </w:r>
                  <w:r>
                    <w:rPr>
                      <w:color w:val="000000"/>
                      <w:highlight w:val="none"/>
                    </w:rPr>
                    <w:t>m，宽度</w:t>
                  </w:r>
                  <w:r>
                    <w:rPr>
                      <w:rFonts w:hint="eastAsia"/>
                      <w:color w:val="000000"/>
                      <w:highlight w:val="none"/>
                    </w:rPr>
                    <w:t>8</w:t>
                  </w:r>
                  <w:r>
                    <w:rPr>
                      <w:color w:val="000000"/>
                      <w:highlight w:val="none"/>
                    </w:rPr>
                    <w:t>m</w:t>
                  </w:r>
                </w:p>
              </w:tc>
            </w:tr>
            <w:tr w14:paraId="0A2D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1" w:type="pct"/>
                  <w:vMerge w:val="continue"/>
                  <w:noWrap w:val="0"/>
                  <w:vAlign w:val="center"/>
                </w:tcPr>
                <w:p w14:paraId="19A3CF2E">
                  <w:pPr>
                    <w:pStyle w:val="25"/>
                    <w:rPr>
                      <w:color w:val="000000"/>
                      <w:highlight w:val="none"/>
                    </w:rPr>
                  </w:pPr>
                </w:p>
              </w:tc>
              <w:tc>
                <w:tcPr>
                  <w:tcW w:w="1151" w:type="pct"/>
                  <w:noWrap w:val="0"/>
                  <w:vAlign w:val="center"/>
                </w:tcPr>
                <w:p w14:paraId="1EABAF73">
                  <w:pPr>
                    <w:pStyle w:val="25"/>
                    <w:rPr>
                      <w:color w:val="000000"/>
                      <w:highlight w:val="none"/>
                    </w:rPr>
                  </w:pPr>
                  <w:r>
                    <w:rPr>
                      <w:color w:val="000000"/>
                      <w:highlight w:val="none"/>
                    </w:rPr>
                    <w:t>生活营地</w:t>
                  </w:r>
                </w:p>
              </w:tc>
              <w:tc>
                <w:tcPr>
                  <w:tcW w:w="1154" w:type="pct"/>
                  <w:noWrap w:val="0"/>
                  <w:vAlign w:val="center"/>
                </w:tcPr>
                <w:p w14:paraId="4226A8AB">
                  <w:pPr>
                    <w:pStyle w:val="25"/>
                    <w:rPr>
                      <w:color w:val="000000"/>
                      <w:highlight w:val="none"/>
                    </w:rPr>
                  </w:pPr>
                  <w:r>
                    <w:rPr>
                      <w:rFonts w:hint="eastAsia"/>
                      <w:color w:val="000000"/>
                      <w:highlight w:val="none"/>
                    </w:rPr>
                    <w:t>3500</w:t>
                  </w:r>
                </w:p>
              </w:tc>
              <w:tc>
                <w:tcPr>
                  <w:tcW w:w="510" w:type="pct"/>
                  <w:vMerge w:val="continue"/>
                  <w:noWrap w:val="0"/>
                  <w:vAlign w:val="center"/>
                </w:tcPr>
                <w:p w14:paraId="49F07B76">
                  <w:pPr>
                    <w:pStyle w:val="25"/>
                    <w:rPr>
                      <w:color w:val="000000"/>
                      <w:highlight w:val="none"/>
                    </w:rPr>
                  </w:pPr>
                </w:p>
              </w:tc>
              <w:tc>
                <w:tcPr>
                  <w:tcW w:w="1482" w:type="pct"/>
                  <w:noWrap w:val="0"/>
                  <w:vAlign w:val="center"/>
                </w:tcPr>
                <w:p w14:paraId="326445B2">
                  <w:pPr>
                    <w:pStyle w:val="25"/>
                    <w:rPr>
                      <w:color w:val="000000"/>
                      <w:highlight w:val="none"/>
                    </w:rPr>
                  </w:pPr>
                  <w:r>
                    <w:rPr>
                      <w:rFonts w:hint="eastAsia"/>
                      <w:color w:val="000000"/>
                      <w:highlight w:val="none"/>
                    </w:rPr>
                    <w:t>7</w:t>
                  </w:r>
                  <w:r>
                    <w:rPr>
                      <w:color w:val="000000"/>
                      <w:highlight w:val="none"/>
                    </w:rPr>
                    <w:t>0m×</w:t>
                  </w:r>
                  <w:r>
                    <w:rPr>
                      <w:rFonts w:hint="eastAsia"/>
                      <w:color w:val="000000"/>
                      <w:highlight w:val="none"/>
                    </w:rPr>
                    <w:t>50</w:t>
                  </w:r>
                  <w:r>
                    <w:rPr>
                      <w:color w:val="000000"/>
                      <w:highlight w:val="none"/>
                    </w:rPr>
                    <w:t>m</w:t>
                  </w:r>
                </w:p>
              </w:tc>
            </w:tr>
            <w:tr w14:paraId="7665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1" w:type="pct"/>
                  <w:vMerge w:val="continue"/>
                  <w:noWrap w:val="0"/>
                  <w:vAlign w:val="center"/>
                </w:tcPr>
                <w:p w14:paraId="27E1F555">
                  <w:pPr>
                    <w:pStyle w:val="25"/>
                    <w:rPr>
                      <w:color w:val="000000"/>
                      <w:highlight w:val="none"/>
                    </w:rPr>
                  </w:pPr>
                </w:p>
              </w:tc>
              <w:tc>
                <w:tcPr>
                  <w:tcW w:w="1151" w:type="pct"/>
                  <w:noWrap w:val="0"/>
                  <w:vAlign w:val="center"/>
                </w:tcPr>
                <w:p w14:paraId="1F80B05D">
                  <w:pPr>
                    <w:pStyle w:val="25"/>
                    <w:rPr>
                      <w:color w:val="000000"/>
                      <w:highlight w:val="none"/>
                    </w:rPr>
                  </w:pPr>
                  <w:r>
                    <w:rPr>
                      <w:color w:val="000000"/>
                      <w:highlight w:val="none"/>
                    </w:rPr>
                    <w:t>放喷管线</w:t>
                  </w:r>
                </w:p>
              </w:tc>
              <w:tc>
                <w:tcPr>
                  <w:tcW w:w="1154" w:type="pct"/>
                  <w:noWrap w:val="0"/>
                  <w:vAlign w:val="center"/>
                </w:tcPr>
                <w:p w14:paraId="582BC3C9">
                  <w:pPr>
                    <w:pStyle w:val="25"/>
                    <w:rPr>
                      <w:color w:val="000000"/>
                      <w:highlight w:val="none"/>
                    </w:rPr>
                  </w:pPr>
                  <w:r>
                    <w:rPr>
                      <w:rFonts w:hint="eastAsia"/>
                      <w:color w:val="000000"/>
                      <w:highlight w:val="none"/>
                    </w:rPr>
                    <w:t>72</w:t>
                  </w:r>
                </w:p>
              </w:tc>
              <w:tc>
                <w:tcPr>
                  <w:tcW w:w="510" w:type="pct"/>
                  <w:vMerge w:val="continue"/>
                  <w:noWrap w:val="0"/>
                  <w:vAlign w:val="center"/>
                </w:tcPr>
                <w:p w14:paraId="28CB5682">
                  <w:pPr>
                    <w:pStyle w:val="25"/>
                    <w:rPr>
                      <w:color w:val="000000"/>
                      <w:highlight w:val="none"/>
                    </w:rPr>
                  </w:pPr>
                </w:p>
              </w:tc>
              <w:tc>
                <w:tcPr>
                  <w:tcW w:w="1482" w:type="pct"/>
                  <w:noWrap w:val="0"/>
                  <w:vAlign w:val="center"/>
                </w:tcPr>
                <w:p w14:paraId="1A47C555">
                  <w:pPr>
                    <w:pStyle w:val="25"/>
                    <w:rPr>
                      <w:color w:val="000000"/>
                      <w:highlight w:val="none"/>
                    </w:rPr>
                  </w:pPr>
                  <w:r>
                    <w:rPr>
                      <w:color w:val="000000"/>
                      <w:highlight w:val="none"/>
                    </w:rPr>
                    <w:t>3</w:t>
                  </w:r>
                  <w:r>
                    <w:rPr>
                      <w:rFonts w:hint="eastAsia"/>
                      <w:color w:val="000000"/>
                      <w:highlight w:val="none"/>
                    </w:rPr>
                    <w:t>6</w:t>
                  </w:r>
                  <w:r>
                    <w:rPr>
                      <w:color w:val="000000"/>
                      <w:highlight w:val="none"/>
                    </w:rPr>
                    <w:t>×</w:t>
                  </w:r>
                  <w:r>
                    <w:rPr>
                      <w:rFonts w:hint="eastAsia"/>
                      <w:color w:val="000000"/>
                      <w:highlight w:val="none"/>
                    </w:rPr>
                    <w:t>2</w:t>
                  </w:r>
                </w:p>
              </w:tc>
            </w:tr>
            <w:tr w14:paraId="4769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52" w:type="pct"/>
                  <w:gridSpan w:val="2"/>
                  <w:noWrap w:val="0"/>
                  <w:vAlign w:val="center"/>
                </w:tcPr>
                <w:p w14:paraId="11DFEABE">
                  <w:pPr>
                    <w:pStyle w:val="25"/>
                    <w:rPr>
                      <w:color w:val="000000"/>
                      <w:highlight w:val="none"/>
                    </w:rPr>
                  </w:pPr>
                  <w:r>
                    <w:rPr>
                      <w:color w:val="000000"/>
                      <w:highlight w:val="none"/>
                    </w:rPr>
                    <w:t>小  计</w:t>
                  </w:r>
                </w:p>
              </w:tc>
              <w:tc>
                <w:tcPr>
                  <w:tcW w:w="1154" w:type="pct"/>
                  <w:noWrap w:val="0"/>
                  <w:vAlign w:val="center"/>
                </w:tcPr>
                <w:p w14:paraId="6FAC572A">
                  <w:pPr>
                    <w:pStyle w:val="25"/>
                    <w:rPr>
                      <w:color w:val="000000"/>
                      <w:highlight w:val="none"/>
                    </w:rPr>
                  </w:pPr>
                  <w:r>
                    <w:rPr>
                      <w:rFonts w:hint="eastAsia"/>
                      <w:color w:val="000000"/>
                      <w:highlight w:val="none"/>
                    </w:rPr>
                    <w:t>113337</w:t>
                  </w:r>
                </w:p>
              </w:tc>
              <w:tc>
                <w:tcPr>
                  <w:tcW w:w="510" w:type="pct"/>
                  <w:noWrap w:val="0"/>
                  <w:vAlign w:val="center"/>
                </w:tcPr>
                <w:p w14:paraId="57F79E9E">
                  <w:pPr>
                    <w:pStyle w:val="25"/>
                    <w:rPr>
                      <w:color w:val="000000"/>
                      <w:highlight w:val="none"/>
                    </w:rPr>
                  </w:pPr>
                  <w:r>
                    <w:rPr>
                      <w:color w:val="000000"/>
                      <w:highlight w:val="none"/>
                    </w:rPr>
                    <w:t>/</w:t>
                  </w:r>
                </w:p>
              </w:tc>
              <w:tc>
                <w:tcPr>
                  <w:tcW w:w="1482" w:type="pct"/>
                  <w:noWrap w:val="0"/>
                  <w:vAlign w:val="center"/>
                </w:tcPr>
                <w:p w14:paraId="4F8E6BF8">
                  <w:pPr>
                    <w:pStyle w:val="25"/>
                    <w:rPr>
                      <w:color w:val="000000"/>
                      <w:highlight w:val="none"/>
                    </w:rPr>
                  </w:pPr>
                  <w:r>
                    <w:rPr>
                      <w:color w:val="000000"/>
                      <w:highlight w:val="none"/>
                    </w:rPr>
                    <w:t>/</w:t>
                  </w:r>
                </w:p>
              </w:tc>
            </w:tr>
          </w:tbl>
          <w:p w14:paraId="3BC890CA">
            <w:pPr>
              <w:jc w:val="both"/>
              <w:rPr>
                <w:color w:val="000000"/>
                <w:highlight w:val="none"/>
              </w:rPr>
            </w:pPr>
          </w:p>
        </w:tc>
      </w:tr>
    </w:tbl>
    <w:p w14:paraId="267127A4">
      <w:pPr>
        <w:spacing w:line="360" w:lineRule="auto"/>
        <w:outlineLvl w:val="0"/>
        <w:rPr>
          <w:snapToGrid w:val="0"/>
          <w:color w:val="000000"/>
          <w:sz w:val="30"/>
          <w:szCs w:val="30"/>
          <w:highlight w:val="none"/>
        </w:rPr>
      </w:pPr>
      <w:r>
        <w:rPr>
          <w:b/>
          <w:bCs/>
          <w:color w:val="000000"/>
          <w:highlight w:val="none"/>
        </w:rPr>
        <w:br w:type="page"/>
      </w:r>
      <w:r>
        <w:rPr>
          <w:rFonts w:eastAsia="黑体"/>
          <w:snapToGrid w:val="0"/>
          <w:color w:val="000000"/>
          <w:kern w:val="0"/>
          <w:sz w:val="30"/>
          <w:szCs w:val="30"/>
          <w:highlight w:val="none"/>
        </w:rPr>
        <w:t>三、生态环境现状、保护目标及评价标准</w:t>
      </w:r>
    </w:p>
    <w:tbl>
      <w:tblPr>
        <w:tblStyle w:val="16"/>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239"/>
      </w:tblGrid>
      <w:tr w14:paraId="66379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39F105BF">
            <w:pPr>
              <w:rPr>
                <w:color w:val="000000"/>
                <w:kern w:val="0"/>
                <w:szCs w:val="21"/>
                <w:highlight w:val="none"/>
              </w:rPr>
            </w:pPr>
            <w:r>
              <w:rPr>
                <w:color w:val="000000"/>
                <w:kern w:val="0"/>
                <w:szCs w:val="21"/>
                <w:highlight w:val="none"/>
              </w:rPr>
              <w:t>生态环境现状</w:t>
            </w:r>
          </w:p>
        </w:tc>
        <w:tc>
          <w:tcPr>
            <w:tcW w:w="8239" w:type="dxa"/>
            <w:noWrap w:val="0"/>
            <w:vAlign w:val="center"/>
          </w:tcPr>
          <w:p w14:paraId="6E822D48">
            <w:pPr>
              <w:pStyle w:val="3"/>
              <w:rPr>
                <w:color w:val="000000"/>
                <w:highlight w:val="none"/>
              </w:rPr>
            </w:pPr>
            <w:bookmarkStart w:id="8" w:name="_Toc11891"/>
            <w:r>
              <w:rPr>
                <w:color w:val="000000"/>
                <w:highlight w:val="none"/>
              </w:rPr>
              <w:t>1 生态环境现状调查与评价</w:t>
            </w:r>
            <w:bookmarkEnd w:id="8"/>
          </w:p>
          <w:p w14:paraId="2EF10EB2">
            <w:pPr>
              <w:pStyle w:val="4"/>
              <w:numPr>
                <w:ilvl w:val="1"/>
                <w:numId w:val="3"/>
              </w:numPr>
              <w:rPr>
                <w:color w:val="000000"/>
                <w:highlight w:val="none"/>
              </w:rPr>
            </w:pPr>
            <w:r>
              <w:rPr>
                <w:color w:val="000000"/>
                <w:highlight w:val="none"/>
              </w:rPr>
              <w:t xml:space="preserve"> 生态系统调查与评价</w:t>
            </w:r>
          </w:p>
          <w:p w14:paraId="3CB2DD5C">
            <w:pPr>
              <w:adjustRightInd/>
              <w:snapToGrid/>
              <w:spacing w:line="360" w:lineRule="auto"/>
              <w:ind w:firstLine="480" w:firstLineChars="200"/>
              <w:jc w:val="both"/>
              <w:outlineLvl w:val="3"/>
              <w:rPr>
                <w:color w:val="000000"/>
                <w:highlight w:val="none"/>
              </w:rPr>
            </w:pPr>
            <w:r>
              <w:rPr>
                <w:color w:val="000000"/>
                <w:highlight w:val="none"/>
              </w:rPr>
              <w:t>（1）新疆生态功能区划</w:t>
            </w:r>
          </w:p>
          <w:p w14:paraId="38DC4B8B">
            <w:pPr>
              <w:spacing w:line="360" w:lineRule="auto"/>
              <w:ind w:firstLine="480" w:firstLineChars="200"/>
              <w:jc w:val="both"/>
              <w:rPr>
                <w:color w:val="000000"/>
                <w:highlight w:val="none"/>
              </w:rPr>
            </w:pPr>
            <w:r>
              <w:rPr>
                <w:color w:val="000000"/>
                <w:highlight w:val="none"/>
              </w:rPr>
              <w:t>根据《新疆生态功能区划》，项目所在区域属于Ⅱ准噶尔盆地温性荒漠与绿洲农业生态区—Ⅱ</w:t>
            </w:r>
            <w:r>
              <w:rPr>
                <w:bCs/>
                <w:color w:val="000000"/>
                <w:highlight w:val="none"/>
                <w:vertAlign w:val="subscript"/>
              </w:rPr>
              <w:t xml:space="preserve">5 </w:t>
            </w:r>
            <w:r>
              <w:rPr>
                <w:bCs/>
                <w:color w:val="000000"/>
                <w:highlight w:val="none"/>
              </w:rPr>
              <w:t>准噶尔盆地南部灌木半灌木荒漠绿洲农业生态亚区</w:t>
            </w:r>
            <w:r>
              <w:rPr>
                <w:color w:val="000000"/>
                <w:highlight w:val="none"/>
              </w:rPr>
              <w:t>—26.乌苏—石河子—昌吉城镇与绿洲农业生态功能区。其生态功能区划情况，见表3-1。</w:t>
            </w:r>
          </w:p>
          <w:p w14:paraId="080CA637">
            <w:pPr>
              <w:overflowPunct w:val="0"/>
              <w:rPr>
                <w:b/>
                <w:color w:val="000000"/>
                <w:sz w:val="21"/>
                <w:szCs w:val="21"/>
                <w:highlight w:val="none"/>
              </w:rPr>
            </w:pPr>
            <w:r>
              <w:rPr>
                <w:b/>
                <w:color w:val="000000"/>
                <w:sz w:val="21"/>
                <w:szCs w:val="21"/>
                <w:highlight w:val="none"/>
              </w:rPr>
              <w:t>表3-1  项目所属生态功能区具体情况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5"/>
              <w:gridCol w:w="1338"/>
              <w:gridCol w:w="5950"/>
            </w:tblGrid>
            <w:tr w14:paraId="59E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2" w:type="pct"/>
                  <w:vMerge w:val="restart"/>
                  <w:tcBorders>
                    <w:top w:val="single" w:color="auto" w:sz="4" w:space="0"/>
                    <w:left w:val="single" w:color="auto" w:sz="4" w:space="0"/>
                    <w:right w:val="single" w:color="auto" w:sz="4" w:space="0"/>
                  </w:tcBorders>
                  <w:noWrap w:val="0"/>
                  <w:vAlign w:val="center"/>
                </w:tcPr>
                <w:p w14:paraId="45F1AFDF">
                  <w:pPr>
                    <w:rPr>
                      <w:color w:val="000000"/>
                      <w:sz w:val="21"/>
                      <w:szCs w:val="21"/>
                      <w:highlight w:val="none"/>
                    </w:rPr>
                  </w:pPr>
                  <w:r>
                    <w:rPr>
                      <w:color w:val="000000"/>
                      <w:sz w:val="21"/>
                      <w:szCs w:val="21"/>
                      <w:highlight w:val="none"/>
                    </w:rPr>
                    <w:t>生态功能分区单元</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359BD07F">
                  <w:pPr>
                    <w:rPr>
                      <w:color w:val="000000"/>
                      <w:sz w:val="21"/>
                      <w:szCs w:val="21"/>
                      <w:highlight w:val="none"/>
                    </w:rPr>
                  </w:pPr>
                  <w:r>
                    <w:rPr>
                      <w:color w:val="000000"/>
                      <w:sz w:val="21"/>
                      <w:szCs w:val="21"/>
                      <w:highlight w:val="none"/>
                    </w:rPr>
                    <w:t>生态区</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0BA66E32">
                  <w:pPr>
                    <w:rPr>
                      <w:color w:val="000000"/>
                      <w:sz w:val="21"/>
                      <w:szCs w:val="21"/>
                      <w:highlight w:val="none"/>
                    </w:rPr>
                  </w:pPr>
                  <w:r>
                    <w:rPr>
                      <w:color w:val="000000"/>
                      <w:sz w:val="21"/>
                      <w:szCs w:val="21"/>
                      <w:highlight w:val="none"/>
                    </w:rPr>
                    <w:t>Ⅱ准噶尔盆地温带干旱荒漠与绿洲生态功能区</w:t>
                  </w:r>
                </w:p>
              </w:tc>
            </w:tr>
            <w:tr w14:paraId="5EF5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2" w:type="pct"/>
                  <w:vMerge w:val="continue"/>
                  <w:tcBorders>
                    <w:left w:val="single" w:color="auto" w:sz="4" w:space="0"/>
                    <w:right w:val="single" w:color="auto" w:sz="4" w:space="0"/>
                  </w:tcBorders>
                  <w:noWrap w:val="0"/>
                  <w:vAlign w:val="center"/>
                </w:tcPr>
                <w:p w14:paraId="6587483F">
                  <w:pPr>
                    <w:rPr>
                      <w:color w:val="000000"/>
                      <w:sz w:val="21"/>
                      <w:szCs w:val="21"/>
                      <w:highlight w:val="none"/>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47C9E687">
                  <w:pPr>
                    <w:rPr>
                      <w:color w:val="000000"/>
                      <w:sz w:val="21"/>
                      <w:szCs w:val="21"/>
                      <w:highlight w:val="none"/>
                    </w:rPr>
                  </w:pPr>
                  <w:r>
                    <w:rPr>
                      <w:color w:val="000000"/>
                      <w:sz w:val="21"/>
                      <w:szCs w:val="21"/>
                      <w:highlight w:val="none"/>
                    </w:rPr>
                    <w:t>生态亚区</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2AC8D637">
                  <w:pPr>
                    <w:rPr>
                      <w:color w:val="000000"/>
                      <w:sz w:val="21"/>
                      <w:szCs w:val="21"/>
                      <w:highlight w:val="none"/>
                    </w:rPr>
                  </w:pPr>
                  <w:r>
                    <w:rPr>
                      <w:color w:val="000000"/>
                      <w:sz w:val="21"/>
                      <w:szCs w:val="21"/>
                      <w:highlight w:val="none"/>
                    </w:rPr>
                    <w:t>Ⅱ</w:t>
                  </w:r>
                  <w:r>
                    <w:rPr>
                      <w:bCs/>
                      <w:color w:val="000000"/>
                      <w:sz w:val="21"/>
                      <w:szCs w:val="21"/>
                      <w:highlight w:val="none"/>
                      <w:vertAlign w:val="subscript"/>
                    </w:rPr>
                    <w:t xml:space="preserve">5 </w:t>
                  </w:r>
                  <w:r>
                    <w:rPr>
                      <w:bCs/>
                      <w:color w:val="000000"/>
                      <w:sz w:val="21"/>
                      <w:szCs w:val="21"/>
                      <w:highlight w:val="none"/>
                    </w:rPr>
                    <w:t>准噶尔盆地南部灌木半灌木荒漠绿洲农业生态亚区</w:t>
                  </w:r>
                </w:p>
              </w:tc>
            </w:tr>
            <w:tr w14:paraId="7A3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2" w:type="pct"/>
                  <w:vMerge w:val="continue"/>
                  <w:tcBorders>
                    <w:left w:val="single" w:color="auto" w:sz="4" w:space="0"/>
                    <w:bottom w:val="single" w:color="auto" w:sz="4" w:space="0"/>
                    <w:right w:val="single" w:color="auto" w:sz="4" w:space="0"/>
                  </w:tcBorders>
                  <w:noWrap w:val="0"/>
                  <w:vAlign w:val="center"/>
                </w:tcPr>
                <w:p w14:paraId="699F73D8">
                  <w:pPr>
                    <w:rPr>
                      <w:color w:val="000000"/>
                      <w:sz w:val="21"/>
                      <w:szCs w:val="21"/>
                      <w:highlight w:val="none"/>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77A8285E">
                  <w:pPr>
                    <w:rPr>
                      <w:color w:val="000000"/>
                      <w:sz w:val="21"/>
                      <w:szCs w:val="21"/>
                      <w:highlight w:val="none"/>
                    </w:rPr>
                  </w:pPr>
                  <w:r>
                    <w:rPr>
                      <w:color w:val="000000"/>
                      <w:sz w:val="21"/>
                      <w:szCs w:val="21"/>
                      <w:highlight w:val="none"/>
                    </w:rPr>
                    <w:t>生态功能区</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0920F3D5">
                  <w:pPr>
                    <w:rPr>
                      <w:color w:val="000000"/>
                      <w:sz w:val="21"/>
                      <w:szCs w:val="21"/>
                      <w:highlight w:val="none"/>
                    </w:rPr>
                  </w:pPr>
                  <w:r>
                    <w:rPr>
                      <w:color w:val="000000"/>
                      <w:sz w:val="21"/>
                      <w:szCs w:val="21"/>
                      <w:highlight w:val="none"/>
                    </w:rPr>
                    <w:t>26．乌苏—石河子—昌吉城镇与绿洲农业生态功能区</w:t>
                  </w:r>
                </w:p>
              </w:tc>
            </w:tr>
            <w:tr w14:paraId="7213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2DEBA84B">
                  <w:pPr>
                    <w:rPr>
                      <w:color w:val="000000"/>
                      <w:sz w:val="21"/>
                      <w:szCs w:val="21"/>
                      <w:highlight w:val="none"/>
                    </w:rPr>
                  </w:pPr>
                  <w:r>
                    <w:rPr>
                      <w:color w:val="000000"/>
                      <w:sz w:val="21"/>
                      <w:szCs w:val="21"/>
                      <w:highlight w:val="none"/>
                    </w:rPr>
                    <w:t>隶属行政区</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5653B9AD">
                  <w:pPr>
                    <w:rPr>
                      <w:color w:val="000000"/>
                      <w:sz w:val="21"/>
                      <w:szCs w:val="21"/>
                      <w:highlight w:val="none"/>
                    </w:rPr>
                  </w:pPr>
                  <w:r>
                    <w:rPr>
                      <w:color w:val="000000"/>
                      <w:sz w:val="21"/>
                      <w:szCs w:val="21"/>
                      <w:highlight w:val="none"/>
                    </w:rPr>
                    <w:t>乌苏市、奎屯市、沙湾县、石河子市、玛纳斯县、呼图壁县、昌吉市</w:t>
                  </w:r>
                </w:p>
              </w:tc>
            </w:tr>
            <w:tr w14:paraId="4F61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28DC9563">
                  <w:pPr>
                    <w:rPr>
                      <w:color w:val="000000"/>
                      <w:sz w:val="21"/>
                      <w:szCs w:val="21"/>
                      <w:highlight w:val="none"/>
                    </w:rPr>
                  </w:pPr>
                  <w:r>
                    <w:rPr>
                      <w:color w:val="000000"/>
                      <w:sz w:val="21"/>
                      <w:szCs w:val="21"/>
                      <w:highlight w:val="none"/>
                    </w:rPr>
                    <w:t>主要生态服务功能</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60FD538F">
                  <w:pPr>
                    <w:rPr>
                      <w:color w:val="000000"/>
                      <w:sz w:val="21"/>
                      <w:szCs w:val="21"/>
                      <w:highlight w:val="none"/>
                    </w:rPr>
                  </w:pPr>
                  <w:r>
                    <w:rPr>
                      <w:color w:val="000000"/>
                      <w:sz w:val="21"/>
                      <w:szCs w:val="21"/>
                      <w:highlight w:val="none"/>
                    </w:rPr>
                    <w:t>工农畜产品生产、人居环境、荒漠化控制</w:t>
                  </w:r>
                </w:p>
              </w:tc>
            </w:tr>
            <w:tr w14:paraId="2996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6DFA6196">
                  <w:pPr>
                    <w:rPr>
                      <w:color w:val="000000"/>
                      <w:sz w:val="21"/>
                      <w:szCs w:val="21"/>
                      <w:highlight w:val="none"/>
                    </w:rPr>
                  </w:pPr>
                  <w:r>
                    <w:rPr>
                      <w:color w:val="000000"/>
                      <w:sz w:val="21"/>
                      <w:szCs w:val="21"/>
                      <w:highlight w:val="none"/>
                    </w:rPr>
                    <w:t>主要生态环境问题</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5782C6BE">
                  <w:pPr>
                    <w:rPr>
                      <w:color w:val="000000"/>
                      <w:sz w:val="21"/>
                      <w:szCs w:val="21"/>
                      <w:highlight w:val="none"/>
                    </w:rPr>
                  </w:pPr>
                  <w:r>
                    <w:rPr>
                      <w:color w:val="000000"/>
                      <w:sz w:val="21"/>
                      <w:szCs w:val="21"/>
                      <w:highlight w:val="none"/>
                    </w:rPr>
                    <w:t>地下水超采、荒漠植被退化、土地荒漠化与盐渍化、大气和水质及土壤污染、良田减少、绿洲外围受到沙漠化威胁</w:t>
                  </w:r>
                </w:p>
              </w:tc>
            </w:tr>
            <w:tr w14:paraId="7234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55665939">
                  <w:pPr>
                    <w:rPr>
                      <w:color w:val="000000"/>
                      <w:sz w:val="21"/>
                      <w:szCs w:val="21"/>
                      <w:highlight w:val="none"/>
                    </w:rPr>
                  </w:pPr>
                  <w:r>
                    <w:rPr>
                      <w:color w:val="000000"/>
                      <w:sz w:val="21"/>
                      <w:szCs w:val="21"/>
                      <w:highlight w:val="none"/>
                    </w:rPr>
                    <w:t>主要生态敏感因子、敏感程度</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537D0321">
                  <w:pPr>
                    <w:rPr>
                      <w:color w:val="000000"/>
                      <w:sz w:val="21"/>
                      <w:szCs w:val="21"/>
                      <w:highlight w:val="none"/>
                    </w:rPr>
                  </w:pPr>
                  <w:r>
                    <w:rPr>
                      <w:color w:val="000000"/>
                      <w:sz w:val="21"/>
                      <w:szCs w:val="21"/>
                      <w:highlight w:val="none"/>
                    </w:rPr>
                    <w:t>生物多样性和生境中度敏感，土地沙漠化、土壤侵蚀不敏感，土壤盐渍化不敏感\轻度敏感</w:t>
                  </w:r>
                </w:p>
              </w:tc>
            </w:tr>
            <w:tr w14:paraId="48BE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550C85AD">
                  <w:pPr>
                    <w:rPr>
                      <w:color w:val="000000"/>
                      <w:sz w:val="21"/>
                      <w:szCs w:val="21"/>
                      <w:highlight w:val="none"/>
                    </w:rPr>
                  </w:pPr>
                  <w:r>
                    <w:rPr>
                      <w:color w:val="000000"/>
                      <w:sz w:val="21"/>
                      <w:szCs w:val="21"/>
                      <w:highlight w:val="none"/>
                    </w:rPr>
                    <w:t>主要保护目标</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396A49A9">
                  <w:pPr>
                    <w:rPr>
                      <w:color w:val="000000"/>
                      <w:sz w:val="21"/>
                      <w:szCs w:val="21"/>
                      <w:highlight w:val="none"/>
                    </w:rPr>
                  </w:pPr>
                  <w:r>
                    <w:rPr>
                      <w:color w:val="000000"/>
                      <w:sz w:val="21"/>
                      <w:szCs w:val="21"/>
                      <w:highlight w:val="none"/>
                    </w:rPr>
                    <w:t>保护绿洲农田、保护城市大气和水环境质量、保护荒漠植被、保护农田土壤环境质量</w:t>
                  </w:r>
                </w:p>
              </w:tc>
            </w:tr>
            <w:tr w14:paraId="7968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35880DE4">
                  <w:pPr>
                    <w:rPr>
                      <w:color w:val="000000"/>
                      <w:sz w:val="21"/>
                      <w:szCs w:val="21"/>
                      <w:highlight w:val="none"/>
                    </w:rPr>
                  </w:pPr>
                  <w:r>
                    <w:rPr>
                      <w:color w:val="000000"/>
                      <w:sz w:val="21"/>
                      <w:szCs w:val="21"/>
                      <w:highlight w:val="none"/>
                    </w:rPr>
                    <w:t>主要保护措施</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4724160C">
                  <w:pPr>
                    <w:rPr>
                      <w:color w:val="000000"/>
                      <w:sz w:val="21"/>
                      <w:szCs w:val="21"/>
                      <w:highlight w:val="none"/>
                    </w:rPr>
                  </w:pPr>
                  <w:r>
                    <w:rPr>
                      <w:color w:val="000000"/>
                      <w:sz w:val="21"/>
                      <w:szCs w:val="21"/>
                      <w:highlight w:val="none"/>
                    </w:rPr>
                    <w:t>节水灌溉、严格控制地下水开采、污染物达标排放、提高城镇建设规划水平、控制城镇建设用地、荒漠草场禁牧休牧 、完善防护林体系、加强农田投入品的使用管理</w:t>
                  </w:r>
                </w:p>
              </w:tc>
            </w:tr>
            <w:tr w14:paraId="0E20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87" w:type="pct"/>
                  <w:gridSpan w:val="2"/>
                  <w:tcBorders>
                    <w:top w:val="single" w:color="auto" w:sz="4" w:space="0"/>
                    <w:left w:val="single" w:color="auto" w:sz="4" w:space="0"/>
                    <w:bottom w:val="single" w:color="auto" w:sz="4" w:space="0"/>
                    <w:right w:val="single" w:color="auto" w:sz="4" w:space="0"/>
                  </w:tcBorders>
                  <w:noWrap w:val="0"/>
                  <w:vAlign w:val="center"/>
                </w:tcPr>
                <w:p w14:paraId="0C4C8B5C">
                  <w:pPr>
                    <w:rPr>
                      <w:color w:val="000000"/>
                      <w:sz w:val="21"/>
                      <w:szCs w:val="21"/>
                      <w:highlight w:val="none"/>
                    </w:rPr>
                  </w:pPr>
                  <w:r>
                    <w:rPr>
                      <w:color w:val="000000"/>
                      <w:sz w:val="21"/>
                      <w:szCs w:val="21"/>
                      <w:highlight w:val="none"/>
                    </w:rPr>
                    <w:t>适宜发展方向</w:t>
                  </w:r>
                </w:p>
              </w:tc>
              <w:tc>
                <w:tcPr>
                  <w:tcW w:w="3712" w:type="pct"/>
                  <w:tcBorders>
                    <w:top w:val="single" w:color="auto" w:sz="4" w:space="0"/>
                    <w:left w:val="single" w:color="auto" w:sz="4" w:space="0"/>
                    <w:bottom w:val="single" w:color="auto" w:sz="4" w:space="0"/>
                    <w:right w:val="single" w:color="auto" w:sz="4" w:space="0"/>
                  </w:tcBorders>
                  <w:noWrap w:val="0"/>
                  <w:vAlign w:val="center"/>
                </w:tcPr>
                <w:p w14:paraId="2443F863">
                  <w:pPr>
                    <w:rPr>
                      <w:color w:val="000000"/>
                      <w:sz w:val="21"/>
                      <w:szCs w:val="21"/>
                      <w:highlight w:val="none"/>
                    </w:rPr>
                  </w:pPr>
                  <w:r>
                    <w:rPr>
                      <w:color w:val="000000"/>
                      <w:sz w:val="21"/>
                      <w:szCs w:val="21"/>
                      <w:highlight w:val="none"/>
                    </w:rPr>
                    <w:t>发展优质高效农牧业，美化城市环境，建设健康、稳定的城乡生态系统与人居环境</w:t>
                  </w:r>
                </w:p>
              </w:tc>
            </w:tr>
          </w:tbl>
          <w:p w14:paraId="2B318E98">
            <w:pPr>
              <w:pStyle w:val="24"/>
              <w:rPr>
                <w:color w:val="000000"/>
                <w:highlight w:val="none"/>
              </w:rPr>
            </w:pPr>
            <w:r>
              <w:rPr>
                <w:color w:val="000000"/>
                <w:sz w:val="24"/>
                <w:szCs w:val="21"/>
                <w:highlight w:val="none"/>
              </w:rPr>
              <w:t>本项目临时占地结束后恢复原始地貌，控制施工范围保护区域荒漠植被，保护区域土壤环境质量，符合生态功能区划。</w:t>
            </w:r>
          </w:p>
          <w:p w14:paraId="7176EDF9">
            <w:pPr>
              <w:pStyle w:val="4"/>
              <w:ind w:firstLine="480" w:firstLineChars="200"/>
              <w:rPr>
                <w:color w:val="000000"/>
                <w:highlight w:val="none"/>
              </w:rPr>
            </w:pPr>
            <w:r>
              <w:rPr>
                <w:b w:val="0"/>
                <w:color w:val="000000"/>
                <w:kern w:val="0"/>
                <w:szCs w:val="24"/>
                <w:highlight w:val="none"/>
              </w:rPr>
              <w:t>（2）新疆维吾尔自治区主体功能区规划</w:t>
            </w:r>
          </w:p>
          <w:p w14:paraId="7ADDFD9B">
            <w:pPr>
              <w:widowControl/>
              <w:spacing w:line="360" w:lineRule="auto"/>
              <w:ind w:firstLine="480" w:firstLineChars="200"/>
              <w:jc w:val="both"/>
              <w:rPr>
                <w:rFonts w:hint="eastAsia"/>
                <w:color w:val="000000"/>
                <w:kern w:val="0"/>
                <w:highlight w:val="none"/>
                <w:lang w:bidi="ar"/>
              </w:rPr>
            </w:pPr>
            <w:r>
              <w:rPr>
                <w:rFonts w:hint="eastAsia"/>
                <w:color w:val="000000"/>
                <w:kern w:val="0"/>
                <w:highlight w:val="none"/>
                <w:lang w:bidi="ar"/>
              </w:rPr>
              <w:t>《新疆维吾尔自治区主体功能区规划》将新疆国土空间分为重点开发区域、限制开发区域和禁止开发区域三类主体功能区，按层级分为国家和省级两个层面。</w:t>
            </w:r>
          </w:p>
          <w:p w14:paraId="49C54D2D">
            <w:pPr>
              <w:widowControl/>
              <w:spacing w:line="360" w:lineRule="auto"/>
              <w:ind w:firstLine="480" w:firstLineChars="200"/>
              <w:jc w:val="both"/>
              <w:rPr>
                <w:color w:val="000000"/>
                <w:highlight w:val="none"/>
              </w:rPr>
            </w:pPr>
            <w:r>
              <w:rPr>
                <w:rFonts w:hint="eastAsia"/>
                <w:color w:val="000000"/>
                <w:kern w:val="0"/>
                <w:highlight w:val="none"/>
                <w:lang w:bidi="ar"/>
              </w:rPr>
              <w:t>本项目位于玛纳斯县境内——国家级农产品主产区，项目属于石油勘探项目，项目不在限制开发区域和禁止开发区域，同时项目施工过程不可避免会破坏地表，结合项目施工特点，针对生态提出预防及恢复措施，合理控制施工范围，减少施工区水土流失，降低对项目区域生态环境破坏程度，严格遵守《中华人民共和国野生动物保护法》。</w:t>
            </w:r>
          </w:p>
          <w:p w14:paraId="1E3631AB">
            <w:pPr>
              <w:pStyle w:val="4"/>
              <w:rPr>
                <w:color w:val="000000"/>
                <w:highlight w:val="none"/>
              </w:rPr>
            </w:pPr>
            <w:r>
              <w:rPr>
                <w:color w:val="000000"/>
                <w:highlight w:val="none"/>
              </w:rPr>
              <w:t>1.2 植被调查</w:t>
            </w:r>
          </w:p>
          <w:p w14:paraId="4368DA9F">
            <w:pPr>
              <w:pStyle w:val="30"/>
              <w:spacing w:line="360" w:lineRule="auto"/>
              <w:ind w:firstLine="480"/>
              <w:jc w:val="both"/>
              <w:rPr>
                <w:rFonts w:ascii="Times New Roman" w:hAnsi="Times New Roman"/>
                <w:color w:val="000000"/>
                <w:highlight w:val="none"/>
              </w:rPr>
            </w:pPr>
            <w:r>
              <w:rPr>
                <w:rFonts w:ascii="Times New Roman" w:hAnsi="Times New Roman"/>
                <w:color w:val="000000"/>
                <w:highlight w:val="none"/>
              </w:rPr>
              <w:t>项目所在区域及管线工程沿线的主要植被类型为梭梭+白梭梭群系，按中国植被自然地理区划划分，本项目所在区域属北方植物界、新疆荒漠区、北疆荒漠亚区、准噶尔荒漠省、准噶尔荒漠亚省、古尔班通古特洲。由于单一的地貌类型及严酷的气候特征，该区域内植被类型少而单一，在沙垄上分布着白梭梭（</w:t>
            </w:r>
            <w:r>
              <w:rPr>
                <w:rFonts w:ascii="Times New Roman" w:hAnsi="Times New Roman"/>
                <w:i/>
                <w:iCs/>
                <w:color w:val="000000"/>
                <w:highlight w:val="none"/>
              </w:rPr>
              <w:t>Haloxylon persicum）</w:t>
            </w:r>
            <w:r>
              <w:rPr>
                <w:rFonts w:ascii="Times New Roman" w:hAnsi="Times New Roman"/>
                <w:color w:val="000000"/>
                <w:highlight w:val="none"/>
              </w:rPr>
              <w:t>、苦艾蒿（</w:t>
            </w:r>
            <w:r>
              <w:rPr>
                <w:rFonts w:ascii="Times New Roman" w:hAnsi="Times New Roman"/>
                <w:i/>
                <w:iCs/>
                <w:color w:val="000000"/>
                <w:highlight w:val="none"/>
              </w:rPr>
              <w:t>Artemisia santolina）</w:t>
            </w:r>
            <w:r>
              <w:rPr>
                <w:rFonts w:ascii="Times New Roman" w:hAnsi="Times New Roman"/>
                <w:color w:val="000000"/>
                <w:highlight w:val="none"/>
              </w:rPr>
              <w:t>形成的荒漠，在窝状沙丘上多分布着沙拐枣-白梭梭荒漠。</w:t>
            </w:r>
          </w:p>
          <w:p w14:paraId="68818827">
            <w:pPr>
              <w:spacing w:line="360" w:lineRule="auto"/>
              <w:ind w:firstLine="480"/>
              <w:jc w:val="both"/>
              <w:rPr>
                <w:color w:val="000000"/>
                <w:kern w:val="0"/>
                <w:highlight w:val="none"/>
              </w:rPr>
            </w:pPr>
            <w:r>
              <w:rPr>
                <w:color w:val="000000"/>
                <w:kern w:val="0"/>
                <w:highlight w:val="none"/>
              </w:rPr>
              <w:t>本项目所在区域内常见的植物种类多为藜科、十字花科及菊科植物。藜科植物基本为旱生或超旱生的灌木、半灌木和一年生旱生植物，十字花科植物多为一年生短营养期植物（中生性一年生短命植物），菊科植物包括旱生小半灌木、多年生草本和一年生短命植物。区域建群种主要为梭梭和白梭梭，伴生种主要为白杆沙拐枣、琵琶柴、荒漠庭荠、沙蒿、灰白糖芥、苦艾蒿、地白蒿等，植被覆盖度在15%左右。根据现场踏勘和查阅资料，周围已开发区块的临时占地范围内草本植被已经恢复，但植被覆盖度较低，土壤表层部分已开始硬化，减缓了风蚀速率，在管廊上方、道路边坡等局部段易产生沙化的地段用草方格固沙，防止沙丘活化。</w:t>
            </w:r>
          </w:p>
          <w:p w14:paraId="6C911E57">
            <w:pPr>
              <w:spacing w:line="360" w:lineRule="auto"/>
              <w:ind w:left="240" w:leftChars="100" w:firstLine="240" w:firstLineChars="100"/>
              <w:jc w:val="both"/>
              <w:rPr>
                <w:color w:val="000000"/>
                <w:highlight w:val="none"/>
              </w:rPr>
            </w:pPr>
            <w:r>
              <w:rPr>
                <w:color w:val="000000"/>
                <w:highlight w:val="none"/>
              </w:rPr>
              <w:t>项目所在区域主要植物种类及分布见表3-2，项目区无重点保护的植物。</w:t>
            </w:r>
          </w:p>
          <w:p w14:paraId="6B10FDB5">
            <w:pPr>
              <w:pStyle w:val="19"/>
              <w:rPr>
                <w:color w:val="000000"/>
                <w:highlight w:val="none"/>
              </w:rPr>
            </w:pPr>
            <w:r>
              <w:rPr>
                <w:color w:val="000000"/>
                <w:highlight w:val="none"/>
              </w:rPr>
              <w:t xml:space="preserve">表 </w:t>
            </w:r>
            <w:r>
              <w:rPr>
                <w:rFonts w:hint="eastAsia"/>
                <w:color w:val="000000"/>
                <w:highlight w:val="none"/>
              </w:rPr>
              <w:t>3</w:t>
            </w:r>
            <w:r>
              <w:rPr>
                <w:color w:val="000000"/>
                <w:highlight w:val="none"/>
              </w:rPr>
              <w:t>-</w:t>
            </w:r>
            <w:r>
              <w:rPr>
                <w:rFonts w:hint="eastAsia"/>
                <w:color w:val="000000"/>
                <w:highlight w:val="none"/>
              </w:rPr>
              <w:t>2</w:t>
            </w:r>
            <w:r>
              <w:rPr>
                <w:color w:val="000000"/>
                <w:highlight w:val="none"/>
              </w:rPr>
              <w:t xml:space="preserve">    项目所在区域高等植物种类及分布环境</w:t>
            </w:r>
          </w:p>
          <w:tbl>
            <w:tblPr>
              <w:tblStyle w:val="16"/>
              <w:tblW w:w="5094"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6"/>
              <w:gridCol w:w="1943"/>
              <w:gridCol w:w="3245"/>
              <w:gridCol w:w="1200"/>
              <w:gridCol w:w="1200"/>
            </w:tblGrid>
            <w:tr w14:paraId="1F6070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96AA88A">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序号</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4C0FA3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中文名</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199A7E4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 xml:space="preserve">学名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2E3BF8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沙丘</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C84892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丘间地</w:t>
                  </w:r>
                </w:p>
              </w:tc>
            </w:tr>
            <w:tr w14:paraId="54D11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4A28CC0">
                  <w:pPr>
                    <w:pStyle w:val="26"/>
                    <w:rPr>
                      <w:rFonts w:hint="default" w:ascii="Times New Roman" w:hAnsi="Times New Roman" w:cs="Times New Roman"/>
                      <w:b w:val="0"/>
                      <w:bCs/>
                      <w:color w:val="000000"/>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F578CF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一、禾本科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A43A4B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Gramineae</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2E0ADF7">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1569FE6">
                  <w:pPr>
                    <w:pStyle w:val="26"/>
                    <w:rPr>
                      <w:rFonts w:hint="default" w:ascii="Times New Roman" w:hAnsi="Times New Roman" w:cs="Times New Roman"/>
                      <w:b w:val="0"/>
                      <w:bCs/>
                      <w:color w:val="000000"/>
                      <w:highlight w:val="none"/>
                    </w:rPr>
                  </w:pPr>
                </w:p>
              </w:tc>
            </w:tr>
            <w:tr w14:paraId="6BE7BF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805394E">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FE544B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东方旱麦草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01D10D2">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Eremopyrum orienetale</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8D7110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B4C6082">
                  <w:pPr>
                    <w:pStyle w:val="26"/>
                    <w:rPr>
                      <w:rFonts w:hint="default" w:ascii="Times New Roman" w:hAnsi="Times New Roman" w:cs="Times New Roman"/>
                      <w:b w:val="0"/>
                      <w:bCs/>
                      <w:color w:val="000000"/>
                      <w:highlight w:val="none"/>
                    </w:rPr>
                  </w:pPr>
                </w:p>
              </w:tc>
            </w:tr>
            <w:tr w14:paraId="5124DC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867E50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738E8E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羽状三芒草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18960CE">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Aristida pennata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BD8E4B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478AB61">
                  <w:pPr>
                    <w:pStyle w:val="26"/>
                    <w:rPr>
                      <w:rFonts w:hint="default" w:ascii="Times New Roman" w:hAnsi="Times New Roman" w:cs="Times New Roman"/>
                      <w:b w:val="0"/>
                      <w:bCs/>
                      <w:color w:val="000000"/>
                      <w:highlight w:val="none"/>
                    </w:rPr>
                  </w:pPr>
                </w:p>
              </w:tc>
            </w:tr>
            <w:tr w14:paraId="5ADEAA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CB1752D">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AEA8D7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针茅</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5F1FB1E">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Stipa capillata </w:t>
                  </w:r>
                  <w:r>
                    <w:rPr>
                      <w:rFonts w:hint="default" w:ascii="Times New Roman" w:hAnsi="Times New Roman" w:cs="Times New Roman"/>
                      <w:b w:val="0"/>
                      <w:bCs/>
                      <w:color w:val="000000"/>
                      <w:highlight w:val="none"/>
                    </w:rPr>
                    <w:t xml:space="preserve">Linn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5A9AD0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2F9A557">
                  <w:pPr>
                    <w:pStyle w:val="26"/>
                    <w:rPr>
                      <w:rFonts w:hint="default" w:ascii="Times New Roman" w:hAnsi="Times New Roman" w:cs="Times New Roman"/>
                      <w:b w:val="0"/>
                      <w:bCs/>
                      <w:color w:val="000000"/>
                      <w:highlight w:val="none"/>
                    </w:rPr>
                  </w:pPr>
                </w:p>
              </w:tc>
            </w:tr>
            <w:tr w14:paraId="1E4EC4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DC1C4E2">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1CE448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沙生针茅</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FB419A3">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Stipa plareosa </w:t>
                  </w:r>
                  <w:r>
                    <w:rPr>
                      <w:rFonts w:hint="default" w:ascii="Times New Roman" w:hAnsi="Times New Roman" w:cs="Times New Roman"/>
                      <w:b w:val="0"/>
                      <w:bCs/>
                      <w:color w:val="000000"/>
                      <w:highlight w:val="none"/>
                    </w:rPr>
                    <w:t>P. smirn</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507AA4">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72FB894">
                  <w:pPr>
                    <w:pStyle w:val="26"/>
                    <w:rPr>
                      <w:rFonts w:hint="default" w:ascii="Times New Roman" w:hAnsi="Times New Roman" w:cs="Times New Roman"/>
                      <w:b w:val="0"/>
                      <w:bCs/>
                      <w:color w:val="000000"/>
                      <w:highlight w:val="none"/>
                    </w:rPr>
                  </w:pPr>
                </w:p>
              </w:tc>
            </w:tr>
            <w:tr w14:paraId="5831C3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720F664">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5</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0712F6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沙生蝇子草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536C2D1">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Silene olgiana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A8F1A7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001F4DA">
                  <w:pPr>
                    <w:pStyle w:val="26"/>
                    <w:rPr>
                      <w:rFonts w:hint="default" w:ascii="Times New Roman" w:hAnsi="Times New Roman" w:cs="Times New Roman"/>
                      <w:b w:val="0"/>
                      <w:bCs/>
                      <w:color w:val="000000"/>
                      <w:highlight w:val="none"/>
                    </w:rPr>
                  </w:pPr>
                </w:p>
              </w:tc>
            </w:tr>
            <w:tr w14:paraId="471A18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C19CD5E">
                  <w:pPr>
                    <w:pStyle w:val="26"/>
                    <w:rPr>
                      <w:rFonts w:hint="default" w:ascii="Times New Roman" w:hAnsi="Times New Roman" w:cs="Times New Roman"/>
                      <w:b w:val="0"/>
                      <w:bCs/>
                      <w:color w:val="000000"/>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285A44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二、莎草科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2576BC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Cyperaceae</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6FBAAF5">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E5265B0">
                  <w:pPr>
                    <w:pStyle w:val="26"/>
                    <w:rPr>
                      <w:rFonts w:hint="default" w:ascii="Times New Roman" w:hAnsi="Times New Roman" w:cs="Times New Roman"/>
                      <w:b w:val="0"/>
                      <w:bCs/>
                      <w:color w:val="000000"/>
                      <w:highlight w:val="none"/>
                    </w:rPr>
                  </w:pPr>
                </w:p>
              </w:tc>
            </w:tr>
            <w:tr w14:paraId="417D17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C0EA24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6</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63DAD2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沙薹草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1547AF5">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Carex physodes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A8E02D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D77C6C3">
                  <w:pPr>
                    <w:pStyle w:val="26"/>
                    <w:rPr>
                      <w:rFonts w:hint="default" w:ascii="Times New Roman" w:hAnsi="Times New Roman" w:cs="Times New Roman"/>
                      <w:b w:val="0"/>
                      <w:bCs/>
                      <w:color w:val="000000"/>
                      <w:highlight w:val="none"/>
                    </w:rPr>
                  </w:pPr>
                </w:p>
              </w:tc>
            </w:tr>
            <w:tr w14:paraId="5E8A0C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B816347">
                  <w:pPr>
                    <w:pStyle w:val="26"/>
                    <w:rPr>
                      <w:rFonts w:hint="default" w:ascii="Times New Roman" w:hAnsi="Times New Roman" w:cs="Times New Roman"/>
                      <w:b w:val="0"/>
                      <w:bCs/>
                      <w:color w:val="000000"/>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A9CD30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三、蓼科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838E98B">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Polygonaceae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4B2E376">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03110B5">
                  <w:pPr>
                    <w:pStyle w:val="26"/>
                    <w:rPr>
                      <w:rFonts w:hint="default" w:ascii="Times New Roman" w:hAnsi="Times New Roman" w:cs="Times New Roman"/>
                      <w:b w:val="0"/>
                      <w:bCs/>
                      <w:color w:val="000000"/>
                      <w:highlight w:val="none"/>
                    </w:rPr>
                  </w:pPr>
                </w:p>
              </w:tc>
            </w:tr>
            <w:tr w14:paraId="6F9732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081422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7</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AEFDBB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白杆沙拐枣</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119A8E44">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Calligonum leucocladum</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260CAE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AEF68B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49999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1F0E42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8</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145299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红皮沙拐枣</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34200C4">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Calligonum mongolicum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AE3278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73423B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799A38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FDA0E07">
                  <w:pPr>
                    <w:pStyle w:val="26"/>
                    <w:rPr>
                      <w:rFonts w:hint="default" w:ascii="Times New Roman" w:hAnsi="Times New Roman" w:cs="Times New Roman"/>
                      <w:b w:val="0"/>
                      <w:bCs/>
                      <w:color w:val="000000"/>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F91827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四、藜科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CD4AE63">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Chenopodiaecea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828CB6E">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C05EBD3">
                  <w:pPr>
                    <w:pStyle w:val="26"/>
                    <w:rPr>
                      <w:rFonts w:hint="default" w:ascii="Times New Roman" w:hAnsi="Times New Roman" w:cs="Times New Roman"/>
                      <w:b w:val="0"/>
                      <w:bCs/>
                      <w:color w:val="000000"/>
                      <w:highlight w:val="none"/>
                    </w:rPr>
                  </w:pPr>
                </w:p>
              </w:tc>
            </w:tr>
            <w:tr w14:paraId="267461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8D529C0">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9</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7FEF50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沙蓬</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198BD32D">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AgriophyI1um arenrium</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4AA9CD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83F472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FF854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A743C18">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10</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8CD25B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犁苞滨藜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9032D7D">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Atriplex dimorphostegria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C1A62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72B99C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5B8FA3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79540F1">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11</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35D0D3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倒披针叶虫实</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DE1EFB6">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Cori spermum lehmannianumn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1705FF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0A975FF">
                  <w:pPr>
                    <w:pStyle w:val="26"/>
                    <w:rPr>
                      <w:rFonts w:hint="default" w:ascii="Times New Roman" w:hAnsi="Times New Roman" w:cs="Times New Roman"/>
                      <w:b w:val="0"/>
                      <w:bCs/>
                      <w:color w:val="000000"/>
                      <w:highlight w:val="none"/>
                    </w:rPr>
                  </w:pPr>
                </w:p>
              </w:tc>
            </w:tr>
            <w:tr w14:paraId="0DBC25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8AF9BC9">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12</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436F79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角果藜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A74BD9E">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Ceratocarpus arenarius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2FDE58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DAF5AB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50677F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1AC1DD9">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13</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9D344F4">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对节刺</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98268BA">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Horaninowia ulicina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3FBF62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B00D2C4">
                  <w:pPr>
                    <w:pStyle w:val="26"/>
                    <w:rPr>
                      <w:rFonts w:hint="default" w:ascii="Times New Roman" w:hAnsi="Times New Roman" w:cs="Times New Roman"/>
                      <w:b w:val="0"/>
                      <w:bCs/>
                      <w:color w:val="000000"/>
                      <w:highlight w:val="none"/>
                    </w:rPr>
                  </w:pPr>
                </w:p>
              </w:tc>
            </w:tr>
            <w:tr w14:paraId="47B0E7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4C0BA8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14</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7C40D1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白梭梭</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61E502C">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Haloxylon persicum</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963FA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66700F5">
                  <w:pPr>
                    <w:pStyle w:val="26"/>
                    <w:rPr>
                      <w:rFonts w:hint="default" w:ascii="Times New Roman" w:hAnsi="Times New Roman" w:cs="Times New Roman"/>
                      <w:b w:val="0"/>
                      <w:bCs/>
                      <w:color w:val="000000"/>
                      <w:highlight w:val="none"/>
                    </w:rPr>
                  </w:pPr>
                </w:p>
              </w:tc>
            </w:tr>
            <w:tr w14:paraId="11ABEE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74757D6">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15</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7C398E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梭梭</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547FB0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i/>
                      <w:iCs/>
                      <w:color w:val="000000"/>
                      <w:highlight w:val="none"/>
                    </w:rPr>
                    <w:t>Haloxylon ammodendron</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35A8719">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69F535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794B47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2553EE2">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16</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22782A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驼绒藜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0C91E1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i/>
                      <w:iCs/>
                      <w:color w:val="000000"/>
                      <w:highlight w:val="none"/>
                    </w:rPr>
                    <w:t>Ceratoideslatens Revealet</w:t>
                  </w:r>
                  <w:r>
                    <w:rPr>
                      <w:rFonts w:hint="default" w:ascii="Times New Roman" w:hAnsi="Times New Roman" w:cs="Times New Roman"/>
                      <w:b w:val="0"/>
                      <w:bCs/>
                      <w:color w:val="000000"/>
                      <w:highlight w:val="none"/>
                    </w:rPr>
                    <w:t xml:space="preserve"> HoImgren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FE6694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881206F">
                  <w:pPr>
                    <w:pStyle w:val="26"/>
                    <w:rPr>
                      <w:rFonts w:hint="default" w:ascii="Times New Roman" w:hAnsi="Times New Roman" w:cs="Times New Roman"/>
                      <w:b w:val="0"/>
                      <w:bCs/>
                      <w:color w:val="000000"/>
                      <w:highlight w:val="none"/>
                    </w:rPr>
                  </w:pPr>
                </w:p>
              </w:tc>
            </w:tr>
            <w:tr w14:paraId="33D02E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F59EAC2">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17</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FBAB9E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优若藜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D15A6D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i/>
                      <w:iCs/>
                      <w:color w:val="000000"/>
                      <w:highlight w:val="none"/>
                    </w:rPr>
                    <w:t>Eurotiaceratoides</w:t>
                  </w:r>
                  <w:r>
                    <w:rPr>
                      <w:rFonts w:hint="default" w:ascii="Times New Roman" w:hAnsi="Times New Roman" w:cs="Times New Roman"/>
                      <w:b w:val="0"/>
                      <w:bCs/>
                      <w:color w:val="000000"/>
                      <w:highlight w:val="none"/>
                    </w:rPr>
                    <w:t xml:space="preserve"> Mey.</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72AAB1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8A0AFFD">
                  <w:pPr>
                    <w:pStyle w:val="26"/>
                    <w:rPr>
                      <w:rFonts w:hint="default" w:ascii="Times New Roman" w:hAnsi="Times New Roman" w:cs="Times New Roman"/>
                      <w:b w:val="0"/>
                      <w:bCs/>
                      <w:color w:val="000000"/>
                      <w:highlight w:val="none"/>
                    </w:rPr>
                  </w:pPr>
                </w:p>
              </w:tc>
            </w:tr>
            <w:tr w14:paraId="64CE0D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D5325A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18</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FEDEC6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钠猪毛菜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7D5D542">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Salsola nitraria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EA014B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2650C5C">
                  <w:pPr>
                    <w:pStyle w:val="26"/>
                    <w:rPr>
                      <w:rFonts w:hint="default" w:ascii="Times New Roman" w:hAnsi="Times New Roman" w:cs="Times New Roman"/>
                      <w:b w:val="0"/>
                      <w:bCs/>
                      <w:color w:val="000000"/>
                      <w:highlight w:val="none"/>
                    </w:rPr>
                  </w:pPr>
                </w:p>
              </w:tc>
            </w:tr>
            <w:tr w14:paraId="1D1D44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E24F5C2">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19</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99D36B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浆果猪毛菜</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0EACA68">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Salsola foliosa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1FFA98C">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D12FF3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1913E5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B218C56">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20</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EB8A18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碱蓬</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EA573CA">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Suaeda spp</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D8820DA">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679086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72F60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30515F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21</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C79216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叉毛蓬</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F770DB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i/>
                      <w:iCs/>
                      <w:color w:val="000000"/>
                      <w:highlight w:val="none"/>
                    </w:rPr>
                    <w:t>Petrosimonia sibirica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2A1433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F0FAEBA">
                  <w:pPr>
                    <w:pStyle w:val="26"/>
                    <w:rPr>
                      <w:rFonts w:hint="default" w:ascii="Times New Roman" w:hAnsi="Times New Roman" w:cs="Times New Roman"/>
                      <w:b w:val="0"/>
                      <w:bCs/>
                      <w:color w:val="000000"/>
                      <w:highlight w:val="none"/>
                    </w:rPr>
                  </w:pPr>
                </w:p>
              </w:tc>
            </w:tr>
            <w:tr w14:paraId="7299BA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0D063BD">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A14CEA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五、十字花科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39EE49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 xml:space="preserve">Cruciferae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A9D4F19">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2F3CAEF">
                  <w:pPr>
                    <w:pStyle w:val="26"/>
                    <w:rPr>
                      <w:rFonts w:hint="default" w:ascii="Times New Roman" w:hAnsi="Times New Roman" w:cs="Times New Roman"/>
                      <w:b w:val="0"/>
                      <w:bCs/>
                      <w:color w:val="000000"/>
                      <w:highlight w:val="none"/>
                    </w:rPr>
                  </w:pPr>
                </w:p>
              </w:tc>
            </w:tr>
            <w:tr w14:paraId="4922D9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ECAF921">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22</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0B95CB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荒漠庭荠</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94B8118">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Alyssum desertorum</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EDB4B8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60FC58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598AFC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388E346">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23</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7CEB83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四齿芥</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78B8A3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Tetracme quadricornis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5C242B4">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7F761F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3F442B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8646E6A">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24</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7960D4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长齿四齿芥</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B89FBA1">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Tetracme recurvata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1D2AC7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A47B9A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F608C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0E33F9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25</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465A11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灰白糖芥</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227619B">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Ergsimum cheiranthides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74CEF6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89076B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08FB76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585548D">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26</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C4A958A">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螺喙荠</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8966C17">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Spirorrhynchus sabulosus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160573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B72555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667BF2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4C427CF">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27</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6E62AC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扭果芥</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5D6F75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Torularia torulosa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5BA6EE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023C34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48DB5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029D7D1">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28</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46C027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卷果涩芥</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F0C9B7F">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Malcolmia scorpioides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6D03806">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93B5A8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494BD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8F150B4">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620421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六、柽柳科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FC7F58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Tamaricaceae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A854F9C">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E3BB1A8">
                  <w:pPr>
                    <w:pStyle w:val="26"/>
                    <w:rPr>
                      <w:rFonts w:hint="default" w:ascii="Times New Roman" w:hAnsi="Times New Roman" w:cs="Times New Roman"/>
                      <w:b w:val="0"/>
                      <w:bCs/>
                      <w:color w:val="000000"/>
                      <w:highlight w:val="none"/>
                    </w:rPr>
                  </w:pPr>
                </w:p>
              </w:tc>
            </w:tr>
            <w:tr w14:paraId="51E85A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7904042">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29</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461B41A">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 xml:space="preserve">琵琶柴 </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3703DFC">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Reaumuria soongorica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7BF4817">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DE9DCD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224CFB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FFA6E48">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30</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734F96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多枝柽柳</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C979611">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Tamarix ramasissima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B0A4C4F">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51320A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771D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174B3DB">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890649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七、菊科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D20D5DD">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Compositae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E5AAAAA">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E01BD85">
                  <w:pPr>
                    <w:pStyle w:val="26"/>
                    <w:rPr>
                      <w:rFonts w:hint="default" w:ascii="Times New Roman" w:hAnsi="Times New Roman" w:cs="Times New Roman"/>
                      <w:b w:val="0"/>
                      <w:bCs/>
                      <w:color w:val="000000"/>
                      <w:highlight w:val="none"/>
                    </w:rPr>
                  </w:pPr>
                </w:p>
              </w:tc>
            </w:tr>
            <w:tr w14:paraId="022A50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A69EA06">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31</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AB6E67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苦艾蒿</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88E0E2A">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Artemisia santolina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35F081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BCEAF13">
                  <w:pPr>
                    <w:pStyle w:val="26"/>
                    <w:rPr>
                      <w:rFonts w:hint="default" w:ascii="Times New Roman" w:hAnsi="Times New Roman" w:cs="Times New Roman"/>
                      <w:b w:val="0"/>
                      <w:bCs/>
                      <w:color w:val="000000"/>
                      <w:highlight w:val="none"/>
                    </w:rPr>
                  </w:pPr>
                </w:p>
              </w:tc>
            </w:tr>
            <w:tr w14:paraId="3AA8CA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80570FB">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32</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25E966B">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地白蒿</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93EC40C">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Artemisia terrae-ablae</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4D3625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2996182">
                  <w:pPr>
                    <w:pStyle w:val="26"/>
                    <w:rPr>
                      <w:rFonts w:hint="default" w:ascii="Times New Roman" w:hAnsi="Times New Roman" w:cs="Times New Roman"/>
                      <w:b w:val="0"/>
                      <w:bCs/>
                      <w:color w:val="000000"/>
                      <w:highlight w:val="none"/>
                    </w:rPr>
                  </w:pPr>
                </w:p>
              </w:tc>
            </w:tr>
            <w:tr w14:paraId="6425E7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CC48964">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33</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25C0CFD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沙蒿</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EA54B76">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Artemisia desterorum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6432C5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25F1D74">
                  <w:pPr>
                    <w:pStyle w:val="26"/>
                    <w:rPr>
                      <w:rFonts w:hint="default" w:ascii="Times New Roman" w:hAnsi="Times New Roman" w:cs="Times New Roman"/>
                      <w:b w:val="0"/>
                      <w:bCs/>
                      <w:color w:val="000000"/>
                      <w:highlight w:val="none"/>
                    </w:rPr>
                  </w:pPr>
                </w:p>
              </w:tc>
            </w:tr>
            <w:tr w14:paraId="1832ED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6EF9B95">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34</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47B9A1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散枝鸦葱</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DFA5BC8">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Scorzonera divaricata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29413A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0438BE3">
                  <w:pPr>
                    <w:pStyle w:val="26"/>
                    <w:rPr>
                      <w:rFonts w:hint="default" w:ascii="Times New Roman" w:hAnsi="Times New Roman" w:cs="Times New Roman"/>
                      <w:b w:val="0"/>
                      <w:bCs/>
                      <w:color w:val="000000"/>
                      <w:highlight w:val="none"/>
                    </w:rPr>
                  </w:pPr>
                </w:p>
              </w:tc>
            </w:tr>
            <w:tr w14:paraId="27C6D3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BE33F21">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35</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9372777">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珀菊</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0EC81D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Amberba turanica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DEB652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1A533A8">
                  <w:pPr>
                    <w:pStyle w:val="26"/>
                    <w:rPr>
                      <w:rFonts w:hint="default" w:ascii="Times New Roman" w:hAnsi="Times New Roman" w:cs="Times New Roman"/>
                      <w:b w:val="0"/>
                      <w:bCs/>
                      <w:color w:val="000000"/>
                      <w:highlight w:val="none"/>
                    </w:rPr>
                  </w:pPr>
                </w:p>
              </w:tc>
            </w:tr>
            <w:tr w14:paraId="23EB78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5B439AB">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36</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707AC08E">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沙地千里光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360BE49D">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Senecio subdentatus</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4D3876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225F2C9">
                  <w:pPr>
                    <w:pStyle w:val="26"/>
                    <w:rPr>
                      <w:rFonts w:hint="default" w:ascii="Times New Roman" w:hAnsi="Times New Roman" w:cs="Times New Roman"/>
                      <w:b w:val="0"/>
                      <w:bCs/>
                      <w:color w:val="000000"/>
                      <w:highlight w:val="none"/>
                    </w:rPr>
                  </w:pPr>
                </w:p>
              </w:tc>
            </w:tr>
            <w:tr w14:paraId="57FE84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E80B933">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37</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F53930C">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无喙粉苞苣</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896BA6C">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Chondrilla ambigua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3513BF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60DB295">
                  <w:pPr>
                    <w:pStyle w:val="26"/>
                    <w:rPr>
                      <w:rFonts w:hint="default" w:ascii="Times New Roman" w:hAnsi="Times New Roman" w:cs="Times New Roman"/>
                      <w:b w:val="0"/>
                      <w:bCs/>
                      <w:color w:val="000000"/>
                      <w:highlight w:val="none"/>
                    </w:rPr>
                  </w:pPr>
                </w:p>
              </w:tc>
            </w:tr>
            <w:tr w14:paraId="43684D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66E976F">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38</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E524D6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蝎尾菊</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161C92F">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Koelpinia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143AD64">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6B9DB4B">
                  <w:pPr>
                    <w:pStyle w:val="26"/>
                    <w:rPr>
                      <w:rFonts w:hint="default" w:ascii="Times New Roman" w:hAnsi="Times New Roman" w:cs="Times New Roman"/>
                      <w:b w:val="0"/>
                      <w:bCs/>
                      <w:color w:val="000000"/>
                      <w:highlight w:val="none"/>
                    </w:rPr>
                  </w:pPr>
                </w:p>
              </w:tc>
            </w:tr>
            <w:tr w14:paraId="057670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B3FAEC8">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39</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D769AB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琉苞菊</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9DEDB56">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Hyalea pulella</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30BD5F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8EC58A4">
                  <w:pPr>
                    <w:pStyle w:val="26"/>
                    <w:rPr>
                      <w:rFonts w:hint="default" w:ascii="Times New Roman" w:hAnsi="Times New Roman" w:cs="Times New Roman"/>
                      <w:b w:val="0"/>
                      <w:bCs/>
                      <w:color w:val="000000"/>
                      <w:highlight w:val="none"/>
                    </w:rPr>
                  </w:pPr>
                </w:p>
              </w:tc>
            </w:tr>
            <w:tr w14:paraId="7BD1FE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D1E61AE">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29C860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八、百合科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7961D1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Liliace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815C88D">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D508965">
                  <w:pPr>
                    <w:pStyle w:val="26"/>
                    <w:rPr>
                      <w:rFonts w:hint="default" w:ascii="Times New Roman" w:hAnsi="Times New Roman" w:cs="Times New Roman"/>
                      <w:b w:val="0"/>
                      <w:bCs/>
                      <w:color w:val="000000"/>
                      <w:highlight w:val="none"/>
                    </w:rPr>
                  </w:pPr>
                </w:p>
              </w:tc>
            </w:tr>
            <w:tr w14:paraId="26F46E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1696994">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40</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64DC5F4A">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独尾草</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527BCCD7">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Eremvrus anisooteris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B9DF922">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7C548D2">
                  <w:pPr>
                    <w:pStyle w:val="26"/>
                    <w:rPr>
                      <w:rFonts w:hint="default" w:ascii="Times New Roman" w:hAnsi="Times New Roman" w:cs="Times New Roman"/>
                      <w:b w:val="0"/>
                      <w:bCs/>
                      <w:color w:val="000000"/>
                      <w:highlight w:val="none"/>
                    </w:rPr>
                  </w:pPr>
                </w:p>
              </w:tc>
            </w:tr>
            <w:tr w14:paraId="39EF0E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23972AB">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B7F9C5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九、伞形科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4152145">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Umbelliferae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FE1D18E">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710E43B">
                  <w:pPr>
                    <w:pStyle w:val="26"/>
                    <w:rPr>
                      <w:rFonts w:hint="default" w:ascii="Times New Roman" w:hAnsi="Times New Roman" w:cs="Times New Roman"/>
                      <w:b w:val="0"/>
                      <w:bCs/>
                      <w:color w:val="000000"/>
                      <w:highlight w:val="none"/>
                    </w:rPr>
                  </w:pPr>
                </w:p>
              </w:tc>
            </w:tr>
            <w:tr w14:paraId="070142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2E5E050">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41</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507EBE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簇花芹</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500A662">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Soranthus meyeri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1756DA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1E0345B">
                  <w:pPr>
                    <w:pStyle w:val="26"/>
                    <w:rPr>
                      <w:rFonts w:hint="default" w:ascii="Times New Roman" w:hAnsi="Times New Roman" w:cs="Times New Roman"/>
                      <w:b w:val="0"/>
                      <w:bCs/>
                      <w:color w:val="000000"/>
                      <w:highlight w:val="none"/>
                    </w:rPr>
                  </w:pPr>
                </w:p>
              </w:tc>
            </w:tr>
            <w:tr w14:paraId="4494A1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EBEABDD">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BE1DE99">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十、大戟科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64079360">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Euphorbiaceae</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99A2454">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328F777">
                  <w:pPr>
                    <w:pStyle w:val="26"/>
                    <w:rPr>
                      <w:rFonts w:hint="default" w:ascii="Times New Roman" w:hAnsi="Times New Roman" w:cs="Times New Roman"/>
                      <w:b w:val="0"/>
                      <w:bCs/>
                      <w:color w:val="000000"/>
                      <w:highlight w:val="none"/>
                    </w:rPr>
                  </w:pPr>
                </w:p>
              </w:tc>
            </w:tr>
            <w:tr w14:paraId="101F8C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5E89068A">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42</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3BD5E3D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土大戟</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48B01E6">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Euphorbia turczaninowii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31644C4">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08D5190">
                  <w:pPr>
                    <w:pStyle w:val="26"/>
                    <w:rPr>
                      <w:rFonts w:hint="default" w:ascii="Times New Roman" w:hAnsi="Times New Roman" w:cs="Times New Roman"/>
                      <w:b w:val="0"/>
                      <w:bCs/>
                      <w:color w:val="000000"/>
                      <w:highlight w:val="none"/>
                    </w:rPr>
                  </w:pPr>
                </w:p>
              </w:tc>
            </w:tr>
            <w:tr w14:paraId="525BF3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23092ED">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A0755B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十一、蒺藜科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60DC82C">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Zygophyllaceae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F0526E4">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536806A">
                  <w:pPr>
                    <w:pStyle w:val="26"/>
                    <w:rPr>
                      <w:rFonts w:hint="default" w:ascii="Times New Roman" w:hAnsi="Times New Roman" w:cs="Times New Roman"/>
                      <w:b w:val="0"/>
                      <w:bCs/>
                      <w:color w:val="000000"/>
                      <w:highlight w:val="none"/>
                    </w:rPr>
                  </w:pPr>
                </w:p>
              </w:tc>
            </w:tr>
            <w:tr w14:paraId="06E1F5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648FB55">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43</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55B723C6">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西伯利亚白刺</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13337DA9">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Nitraria sibirica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F024110">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E00362E">
                  <w:pPr>
                    <w:pStyle w:val="26"/>
                    <w:rPr>
                      <w:rFonts w:hint="default" w:ascii="Times New Roman" w:hAnsi="Times New Roman" w:cs="Times New Roman"/>
                      <w:b w:val="0"/>
                      <w:bCs/>
                      <w:color w:val="000000"/>
                      <w:highlight w:val="none"/>
                    </w:rPr>
                  </w:pPr>
                </w:p>
              </w:tc>
            </w:tr>
            <w:tr w14:paraId="53E81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4BF6F5D4">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44</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48DBBD2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 xml:space="preserve">骆驼蹄瓣 </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2FBDE925">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Zygophyllun fabago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86B72F0">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39B6D1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43AD38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EE1E1A6">
                  <w:pPr>
                    <w:pStyle w:val="26"/>
                    <w:rPr>
                      <w:rFonts w:hint="default" w:ascii="Times New Roman" w:hAnsi="Times New Roman" w:cs="Times New Roman"/>
                      <w:b w:val="0"/>
                      <w:bCs/>
                      <w:color w:val="000000"/>
                      <w:szCs w:val="24"/>
                      <w:highlight w:val="none"/>
                    </w:rPr>
                  </w:pPr>
                  <w:r>
                    <w:rPr>
                      <w:rFonts w:hint="default" w:ascii="Times New Roman" w:hAnsi="Times New Roman" w:cs="Times New Roman"/>
                      <w:b w:val="0"/>
                      <w:bCs/>
                      <w:color w:val="000000"/>
                      <w:highlight w:val="none"/>
                    </w:rPr>
                    <w:t>45</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0E6466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速生霸王</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1423A528">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Zygophyllum pterocarpum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9EDB15B">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975DA8">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r w14:paraId="12CC9E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35735CB">
                  <w:pPr>
                    <w:pStyle w:val="26"/>
                    <w:rPr>
                      <w:rFonts w:hint="default" w:ascii="Times New Roman" w:hAnsi="Times New Roman" w:cs="Times New Roman"/>
                      <w:b w:val="0"/>
                      <w:bCs/>
                      <w:color w:val="000000"/>
                      <w:szCs w:val="24"/>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F1C9F9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十二、豆科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0C6044EF">
                  <w:pPr>
                    <w:pStyle w:val="26"/>
                    <w:rPr>
                      <w:rFonts w:hint="default" w:ascii="Times New Roman" w:hAnsi="Times New Roman" w:cs="Times New Roman"/>
                      <w:b w:val="0"/>
                      <w:bCs/>
                      <w:i/>
                      <w:i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4610AA2">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E4BCFF9">
                  <w:pPr>
                    <w:pStyle w:val="26"/>
                    <w:rPr>
                      <w:rFonts w:hint="default" w:ascii="Times New Roman" w:hAnsi="Times New Roman" w:cs="Times New Roman"/>
                      <w:b w:val="0"/>
                      <w:bCs/>
                      <w:color w:val="000000"/>
                      <w:highlight w:val="none"/>
                    </w:rPr>
                  </w:pPr>
                </w:p>
              </w:tc>
            </w:tr>
            <w:tr w14:paraId="51BF9B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1C53FBF">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46</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1DF4592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混黄芪</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7B91A21">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 xml:space="preserve">Astragalus commixtus </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C7EB2E5">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7A3D5CD">
                  <w:pPr>
                    <w:pStyle w:val="26"/>
                    <w:rPr>
                      <w:rFonts w:hint="default" w:ascii="Times New Roman" w:hAnsi="Times New Roman" w:cs="Times New Roman"/>
                      <w:b w:val="0"/>
                      <w:bCs/>
                      <w:color w:val="000000"/>
                      <w:highlight w:val="none"/>
                    </w:rPr>
                  </w:pPr>
                </w:p>
              </w:tc>
            </w:tr>
            <w:tr w14:paraId="200131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746A3B6">
                  <w:pPr>
                    <w:pStyle w:val="26"/>
                    <w:rPr>
                      <w:rFonts w:hint="default" w:ascii="Times New Roman" w:hAnsi="Times New Roman" w:cs="Times New Roman"/>
                      <w:b w:val="0"/>
                      <w:bCs/>
                      <w:color w:val="000000"/>
                      <w:highlight w:val="none"/>
                    </w:rPr>
                  </w:pP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5348B0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十三、牻牛儿苗科</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785C3671">
                  <w:pPr>
                    <w:pStyle w:val="26"/>
                    <w:rPr>
                      <w:rFonts w:hint="default" w:ascii="Times New Roman" w:hAnsi="Times New Roman" w:cs="Times New Roman"/>
                      <w:b w:val="0"/>
                      <w:bCs/>
                      <w:i/>
                      <w:i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4A0B19A">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132FAB1">
                  <w:pPr>
                    <w:pStyle w:val="26"/>
                    <w:rPr>
                      <w:rFonts w:hint="default" w:ascii="Times New Roman" w:hAnsi="Times New Roman" w:cs="Times New Roman"/>
                      <w:b w:val="0"/>
                      <w:bCs/>
                      <w:color w:val="000000"/>
                      <w:highlight w:val="none"/>
                    </w:rPr>
                  </w:pPr>
                </w:p>
              </w:tc>
            </w:tr>
            <w:tr w14:paraId="6C849D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61B4981">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47</w:t>
                  </w:r>
                </w:p>
              </w:tc>
              <w:tc>
                <w:tcPr>
                  <w:tcW w:w="2206" w:type="dxa"/>
                  <w:tcBorders>
                    <w:top w:val="single" w:color="000000" w:sz="4" w:space="0"/>
                    <w:left w:val="single" w:color="000000" w:sz="4" w:space="0"/>
                    <w:bottom w:val="single" w:color="000000" w:sz="4" w:space="0"/>
                    <w:right w:val="single" w:color="000000" w:sz="4" w:space="0"/>
                  </w:tcBorders>
                  <w:noWrap w:val="0"/>
                  <w:vAlign w:val="center"/>
                </w:tcPr>
                <w:p w14:paraId="0C6BA6E3">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尖喙牻牛儿苗</w:t>
                  </w:r>
                </w:p>
              </w:tc>
              <w:tc>
                <w:tcPr>
                  <w:tcW w:w="3687" w:type="dxa"/>
                  <w:tcBorders>
                    <w:top w:val="single" w:color="000000" w:sz="4" w:space="0"/>
                    <w:left w:val="single" w:color="000000" w:sz="4" w:space="0"/>
                    <w:bottom w:val="single" w:color="000000" w:sz="4" w:space="0"/>
                    <w:right w:val="single" w:color="000000" w:sz="4" w:space="0"/>
                  </w:tcBorders>
                  <w:noWrap w:val="0"/>
                  <w:vAlign w:val="center"/>
                </w:tcPr>
                <w:p w14:paraId="42B3CA22">
                  <w:pPr>
                    <w:pStyle w:val="26"/>
                    <w:rPr>
                      <w:rFonts w:hint="default" w:ascii="Times New Roman" w:hAnsi="Times New Roman" w:cs="Times New Roman"/>
                      <w:b w:val="0"/>
                      <w:bCs/>
                      <w:i/>
                      <w:iCs/>
                      <w:color w:val="000000"/>
                      <w:highlight w:val="none"/>
                    </w:rPr>
                  </w:pPr>
                  <w:r>
                    <w:rPr>
                      <w:rFonts w:hint="default" w:ascii="Times New Roman" w:hAnsi="Times New Roman" w:cs="Times New Roman"/>
                      <w:b w:val="0"/>
                      <w:bCs/>
                      <w:i/>
                      <w:iCs/>
                      <w:color w:val="000000"/>
                      <w:highlight w:val="none"/>
                    </w:rPr>
                    <w:t>Erodium oxyrrh ynchum</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9E97E5B">
                  <w:pPr>
                    <w:pStyle w:val="26"/>
                    <w:rPr>
                      <w:rFonts w:hint="default" w:ascii="Times New Roman" w:hAnsi="Times New Roman" w:cs="Times New Roman"/>
                      <w:b w:val="0"/>
                      <w:bCs/>
                      <w:color w:val="000000"/>
                      <w:highlight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76E75BD">
                  <w:pPr>
                    <w:pStyle w:val="26"/>
                    <w:rPr>
                      <w:rFonts w:hint="default" w:ascii="Times New Roman" w:hAnsi="Times New Roman" w:cs="Times New Roman"/>
                      <w:b w:val="0"/>
                      <w:bCs/>
                      <w:color w:val="000000"/>
                      <w:highlight w:val="none"/>
                    </w:rPr>
                  </w:pPr>
                  <w:r>
                    <w:rPr>
                      <w:rFonts w:hint="default" w:ascii="Times New Roman" w:hAnsi="Times New Roman" w:cs="Times New Roman"/>
                      <w:b w:val="0"/>
                      <w:bCs/>
                      <w:color w:val="000000"/>
                      <w:highlight w:val="none"/>
                    </w:rPr>
                    <w:t>++</w:t>
                  </w:r>
                </w:p>
              </w:tc>
            </w:tr>
          </w:tbl>
          <w:p w14:paraId="7CAC09B3">
            <w:pPr>
              <w:pStyle w:val="4"/>
              <w:rPr>
                <w:color w:val="000000"/>
                <w:highlight w:val="none"/>
              </w:rPr>
            </w:pPr>
            <w:r>
              <w:rPr>
                <w:color w:val="000000"/>
                <w:highlight w:val="none"/>
              </w:rPr>
              <w:t>1.3 野生动物现状调查与评价</w:t>
            </w:r>
          </w:p>
          <w:p w14:paraId="344DE3AD">
            <w:pPr>
              <w:spacing w:line="360" w:lineRule="auto"/>
              <w:ind w:firstLine="480"/>
              <w:jc w:val="both"/>
              <w:rPr>
                <w:color w:val="000000"/>
                <w:highlight w:val="none"/>
              </w:rPr>
            </w:pPr>
            <w:r>
              <w:rPr>
                <w:color w:val="000000"/>
                <w:highlight w:val="none"/>
              </w:rPr>
              <w:t>（1）野生动物栖息生境类型</w:t>
            </w:r>
          </w:p>
          <w:p w14:paraId="7642B099">
            <w:pPr>
              <w:spacing w:line="360" w:lineRule="auto"/>
              <w:ind w:firstLine="480"/>
              <w:jc w:val="both"/>
              <w:rPr>
                <w:color w:val="000000"/>
                <w:highlight w:val="none"/>
              </w:rPr>
            </w:pPr>
            <w:r>
              <w:rPr>
                <w:color w:val="000000"/>
                <w:highlight w:val="none"/>
              </w:rPr>
              <w:t>按中国动物地理区划的分级标准，项目开发区域属古北界、中亚亚界、蒙新区、西部荒漠亚区、准噶尔盆地小区。因该区域地处准噶尔盆地的古尔班通古特沙漠腹地，气候极端干燥，按气候区划为酷热干旱区。</w:t>
            </w:r>
          </w:p>
          <w:p w14:paraId="55FF87FC">
            <w:pPr>
              <w:numPr>
                <w:ilvl w:val="0"/>
                <w:numId w:val="4"/>
              </w:numPr>
              <w:spacing w:line="360" w:lineRule="auto"/>
              <w:ind w:firstLine="480"/>
              <w:jc w:val="both"/>
              <w:rPr>
                <w:color w:val="000000"/>
                <w:highlight w:val="none"/>
              </w:rPr>
            </w:pPr>
            <w:r>
              <w:rPr>
                <w:color w:val="000000"/>
                <w:highlight w:val="none"/>
              </w:rPr>
              <w:t>野生动物种类及分布</w:t>
            </w:r>
          </w:p>
          <w:p w14:paraId="4284D1E2">
            <w:pPr>
              <w:spacing w:line="360" w:lineRule="auto"/>
              <w:ind w:firstLine="480" w:firstLineChars="200"/>
              <w:jc w:val="both"/>
              <w:rPr>
                <w:color w:val="000000"/>
                <w:highlight w:val="none"/>
              </w:rPr>
            </w:pPr>
            <w:r>
              <w:rPr>
                <w:color w:val="000000"/>
                <w:highlight w:val="none"/>
              </w:rPr>
              <w:t>在项目区域分布有野生脊椎动物约33种，以鸟类和小型哺乳动物为主例如</w:t>
            </w:r>
            <w:r>
              <w:rPr>
                <w:bCs/>
                <w:color w:val="000000"/>
                <w:highlight w:val="none"/>
              </w:rPr>
              <w:t>鸢、雀鹰、毛脚沙鸡、短趾沙百灵、云雀、黑尾地鸦、草兔、大沙鼠等</w:t>
            </w:r>
            <w:r>
              <w:rPr>
                <w:color w:val="000000"/>
                <w:highlight w:val="none"/>
              </w:rPr>
              <w:t>。其中根据《国家重点保护野生动物名录》（2021年版），沙狐、狼、鹅喉羚、兔狲为国家Ⅱ级重点保护野生动物。详见表3-3。</w:t>
            </w:r>
          </w:p>
          <w:p w14:paraId="1FB37C5C">
            <w:pPr>
              <w:pStyle w:val="8"/>
              <w:spacing w:before="0" w:after="0" w:line="240" w:lineRule="auto"/>
              <w:ind w:right="0"/>
              <w:rPr>
                <w:color w:val="000000"/>
                <w:highlight w:val="none"/>
              </w:rPr>
            </w:pPr>
            <w:r>
              <w:rPr>
                <w:b/>
                <w:color w:val="000000"/>
                <w:kern w:val="2"/>
                <w:sz w:val="21"/>
                <w:szCs w:val="22"/>
                <w:highlight w:val="none"/>
              </w:rPr>
              <w:t xml:space="preserve">表 </w:t>
            </w:r>
            <w:r>
              <w:rPr>
                <w:rFonts w:hint="eastAsia"/>
                <w:b/>
                <w:color w:val="000000"/>
                <w:kern w:val="2"/>
                <w:sz w:val="21"/>
                <w:szCs w:val="22"/>
                <w:highlight w:val="none"/>
              </w:rPr>
              <w:t>3</w:t>
            </w:r>
            <w:r>
              <w:rPr>
                <w:b/>
                <w:color w:val="000000"/>
                <w:kern w:val="2"/>
                <w:sz w:val="21"/>
                <w:szCs w:val="22"/>
                <w:highlight w:val="none"/>
              </w:rPr>
              <w:t>-</w:t>
            </w:r>
            <w:r>
              <w:rPr>
                <w:rFonts w:hint="eastAsia"/>
                <w:b/>
                <w:color w:val="000000"/>
                <w:kern w:val="2"/>
                <w:sz w:val="21"/>
                <w:szCs w:val="22"/>
                <w:highlight w:val="none"/>
              </w:rPr>
              <w:t>2</w:t>
            </w:r>
            <w:r>
              <w:rPr>
                <w:b/>
                <w:color w:val="000000"/>
                <w:kern w:val="2"/>
                <w:sz w:val="21"/>
                <w:szCs w:val="22"/>
                <w:highlight w:val="none"/>
              </w:rPr>
              <w:t xml:space="preserve">    重要野生动物调查结果统计表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81"/>
              <w:gridCol w:w="880"/>
              <w:gridCol w:w="1080"/>
              <w:gridCol w:w="859"/>
              <w:gridCol w:w="1535"/>
              <w:gridCol w:w="965"/>
              <w:gridCol w:w="968"/>
            </w:tblGrid>
            <w:tr w14:paraId="21FD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2A8EC09D">
                  <w:pPr>
                    <w:pStyle w:val="25"/>
                    <w:rPr>
                      <w:rFonts w:hint="eastAsia"/>
                      <w:color w:val="000000"/>
                      <w:highlight w:val="none"/>
                    </w:rPr>
                  </w:pPr>
                  <w:r>
                    <w:rPr>
                      <w:b/>
                      <w:bCs/>
                      <w:color w:val="000000"/>
                      <w:highlight w:val="none"/>
                    </w:rPr>
                    <w:t>序号</w:t>
                  </w:r>
                </w:p>
              </w:tc>
              <w:tc>
                <w:tcPr>
                  <w:tcW w:w="673" w:type="pct"/>
                  <w:noWrap w:val="0"/>
                  <w:vAlign w:val="center"/>
                </w:tcPr>
                <w:p w14:paraId="24174A7F">
                  <w:pPr>
                    <w:pStyle w:val="25"/>
                    <w:rPr>
                      <w:rFonts w:hint="eastAsia"/>
                      <w:color w:val="000000"/>
                      <w:highlight w:val="none"/>
                    </w:rPr>
                  </w:pPr>
                  <w:r>
                    <w:rPr>
                      <w:b/>
                      <w:bCs/>
                      <w:color w:val="000000"/>
                      <w:highlight w:val="none"/>
                    </w:rPr>
                    <w:t>物种名称（中文名/拉丁名）</w:t>
                  </w:r>
                </w:p>
              </w:tc>
              <w:tc>
                <w:tcPr>
                  <w:tcW w:w="549" w:type="pct"/>
                  <w:noWrap w:val="0"/>
                  <w:vAlign w:val="center"/>
                </w:tcPr>
                <w:p w14:paraId="40538D1C">
                  <w:pPr>
                    <w:pStyle w:val="25"/>
                    <w:rPr>
                      <w:rFonts w:hint="eastAsia"/>
                      <w:color w:val="000000"/>
                      <w:highlight w:val="none"/>
                    </w:rPr>
                  </w:pPr>
                  <w:r>
                    <w:rPr>
                      <w:b/>
                      <w:bCs/>
                      <w:color w:val="000000"/>
                      <w:highlight w:val="none"/>
                    </w:rPr>
                    <w:t>保护级别</w:t>
                  </w:r>
                </w:p>
              </w:tc>
              <w:tc>
                <w:tcPr>
                  <w:tcW w:w="673" w:type="pct"/>
                  <w:noWrap w:val="0"/>
                  <w:vAlign w:val="center"/>
                </w:tcPr>
                <w:p w14:paraId="4DE19F6E">
                  <w:pPr>
                    <w:pStyle w:val="25"/>
                    <w:rPr>
                      <w:rFonts w:hint="eastAsia"/>
                      <w:color w:val="000000"/>
                      <w:highlight w:val="none"/>
                    </w:rPr>
                  </w:pPr>
                  <w:r>
                    <w:rPr>
                      <w:b/>
                      <w:bCs/>
                      <w:color w:val="000000"/>
                      <w:highlight w:val="none"/>
                    </w:rPr>
                    <w:t>濒危等级</w:t>
                  </w:r>
                </w:p>
              </w:tc>
              <w:tc>
                <w:tcPr>
                  <w:tcW w:w="536" w:type="pct"/>
                  <w:noWrap w:val="0"/>
                  <w:vAlign w:val="center"/>
                </w:tcPr>
                <w:p w14:paraId="01EB6571">
                  <w:pPr>
                    <w:pStyle w:val="25"/>
                    <w:rPr>
                      <w:rFonts w:hint="eastAsia"/>
                      <w:color w:val="000000"/>
                      <w:highlight w:val="none"/>
                    </w:rPr>
                  </w:pPr>
                  <w:r>
                    <w:rPr>
                      <w:b/>
                      <w:bCs/>
                      <w:color w:val="000000"/>
                      <w:highlight w:val="none"/>
                    </w:rPr>
                    <w:t>特有种（是/否）</w:t>
                  </w:r>
                </w:p>
              </w:tc>
              <w:tc>
                <w:tcPr>
                  <w:tcW w:w="957" w:type="pct"/>
                  <w:noWrap w:val="0"/>
                  <w:vAlign w:val="center"/>
                </w:tcPr>
                <w:p w14:paraId="47050E87">
                  <w:pPr>
                    <w:pStyle w:val="25"/>
                    <w:rPr>
                      <w:rFonts w:hint="eastAsia"/>
                      <w:color w:val="000000"/>
                      <w:highlight w:val="none"/>
                    </w:rPr>
                  </w:pPr>
                  <w:r>
                    <w:rPr>
                      <w:b/>
                      <w:bCs/>
                      <w:color w:val="000000"/>
                      <w:highlight w:val="none"/>
                    </w:rPr>
                    <w:t>分布区域</w:t>
                  </w:r>
                </w:p>
              </w:tc>
              <w:tc>
                <w:tcPr>
                  <w:tcW w:w="602" w:type="pct"/>
                  <w:noWrap w:val="0"/>
                  <w:vAlign w:val="center"/>
                </w:tcPr>
                <w:p w14:paraId="4950EAF7">
                  <w:pPr>
                    <w:pStyle w:val="25"/>
                    <w:rPr>
                      <w:rFonts w:hint="eastAsia"/>
                      <w:color w:val="000000"/>
                      <w:highlight w:val="none"/>
                    </w:rPr>
                  </w:pPr>
                  <w:r>
                    <w:rPr>
                      <w:b/>
                      <w:bCs/>
                      <w:color w:val="000000"/>
                      <w:highlight w:val="none"/>
                    </w:rPr>
                    <w:t>资料来源</w:t>
                  </w:r>
                </w:p>
              </w:tc>
              <w:tc>
                <w:tcPr>
                  <w:tcW w:w="604" w:type="pct"/>
                  <w:noWrap w:val="0"/>
                  <w:vAlign w:val="center"/>
                </w:tcPr>
                <w:p w14:paraId="0331FAA1">
                  <w:pPr>
                    <w:pStyle w:val="25"/>
                    <w:rPr>
                      <w:rFonts w:hint="eastAsia"/>
                      <w:color w:val="000000"/>
                      <w:highlight w:val="none"/>
                    </w:rPr>
                  </w:pPr>
                  <w:r>
                    <w:rPr>
                      <w:b/>
                      <w:bCs/>
                      <w:color w:val="000000"/>
                      <w:highlight w:val="none"/>
                    </w:rPr>
                    <w:t>工程占用情况（是/否）</w:t>
                  </w:r>
                </w:p>
              </w:tc>
            </w:tr>
            <w:tr w14:paraId="77C9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6B0FDD33">
                  <w:pPr>
                    <w:pStyle w:val="25"/>
                    <w:rPr>
                      <w:rFonts w:hint="eastAsia"/>
                      <w:color w:val="000000"/>
                      <w:highlight w:val="none"/>
                    </w:rPr>
                  </w:pPr>
                  <w:r>
                    <w:rPr>
                      <w:color w:val="000000"/>
                      <w:highlight w:val="none"/>
                    </w:rPr>
                    <w:t>1</w:t>
                  </w:r>
                </w:p>
              </w:tc>
              <w:tc>
                <w:tcPr>
                  <w:tcW w:w="673" w:type="pct"/>
                  <w:noWrap w:val="0"/>
                  <w:vAlign w:val="center"/>
                </w:tcPr>
                <w:p w14:paraId="5E9C56D5">
                  <w:pPr>
                    <w:pStyle w:val="25"/>
                    <w:rPr>
                      <w:rFonts w:hint="eastAsia"/>
                      <w:color w:val="000000"/>
                      <w:highlight w:val="none"/>
                    </w:rPr>
                  </w:pPr>
                  <w:r>
                    <w:rPr>
                      <w:color w:val="000000"/>
                      <w:highlight w:val="none"/>
                    </w:rPr>
                    <w:t>沙狐/Vulpes corsac</w:t>
                  </w:r>
                </w:p>
              </w:tc>
              <w:tc>
                <w:tcPr>
                  <w:tcW w:w="549" w:type="pct"/>
                  <w:vMerge w:val="restart"/>
                  <w:noWrap w:val="0"/>
                  <w:vAlign w:val="center"/>
                </w:tcPr>
                <w:p w14:paraId="294A7C49">
                  <w:pPr>
                    <w:pStyle w:val="25"/>
                    <w:rPr>
                      <w:rFonts w:hint="eastAsia"/>
                      <w:color w:val="000000"/>
                      <w:highlight w:val="none"/>
                    </w:rPr>
                  </w:pPr>
                  <w:r>
                    <w:rPr>
                      <w:color w:val="000000"/>
                      <w:highlight w:val="none"/>
                    </w:rPr>
                    <w:t>国家Ⅱ级重点保护野生动物</w:t>
                  </w:r>
                </w:p>
              </w:tc>
              <w:tc>
                <w:tcPr>
                  <w:tcW w:w="673" w:type="pct"/>
                  <w:noWrap w:val="0"/>
                  <w:vAlign w:val="center"/>
                </w:tcPr>
                <w:p w14:paraId="14680E2C">
                  <w:pPr>
                    <w:pStyle w:val="25"/>
                    <w:rPr>
                      <w:rFonts w:hint="eastAsia"/>
                      <w:color w:val="000000"/>
                      <w:highlight w:val="none"/>
                    </w:rPr>
                  </w:pPr>
                  <w:r>
                    <w:rPr>
                      <w:color w:val="000000"/>
                      <w:highlight w:val="none"/>
                    </w:rPr>
                    <w:t>NT</w:t>
                  </w:r>
                </w:p>
              </w:tc>
              <w:tc>
                <w:tcPr>
                  <w:tcW w:w="536" w:type="pct"/>
                  <w:noWrap w:val="0"/>
                  <w:vAlign w:val="center"/>
                </w:tcPr>
                <w:p w14:paraId="5D016512">
                  <w:pPr>
                    <w:pStyle w:val="25"/>
                    <w:rPr>
                      <w:rFonts w:hint="eastAsia"/>
                      <w:color w:val="000000"/>
                      <w:highlight w:val="none"/>
                    </w:rPr>
                  </w:pPr>
                  <w:r>
                    <w:rPr>
                      <w:color w:val="000000"/>
                      <w:highlight w:val="none"/>
                    </w:rPr>
                    <w:t>否</w:t>
                  </w:r>
                </w:p>
              </w:tc>
              <w:tc>
                <w:tcPr>
                  <w:tcW w:w="957" w:type="pct"/>
                  <w:noWrap w:val="0"/>
                  <w:vAlign w:val="center"/>
                </w:tcPr>
                <w:p w14:paraId="5D4D9290">
                  <w:pPr>
                    <w:pStyle w:val="25"/>
                    <w:rPr>
                      <w:rFonts w:hint="eastAsia"/>
                      <w:color w:val="000000"/>
                      <w:highlight w:val="none"/>
                    </w:rPr>
                  </w:pPr>
                  <w:r>
                    <w:rPr>
                      <w:color w:val="000000"/>
                      <w:highlight w:val="none"/>
                    </w:rPr>
                    <w:t>内蒙古、宁夏、辽宁、新疆、甘肃。</w:t>
                  </w:r>
                </w:p>
              </w:tc>
              <w:tc>
                <w:tcPr>
                  <w:tcW w:w="602" w:type="pct"/>
                  <w:vMerge w:val="restart"/>
                  <w:noWrap w:val="0"/>
                  <w:vAlign w:val="center"/>
                </w:tcPr>
                <w:p w14:paraId="5E567099">
                  <w:pPr>
                    <w:pStyle w:val="25"/>
                    <w:rPr>
                      <w:rFonts w:hint="eastAsia"/>
                      <w:color w:val="000000"/>
                      <w:highlight w:val="none"/>
                    </w:rPr>
                  </w:pPr>
                  <w:r>
                    <w:rPr>
                      <w:color w:val="000000"/>
                      <w:highlight w:val="none"/>
                    </w:rPr>
                    <w:t>环评现场调查、文献记录、历史调查资料</w:t>
                  </w:r>
                </w:p>
              </w:tc>
              <w:tc>
                <w:tcPr>
                  <w:tcW w:w="604" w:type="pct"/>
                  <w:noWrap w:val="0"/>
                  <w:vAlign w:val="center"/>
                </w:tcPr>
                <w:p w14:paraId="03B8B0E4">
                  <w:pPr>
                    <w:pStyle w:val="25"/>
                    <w:rPr>
                      <w:rFonts w:hint="eastAsia"/>
                      <w:color w:val="000000"/>
                      <w:highlight w:val="none"/>
                    </w:rPr>
                  </w:pPr>
                  <w:r>
                    <w:rPr>
                      <w:color w:val="000000"/>
                      <w:highlight w:val="none"/>
                    </w:rPr>
                    <w:t>否</w:t>
                  </w:r>
                </w:p>
              </w:tc>
            </w:tr>
            <w:tr w14:paraId="6C79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0EA4DCE4">
                  <w:pPr>
                    <w:pStyle w:val="25"/>
                    <w:rPr>
                      <w:rFonts w:hint="eastAsia"/>
                      <w:color w:val="000000"/>
                      <w:highlight w:val="none"/>
                    </w:rPr>
                  </w:pPr>
                  <w:r>
                    <w:rPr>
                      <w:color w:val="000000"/>
                      <w:highlight w:val="none"/>
                    </w:rPr>
                    <w:t>2</w:t>
                  </w:r>
                </w:p>
              </w:tc>
              <w:tc>
                <w:tcPr>
                  <w:tcW w:w="673" w:type="pct"/>
                  <w:noWrap w:val="0"/>
                  <w:vAlign w:val="center"/>
                </w:tcPr>
                <w:p w14:paraId="3E9A1F04">
                  <w:pPr>
                    <w:pStyle w:val="25"/>
                    <w:rPr>
                      <w:rFonts w:hint="eastAsia"/>
                      <w:color w:val="000000"/>
                      <w:highlight w:val="none"/>
                    </w:rPr>
                  </w:pPr>
                  <w:r>
                    <w:rPr>
                      <w:color w:val="000000"/>
                      <w:highlight w:val="none"/>
                    </w:rPr>
                    <w:t>狼/Canis lupus</w:t>
                  </w:r>
                </w:p>
              </w:tc>
              <w:tc>
                <w:tcPr>
                  <w:tcW w:w="549" w:type="pct"/>
                  <w:vMerge w:val="continue"/>
                  <w:noWrap w:val="0"/>
                  <w:vAlign w:val="center"/>
                </w:tcPr>
                <w:p w14:paraId="644FA60E">
                  <w:pPr>
                    <w:spacing w:line="360" w:lineRule="auto"/>
                    <w:rPr>
                      <w:rFonts w:hint="eastAsia"/>
                      <w:color w:val="000000"/>
                      <w:highlight w:val="none"/>
                    </w:rPr>
                  </w:pPr>
                </w:p>
              </w:tc>
              <w:tc>
                <w:tcPr>
                  <w:tcW w:w="673" w:type="pct"/>
                  <w:noWrap w:val="0"/>
                  <w:vAlign w:val="center"/>
                </w:tcPr>
                <w:p w14:paraId="538A517F">
                  <w:pPr>
                    <w:pStyle w:val="25"/>
                    <w:rPr>
                      <w:rFonts w:hint="eastAsia"/>
                      <w:color w:val="000000"/>
                      <w:highlight w:val="none"/>
                    </w:rPr>
                  </w:pPr>
                  <w:r>
                    <w:rPr>
                      <w:color w:val="000000"/>
                      <w:highlight w:val="none"/>
                    </w:rPr>
                    <w:t>NT</w:t>
                  </w:r>
                </w:p>
              </w:tc>
              <w:tc>
                <w:tcPr>
                  <w:tcW w:w="536" w:type="pct"/>
                  <w:noWrap w:val="0"/>
                  <w:vAlign w:val="center"/>
                </w:tcPr>
                <w:p w14:paraId="6BB5C786">
                  <w:pPr>
                    <w:pStyle w:val="25"/>
                    <w:rPr>
                      <w:rFonts w:hint="eastAsia"/>
                      <w:color w:val="000000"/>
                      <w:highlight w:val="none"/>
                    </w:rPr>
                  </w:pPr>
                  <w:r>
                    <w:rPr>
                      <w:color w:val="000000"/>
                      <w:highlight w:val="none"/>
                    </w:rPr>
                    <w:t>否</w:t>
                  </w:r>
                </w:p>
              </w:tc>
              <w:tc>
                <w:tcPr>
                  <w:tcW w:w="957" w:type="pct"/>
                  <w:noWrap w:val="0"/>
                  <w:vAlign w:val="center"/>
                </w:tcPr>
                <w:p w14:paraId="2F5BC8DB">
                  <w:pPr>
                    <w:pStyle w:val="25"/>
                    <w:rPr>
                      <w:rFonts w:hint="eastAsia"/>
                      <w:color w:val="000000"/>
                      <w:highlight w:val="none"/>
                    </w:rPr>
                  </w:pPr>
                  <w:r>
                    <w:rPr>
                      <w:color w:val="000000"/>
                      <w:highlight w:val="none"/>
                    </w:rPr>
                    <w:t>栖息范围广，山地、森林、丘陵、平原、荒漠、冻原等地方都有。</w:t>
                  </w:r>
                </w:p>
              </w:tc>
              <w:tc>
                <w:tcPr>
                  <w:tcW w:w="602" w:type="pct"/>
                  <w:vMerge w:val="continue"/>
                  <w:noWrap w:val="0"/>
                  <w:vAlign w:val="center"/>
                </w:tcPr>
                <w:p w14:paraId="5725FD5C">
                  <w:pPr>
                    <w:spacing w:line="360" w:lineRule="auto"/>
                    <w:rPr>
                      <w:rFonts w:hint="eastAsia"/>
                      <w:color w:val="000000"/>
                      <w:highlight w:val="none"/>
                    </w:rPr>
                  </w:pPr>
                </w:p>
              </w:tc>
              <w:tc>
                <w:tcPr>
                  <w:tcW w:w="604" w:type="pct"/>
                  <w:noWrap w:val="0"/>
                  <w:vAlign w:val="center"/>
                </w:tcPr>
                <w:p w14:paraId="1ED457F2">
                  <w:pPr>
                    <w:pStyle w:val="25"/>
                    <w:rPr>
                      <w:rFonts w:hint="eastAsia"/>
                      <w:color w:val="000000"/>
                      <w:highlight w:val="none"/>
                    </w:rPr>
                  </w:pPr>
                  <w:r>
                    <w:rPr>
                      <w:color w:val="000000"/>
                      <w:highlight w:val="none"/>
                    </w:rPr>
                    <w:t>否</w:t>
                  </w:r>
                </w:p>
              </w:tc>
            </w:tr>
            <w:tr w14:paraId="3FB6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178B3BE9">
                  <w:pPr>
                    <w:pStyle w:val="25"/>
                    <w:rPr>
                      <w:rFonts w:hint="eastAsia"/>
                      <w:color w:val="000000"/>
                      <w:highlight w:val="none"/>
                    </w:rPr>
                  </w:pPr>
                  <w:r>
                    <w:rPr>
                      <w:color w:val="000000"/>
                      <w:highlight w:val="none"/>
                    </w:rPr>
                    <w:t>3</w:t>
                  </w:r>
                </w:p>
              </w:tc>
              <w:tc>
                <w:tcPr>
                  <w:tcW w:w="673" w:type="pct"/>
                  <w:noWrap w:val="0"/>
                  <w:vAlign w:val="center"/>
                </w:tcPr>
                <w:p w14:paraId="54AF1FF5">
                  <w:pPr>
                    <w:pStyle w:val="25"/>
                    <w:rPr>
                      <w:rFonts w:hint="eastAsia"/>
                      <w:color w:val="000000"/>
                      <w:highlight w:val="none"/>
                    </w:rPr>
                  </w:pPr>
                  <w:r>
                    <w:rPr>
                      <w:color w:val="000000"/>
                      <w:highlight w:val="none"/>
                    </w:rPr>
                    <w:t>鹅喉羚/Gazella subgutturosa</w:t>
                  </w:r>
                </w:p>
              </w:tc>
              <w:tc>
                <w:tcPr>
                  <w:tcW w:w="549" w:type="pct"/>
                  <w:vMerge w:val="continue"/>
                  <w:noWrap w:val="0"/>
                  <w:vAlign w:val="center"/>
                </w:tcPr>
                <w:p w14:paraId="451AE6F3">
                  <w:pPr>
                    <w:spacing w:line="360" w:lineRule="auto"/>
                    <w:rPr>
                      <w:rFonts w:hint="eastAsia"/>
                      <w:color w:val="000000"/>
                      <w:highlight w:val="none"/>
                    </w:rPr>
                  </w:pPr>
                </w:p>
              </w:tc>
              <w:tc>
                <w:tcPr>
                  <w:tcW w:w="673" w:type="pct"/>
                  <w:noWrap w:val="0"/>
                  <w:vAlign w:val="center"/>
                </w:tcPr>
                <w:p w14:paraId="3F78DFCE">
                  <w:pPr>
                    <w:pStyle w:val="25"/>
                    <w:rPr>
                      <w:rFonts w:hint="eastAsia"/>
                      <w:color w:val="000000"/>
                      <w:highlight w:val="none"/>
                    </w:rPr>
                  </w:pPr>
                  <w:r>
                    <w:rPr>
                      <w:color w:val="000000"/>
                      <w:highlight w:val="none"/>
                    </w:rPr>
                    <w:t>VU</w:t>
                  </w:r>
                </w:p>
              </w:tc>
              <w:tc>
                <w:tcPr>
                  <w:tcW w:w="536" w:type="pct"/>
                  <w:noWrap w:val="0"/>
                  <w:vAlign w:val="center"/>
                </w:tcPr>
                <w:p w14:paraId="390CD20C">
                  <w:pPr>
                    <w:pStyle w:val="25"/>
                    <w:rPr>
                      <w:rFonts w:hint="eastAsia"/>
                      <w:color w:val="000000"/>
                      <w:highlight w:val="none"/>
                    </w:rPr>
                  </w:pPr>
                  <w:r>
                    <w:rPr>
                      <w:color w:val="000000"/>
                      <w:highlight w:val="none"/>
                    </w:rPr>
                    <w:t>否</w:t>
                  </w:r>
                </w:p>
              </w:tc>
              <w:tc>
                <w:tcPr>
                  <w:tcW w:w="957" w:type="pct"/>
                  <w:noWrap w:val="0"/>
                  <w:vAlign w:val="center"/>
                </w:tcPr>
                <w:p w14:paraId="00822F08">
                  <w:pPr>
                    <w:pStyle w:val="25"/>
                    <w:rPr>
                      <w:rFonts w:hint="eastAsia"/>
                      <w:color w:val="000000"/>
                      <w:highlight w:val="none"/>
                    </w:rPr>
                  </w:pPr>
                  <w:r>
                    <w:rPr>
                      <w:color w:val="000000"/>
                      <w:highlight w:val="none"/>
                    </w:rPr>
                    <w:t>我国分布记录有4个亚种，分布于我国的西北地区。北疆亚种，分布于新疆准噶尔盆地；南疆亚种，分布于新疆的哈密、莎车、阿克苏、吐鲁番等地。</w:t>
                  </w:r>
                </w:p>
              </w:tc>
              <w:tc>
                <w:tcPr>
                  <w:tcW w:w="602" w:type="pct"/>
                  <w:vMerge w:val="continue"/>
                  <w:noWrap w:val="0"/>
                  <w:vAlign w:val="center"/>
                </w:tcPr>
                <w:p w14:paraId="029227E5">
                  <w:pPr>
                    <w:spacing w:line="360" w:lineRule="auto"/>
                    <w:rPr>
                      <w:rFonts w:hint="eastAsia"/>
                      <w:color w:val="000000"/>
                      <w:highlight w:val="none"/>
                    </w:rPr>
                  </w:pPr>
                </w:p>
              </w:tc>
              <w:tc>
                <w:tcPr>
                  <w:tcW w:w="604" w:type="pct"/>
                  <w:noWrap w:val="0"/>
                  <w:vAlign w:val="center"/>
                </w:tcPr>
                <w:p w14:paraId="40DF91DD">
                  <w:pPr>
                    <w:pStyle w:val="25"/>
                    <w:rPr>
                      <w:rFonts w:hint="eastAsia"/>
                      <w:color w:val="000000"/>
                      <w:highlight w:val="none"/>
                    </w:rPr>
                  </w:pPr>
                  <w:r>
                    <w:rPr>
                      <w:color w:val="000000"/>
                      <w:highlight w:val="none"/>
                    </w:rPr>
                    <w:t>否</w:t>
                  </w:r>
                </w:p>
              </w:tc>
            </w:tr>
            <w:tr w14:paraId="033E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4CEC223E">
                  <w:pPr>
                    <w:pStyle w:val="25"/>
                    <w:rPr>
                      <w:rFonts w:hint="eastAsia"/>
                      <w:color w:val="000000"/>
                      <w:highlight w:val="none"/>
                    </w:rPr>
                  </w:pPr>
                  <w:r>
                    <w:rPr>
                      <w:rFonts w:hint="eastAsia"/>
                      <w:color w:val="000000"/>
                      <w:highlight w:val="none"/>
                    </w:rPr>
                    <w:t>4</w:t>
                  </w:r>
                </w:p>
              </w:tc>
              <w:tc>
                <w:tcPr>
                  <w:tcW w:w="673" w:type="pct"/>
                  <w:noWrap w:val="0"/>
                  <w:vAlign w:val="center"/>
                </w:tcPr>
                <w:p w14:paraId="3BB4B1CB">
                  <w:pPr>
                    <w:pStyle w:val="25"/>
                    <w:rPr>
                      <w:rFonts w:hint="eastAsia"/>
                      <w:color w:val="000000"/>
                      <w:highlight w:val="none"/>
                    </w:rPr>
                  </w:pPr>
                  <w:r>
                    <w:rPr>
                      <w:rFonts w:hint="eastAsia"/>
                      <w:bCs/>
                      <w:color w:val="000000"/>
                      <w:highlight w:val="none"/>
                    </w:rPr>
                    <w:t>兔狲</w:t>
                  </w:r>
                  <w:r>
                    <w:rPr>
                      <w:bCs/>
                      <w:i/>
                      <w:iCs/>
                      <w:color w:val="000000"/>
                      <w:highlight w:val="none"/>
                    </w:rPr>
                    <w:t>Felis mamul</w:t>
                  </w:r>
                </w:p>
              </w:tc>
              <w:tc>
                <w:tcPr>
                  <w:tcW w:w="549" w:type="pct"/>
                  <w:vMerge w:val="continue"/>
                  <w:noWrap w:val="0"/>
                  <w:vAlign w:val="center"/>
                </w:tcPr>
                <w:p w14:paraId="12D3F767">
                  <w:pPr>
                    <w:spacing w:line="360" w:lineRule="auto"/>
                    <w:rPr>
                      <w:rFonts w:hint="eastAsia"/>
                      <w:color w:val="000000"/>
                      <w:highlight w:val="none"/>
                    </w:rPr>
                  </w:pPr>
                </w:p>
              </w:tc>
              <w:tc>
                <w:tcPr>
                  <w:tcW w:w="673" w:type="pct"/>
                  <w:noWrap w:val="0"/>
                  <w:vAlign w:val="center"/>
                </w:tcPr>
                <w:p w14:paraId="5E70ED9E">
                  <w:pPr>
                    <w:pStyle w:val="25"/>
                    <w:rPr>
                      <w:rFonts w:hint="eastAsia"/>
                      <w:color w:val="000000"/>
                      <w:highlight w:val="none"/>
                    </w:rPr>
                  </w:pPr>
                  <w:r>
                    <w:rPr>
                      <w:color w:val="000000"/>
                      <w:highlight w:val="none"/>
                    </w:rPr>
                    <w:t>LC</w:t>
                  </w:r>
                </w:p>
              </w:tc>
              <w:tc>
                <w:tcPr>
                  <w:tcW w:w="536" w:type="pct"/>
                  <w:noWrap w:val="0"/>
                  <w:vAlign w:val="center"/>
                </w:tcPr>
                <w:p w14:paraId="0E5D6A29">
                  <w:pPr>
                    <w:pStyle w:val="25"/>
                    <w:rPr>
                      <w:rFonts w:hint="eastAsia"/>
                      <w:color w:val="000000"/>
                      <w:highlight w:val="none"/>
                    </w:rPr>
                  </w:pPr>
                  <w:r>
                    <w:rPr>
                      <w:rFonts w:hint="eastAsia"/>
                      <w:color w:val="000000"/>
                      <w:highlight w:val="none"/>
                    </w:rPr>
                    <w:t>否</w:t>
                  </w:r>
                </w:p>
              </w:tc>
              <w:tc>
                <w:tcPr>
                  <w:tcW w:w="957" w:type="pct"/>
                  <w:noWrap w:val="0"/>
                  <w:vAlign w:val="center"/>
                </w:tcPr>
                <w:p w14:paraId="3C5D3BAC">
                  <w:pPr>
                    <w:pStyle w:val="25"/>
                    <w:rPr>
                      <w:rFonts w:hint="eastAsia"/>
                      <w:color w:val="000000"/>
                      <w:highlight w:val="none"/>
                    </w:rPr>
                  </w:pPr>
                  <w:r>
                    <w:rPr>
                      <w:color w:val="000000"/>
                      <w:highlight w:val="none"/>
                    </w:rPr>
                    <w:t>主要栖息于草原和山地草原地带，偏好峡谷和岩石区域</w:t>
                  </w:r>
                </w:p>
              </w:tc>
              <w:tc>
                <w:tcPr>
                  <w:tcW w:w="602" w:type="pct"/>
                  <w:vMerge w:val="continue"/>
                  <w:noWrap w:val="0"/>
                  <w:vAlign w:val="center"/>
                </w:tcPr>
                <w:p w14:paraId="6D28E408">
                  <w:pPr>
                    <w:spacing w:line="360" w:lineRule="auto"/>
                    <w:rPr>
                      <w:rFonts w:hint="eastAsia"/>
                      <w:color w:val="000000"/>
                      <w:highlight w:val="none"/>
                    </w:rPr>
                  </w:pPr>
                </w:p>
              </w:tc>
              <w:tc>
                <w:tcPr>
                  <w:tcW w:w="604" w:type="pct"/>
                  <w:noWrap w:val="0"/>
                  <w:vAlign w:val="center"/>
                </w:tcPr>
                <w:p w14:paraId="474A30AD">
                  <w:pPr>
                    <w:pStyle w:val="25"/>
                    <w:rPr>
                      <w:rFonts w:hint="eastAsia"/>
                      <w:color w:val="000000"/>
                      <w:highlight w:val="none"/>
                    </w:rPr>
                  </w:pPr>
                  <w:r>
                    <w:rPr>
                      <w:color w:val="000000"/>
                      <w:highlight w:val="none"/>
                    </w:rPr>
                    <w:t>否</w:t>
                  </w:r>
                </w:p>
              </w:tc>
            </w:tr>
          </w:tbl>
          <w:p w14:paraId="2D2B1006">
            <w:pPr>
              <w:spacing w:line="360" w:lineRule="auto"/>
              <w:ind w:firstLine="480" w:firstLineChars="200"/>
              <w:jc w:val="both"/>
              <w:rPr>
                <w:color w:val="000000"/>
                <w:highlight w:val="none"/>
              </w:rPr>
            </w:pPr>
            <w:r>
              <w:rPr>
                <w:rFonts w:hint="eastAsia"/>
                <w:color w:val="000000"/>
                <w:highlight w:val="none"/>
              </w:rPr>
              <w:t>由于准噶尔盆地严酷的气候条件，夏季酷热，冬季严寒而且极为干旱，所以野生动物种类分布较少，没有区域特有种类。该区域大型哺乳动物种类相对较少，区域内分布仅有鹅喉羚、狼、沙狐等种类。蒙古野驴在冬季降雪后，活动范围偶尔可涉及该区域。由于饮水、食物及人类活动影响的原因，准噶尔盆地荒漠中各种大型资源动物数量不多，因此作业区不是有蹄类动物的主要分布区，只是偶然在此活动，有些动物只在冬季降雪后才深入沙漠的腹地。同时，由于作业区周边油田较多，人为活动频繁，项目现状调查和走访中，未发现大型野生动物和受保护野生动物。</w:t>
            </w:r>
          </w:p>
          <w:p w14:paraId="2E331BDE">
            <w:pPr>
              <w:pStyle w:val="4"/>
              <w:rPr>
                <w:color w:val="000000"/>
                <w:highlight w:val="none"/>
              </w:rPr>
            </w:pPr>
            <w:r>
              <w:rPr>
                <w:color w:val="000000"/>
                <w:highlight w:val="none"/>
              </w:rPr>
              <w:t>1.4 土壤现状调查与评价</w:t>
            </w:r>
          </w:p>
          <w:p w14:paraId="2F8673B3">
            <w:pPr>
              <w:spacing w:line="360" w:lineRule="auto"/>
              <w:ind w:firstLine="480"/>
              <w:jc w:val="both"/>
              <w:rPr>
                <w:color w:val="000000"/>
                <w:highlight w:val="none"/>
              </w:rPr>
            </w:pPr>
            <w:bookmarkStart w:id="9" w:name="_Hlk50733755"/>
            <w:r>
              <w:rPr>
                <w:rFonts w:hint="eastAsia"/>
                <w:color w:val="000000"/>
                <w:highlight w:val="none"/>
              </w:rPr>
              <w:t>项目区气候极端干旱，植被极为稀疏，土壤发育较差，类型较为简单，广大地区为风沙土所覆盖。这种土壤是在风成沙性母质上发育起来的，质地较粗，物理性粘粒很少。因风蚀风积作用的交替进行，使土壤发育处于不断的复幼状况下，加之植被稀疏生物作用微弱，有机物质积累很少，成土过程十分微弱，剖面层次分化不明显，因此风沙土在很大程度上只具有风积沙沉积物岩性特征而缺乏其它的诊断层和诊断特征。风沙土可分为流动风沙土、半固定风沙土和固定风沙土三个亚类。而本区域土壤类型以流动风沙土为主。</w:t>
            </w:r>
          </w:p>
          <w:p w14:paraId="46B2175D">
            <w:pPr>
              <w:spacing w:line="360" w:lineRule="auto"/>
              <w:ind w:firstLine="480" w:firstLineChars="200"/>
              <w:jc w:val="both"/>
              <w:rPr>
                <w:color w:val="000000"/>
                <w:spacing w:val="4"/>
                <w:highlight w:val="none"/>
              </w:rPr>
            </w:pPr>
            <w:r>
              <w:rPr>
                <w:rFonts w:hint="eastAsia"/>
                <w:color w:val="000000"/>
                <w:highlight w:val="none"/>
              </w:rPr>
              <w:t>流动风沙土：地表光裸无植被，偶见单个的沙生柽柳。土壤剖面无发育层次，只有干沙层和湿沙层之分。干沙层表面为沙波纹，疏松，无结构，灰黄色。湿沙层为淡黄色，湿润，疏松。流动风沙土养分含量极低，有机质含量小于</w:t>
            </w:r>
            <w:r>
              <w:rPr>
                <w:color w:val="000000"/>
                <w:highlight w:val="none"/>
              </w:rPr>
              <w:t>1g/kg</w:t>
            </w:r>
            <w:r>
              <w:rPr>
                <w:rFonts w:hint="eastAsia"/>
                <w:color w:val="000000"/>
                <w:highlight w:val="none"/>
              </w:rPr>
              <w:t>。颗粒组成以</w:t>
            </w:r>
            <w:r>
              <w:rPr>
                <w:color w:val="000000"/>
                <w:highlight w:val="none"/>
              </w:rPr>
              <w:t>0.25</w:t>
            </w:r>
            <w:r>
              <w:rPr>
                <w:rFonts w:hint="eastAsia"/>
                <w:color w:val="000000"/>
                <w:highlight w:val="none"/>
              </w:rPr>
              <w:t>～</w:t>
            </w:r>
            <w:r>
              <w:rPr>
                <w:color w:val="000000"/>
                <w:highlight w:val="none"/>
              </w:rPr>
              <w:t>01mm</w:t>
            </w:r>
            <w:r>
              <w:rPr>
                <w:rFonts w:hint="eastAsia"/>
                <w:color w:val="000000"/>
                <w:highlight w:val="none"/>
              </w:rPr>
              <w:t xml:space="preserve">的细砂粒极为主，干沙层自然含水量 </w:t>
            </w:r>
            <w:r>
              <w:rPr>
                <w:color w:val="000000"/>
                <w:highlight w:val="none"/>
              </w:rPr>
              <w:t>0.6</w:t>
            </w:r>
            <w:r>
              <w:rPr>
                <w:rFonts w:hint="eastAsia"/>
                <w:color w:val="000000"/>
                <w:highlight w:val="none"/>
              </w:rPr>
              <w:t>～</w:t>
            </w:r>
            <w:r>
              <w:rPr>
                <w:color w:val="000000"/>
                <w:highlight w:val="none"/>
              </w:rPr>
              <w:t>1.1g/kg</w:t>
            </w:r>
            <w:r>
              <w:rPr>
                <w:rFonts w:hint="eastAsia"/>
                <w:color w:val="000000"/>
                <w:highlight w:val="none"/>
              </w:rPr>
              <w:t>，湿沙层</w:t>
            </w:r>
            <w:r>
              <w:rPr>
                <w:color w:val="000000"/>
                <w:highlight w:val="none"/>
              </w:rPr>
              <w:t>14~15g/kg</w:t>
            </w:r>
            <w:r>
              <w:rPr>
                <w:rFonts w:hint="eastAsia"/>
                <w:color w:val="000000"/>
                <w:highlight w:val="none"/>
              </w:rPr>
              <w:t>。</w:t>
            </w:r>
          </w:p>
          <w:bookmarkEnd w:id="9"/>
          <w:p w14:paraId="23E4B900">
            <w:pPr>
              <w:pStyle w:val="4"/>
              <w:rPr>
                <w:color w:val="000000"/>
                <w:highlight w:val="none"/>
              </w:rPr>
            </w:pPr>
            <w:r>
              <w:rPr>
                <w:color w:val="000000"/>
                <w:highlight w:val="none"/>
              </w:rPr>
              <w:t>1.5 土地利用现状调查与评价</w:t>
            </w:r>
          </w:p>
          <w:p w14:paraId="253819CC">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highlight w:val="none"/>
              </w:rPr>
            </w:pPr>
            <w:r>
              <w:rPr>
                <w:color w:val="000000"/>
                <w:kern w:val="0"/>
                <w:highlight w:val="none"/>
              </w:rPr>
              <w:t>根据建设单位提供的土地利用类型叠图可知，并参照《土地利用现状分类》（GB/T21010-2017），以确定本工程区域的土地利用类型</w:t>
            </w:r>
            <w:r>
              <w:rPr>
                <w:rFonts w:hint="eastAsia"/>
                <w:color w:val="000000"/>
                <w:kern w:val="0"/>
                <w:highlight w:val="none"/>
              </w:rPr>
              <w:t>。本项目莫174H井临时占地范围内的土地利用类型为</w:t>
            </w:r>
            <w:r>
              <w:rPr>
                <w:rFonts w:hint="eastAsia"/>
                <w:color w:val="000000"/>
                <w:highlight w:val="none"/>
              </w:rPr>
              <w:t>灌木林地。莫173井位于生态保护红线区，临时占用生态红线区域面积5.6455公顷，其中临时占用公路用地0.2566hm</w:t>
            </w:r>
            <w:r>
              <w:rPr>
                <w:rFonts w:hint="eastAsia"/>
                <w:color w:val="000000"/>
                <w:highlight w:val="none"/>
                <w:vertAlign w:val="superscript"/>
                <w:lang w:val="en-US" w:eastAsia="zh-CN"/>
              </w:rPr>
              <w:t>2</w:t>
            </w:r>
            <w:r>
              <w:rPr>
                <w:rFonts w:hint="eastAsia"/>
                <w:color w:val="000000"/>
                <w:highlight w:val="none"/>
              </w:rPr>
              <w:t>，临时占用国家特别规定灌木林地5.3889hm</w:t>
            </w:r>
            <w:r>
              <w:rPr>
                <w:rFonts w:hint="eastAsia"/>
                <w:color w:val="000000"/>
                <w:highlight w:val="none"/>
                <w:vertAlign w:val="superscript"/>
                <w:lang w:val="en-US" w:eastAsia="zh-CN"/>
              </w:rPr>
              <w:t>2</w:t>
            </w:r>
            <w:r>
              <w:rPr>
                <w:rFonts w:hint="eastAsia"/>
                <w:color w:val="000000"/>
                <w:highlight w:val="none"/>
              </w:rPr>
              <w:t>，</w:t>
            </w:r>
            <w:r>
              <w:rPr>
                <w:rFonts w:hint="default" w:ascii="Times New Roman" w:hAnsi="Times New Roman" w:cs="Times New Roman"/>
                <w:color w:val="000000"/>
                <w:highlight w:val="none"/>
              </w:rPr>
              <w:t>林地权属为国有林地，森林类别为国家级二级公益林地，林地保护等级为Ⅱ级保护林地，林地类型为防护林林地。</w:t>
            </w:r>
          </w:p>
          <w:p w14:paraId="5E50B097">
            <w:pPr>
              <w:widowControl/>
              <w:spacing w:line="360" w:lineRule="auto"/>
              <w:jc w:val="left"/>
              <w:outlineLvl w:val="1"/>
              <w:rPr>
                <w:color w:val="000000"/>
                <w:highlight w:val="none"/>
              </w:rPr>
            </w:pPr>
            <w:r>
              <w:rPr>
                <w:b/>
                <w:bCs/>
                <w:color w:val="000000"/>
                <w:kern w:val="0"/>
                <w:highlight w:val="none"/>
                <w:lang w:bidi="ar"/>
              </w:rPr>
              <w:t>1.6 水土流失和土地沙化现状调查与评价</w:t>
            </w:r>
          </w:p>
          <w:p w14:paraId="08782717">
            <w:pPr>
              <w:spacing w:line="360" w:lineRule="auto"/>
              <w:jc w:val="both"/>
              <w:textAlignment w:val="center"/>
              <w:rPr>
                <w:b/>
                <w:bCs/>
                <w:color w:val="000000"/>
                <w:highlight w:val="none"/>
              </w:rPr>
            </w:pPr>
            <w:r>
              <w:rPr>
                <w:b/>
                <w:bCs/>
                <w:color w:val="000000"/>
                <w:highlight w:val="none"/>
              </w:rPr>
              <w:t>1.6.1 水土流失现状</w:t>
            </w:r>
          </w:p>
          <w:p w14:paraId="50CDA01C">
            <w:pPr>
              <w:pStyle w:val="24"/>
              <w:jc w:val="both"/>
              <w:rPr>
                <w:color w:val="000000"/>
                <w:highlight w:val="none"/>
              </w:rPr>
            </w:pPr>
            <w:r>
              <w:rPr>
                <w:color w:val="000000"/>
                <w:sz w:val="24"/>
                <w:szCs w:val="24"/>
                <w:highlight w:val="none"/>
              </w:rPr>
              <w:t>本项目位于新疆维吾尔自治区</w:t>
            </w:r>
            <w:r>
              <w:rPr>
                <w:rFonts w:hint="eastAsia"/>
                <w:color w:val="000000"/>
                <w:sz w:val="24"/>
                <w:szCs w:val="24"/>
                <w:highlight w:val="none"/>
              </w:rPr>
              <w:t>昌吉回族自治州玛纳斯县</w:t>
            </w:r>
            <w:r>
              <w:rPr>
                <w:color w:val="000000"/>
                <w:sz w:val="24"/>
                <w:szCs w:val="24"/>
                <w:highlight w:val="none"/>
              </w:rPr>
              <w:t>，</w:t>
            </w:r>
            <w:r>
              <w:rPr>
                <w:rFonts w:ascii="Times New Roman" w:hAnsi="Times New Roman"/>
                <w:color w:val="000000"/>
                <w:sz w:val="24"/>
                <w:szCs w:val="24"/>
                <w:highlight w:val="none"/>
              </w:rPr>
              <w:t>根据《关于印发新疆自治区级水土流失重点预防区和重点治理区复核划分成果的通知》（新水水保〔2019〕4号）：全疆共划分了2个自治区级重点预防区，4个自治区级重点治理区。本项目所在区域为</w:t>
            </w:r>
            <w:r>
              <w:rPr>
                <w:rFonts w:ascii="Times New Roman" w:hAnsi="Times New Roman"/>
                <w:color w:val="000000"/>
                <w:kern w:val="0"/>
                <w:sz w:val="24"/>
                <w:szCs w:val="24"/>
                <w:highlight w:val="none"/>
                <w:lang w:bidi="ar"/>
              </w:rPr>
              <w:t>新疆维吾尔自治区级水土流失重点治理区II</w:t>
            </w:r>
            <w:r>
              <w:rPr>
                <w:rFonts w:ascii="Times New Roman" w:hAnsi="Times New Roman"/>
                <w:color w:val="000000"/>
                <w:kern w:val="0"/>
                <w:sz w:val="24"/>
                <w:szCs w:val="24"/>
                <w:highlight w:val="none"/>
                <w:vertAlign w:val="subscript"/>
                <w:lang w:bidi="ar"/>
              </w:rPr>
              <w:t>2</w:t>
            </w:r>
            <w:r>
              <w:rPr>
                <w:rFonts w:ascii="Times New Roman" w:hAnsi="Times New Roman"/>
                <w:color w:val="000000"/>
                <w:kern w:val="0"/>
                <w:sz w:val="24"/>
                <w:szCs w:val="24"/>
                <w:highlight w:val="none"/>
                <w:lang w:bidi="ar"/>
              </w:rPr>
              <w:t>天山北坡诸小河流域重点治理区。结合项目区地理位置、地形地貌和气候环境特点，确定项目区水土流失类型主要为风力侵蚀。</w:t>
            </w:r>
          </w:p>
          <w:p w14:paraId="584D41D6">
            <w:pPr>
              <w:pStyle w:val="31"/>
              <w:spacing w:after="0" w:line="360" w:lineRule="auto"/>
              <w:ind w:firstLine="480" w:firstLineChars="200"/>
              <w:jc w:val="both"/>
              <w:rPr>
                <w:rFonts w:eastAsia="宋体"/>
                <w:color w:val="000000"/>
                <w:highlight w:val="none"/>
              </w:rPr>
            </w:pPr>
            <w:r>
              <w:rPr>
                <w:rFonts w:eastAsia="宋体"/>
                <w:bCs/>
                <w:color w:val="000000"/>
                <w:sz w:val="24"/>
                <w:highlight w:val="none"/>
              </w:rPr>
              <w:t>根据《新疆维吾尔自治区202</w:t>
            </w:r>
            <w:r>
              <w:rPr>
                <w:rFonts w:hint="eastAsia" w:eastAsia="宋体"/>
                <w:bCs/>
                <w:color w:val="000000"/>
                <w:sz w:val="24"/>
                <w:highlight w:val="none"/>
              </w:rPr>
              <w:t>4</w:t>
            </w:r>
            <w:r>
              <w:rPr>
                <w:rFonts w:eastAsia="宋体"/>
                <w:bCs/>
                <w:color w:val="000000"/>
                <w:sz w:val="24"/>
                <w:highlight w:val="none"/>
              </w:rPr>
              <w:t>年水土保持公报》，</w:t>
            </w:r>
            <w:r>
              <w:rPr>
                <w:rFonts w:hint="eastAsia" w:eastAsia="宋体"/>
                <w:bCs/>
                <w:color w:val="000000"/>
                <w:sz w:val="24"/>
                <w:highlight w:val="none"/>
              </w:rPr>
              <w:t>昌吉回族自治州</w:t>
            </w:r>
            <w:r>
              <w:rPr>
                <w:rFonts w:eastAsia="宋体"/>
                <w:bCs/>
                <w:color w:val="000000"/>
                <w:sz w:val="24"/>
                <w:highlight w:val="none"/>
              </w:rPr>
              <w:t>水土流失面积</w:t>
            </w:r>
            <w:r>
              <w:rPr>
                <w:rFonts w:hint="eastAsia" w:eastAsia="宋体"/>
                <w:bCs/>
                <w:color w:val="000000"/>
                <w:sz w:val="24"/>
                <w:highlight w:val="none"/>
              </w:rPr>
              <w:t>45895.56</w:t>
            </w:r>
            <w:r>
              <w:rPr>
                <w:rFonts w:eastAsia="宋体"/>
                <w:bCs/>
                <w:color w:val="000000"/>
                <w:sz w:val="24"/>
                <w:highlight w:val="none"/>
              </w:rPr>
              <w:t>km</w:t>
            </w:r>
            <w:r>
              <w:rPr>
                <w:rFonts w:eastAsia="宋体"/>
                <w:bCs/>
                <w:color w:val="000000"/>
                <w:sz w:val="24"/>
                <w:highlight w:val="none"/>
                <w:vertAlign w:val="superscript"/>
              </w:rPr>
              <w:t>2</w:t>
            </w:r>
            <w:r>
              <w:rPr>
                <w:rFonts w:eastAsia="宋体"/>
                <w:bCs/>
                <w:color w:val="000000"/>
                <w:sz w:val="24"/>
                <w:highlight w:val="none"/>
              </w:rPr>
              <w:t>，侵蚀类型主要有水力侵蚀、风力侵蚀。其中风力侵蚀面积为</w:t>
            </w:r>
            <w:r>
              <w:rPr>
                <w:rFonts w:hint="eastAsia" w:eastAsia="宋体"/>
                <w:bCs/>
                <w:color w:val="000000"/>
                <w:sz w:val="24"/>
                <w:highlight w:val="none"/>
              </w:rPr>
              <w:t>41603.43</w:t>
            </w:r>
            <w:r>
              <w:rPr>
                <w:rFonts w:eastAsia="宋体"/>
                <w:bCs/>
                <w:color w:val="000000"/>
                <w:sz w:val="24"/>
                <w:highlight w:val="none"/>
              </w:rPr>
              <w:t>km</w:t>
            </w:r>
            <w:r>
              <w:rPr>
                <w:rFonts w:eastAsia="宋体"/>
                <w:bCs/>
                <w:color w:val="000000"/>
                <w:sz w:val="24"/>
                <w:highlight w:val="none"/>
                <w:vertAlign w:val="superscript"/>
              </w:rPr>
              <w:t>2</w:t>
            </w:r>
            <w:r>
              <w:rPr>
                <w:rFonts w:eastAsia="宋体"/>
                <w:bCs/>
                <w:color w:val="000000"/>
                <w:sz w:val="24"/>
                <w:highlight w:val="none"/>
              </w:rPr>
              <w:t>，占水土流失面积的9</w:t>
            </w:r>
            <w:r>
              <w:rPr>
                <w:rFonts w:hint="eastAsia" w:eastAsia="宋体"/>
                <w:bCs/>
                <w:color w:val="000000"/>
                <w:sz w:val="24"/>
                <w:highlight w:val="none"/>
              </w:rPr>
              <w:t>1</w:t>
            </w:r>
            <w:r>
              <w:rPr>
                <w:rFonts w:eastAsia="宋体"/>
                <w:bCs/>
                <w:color w:val="000000"/>
                <w:sz w:val="24"/>
                <w:highlight w:val="none"/>
              </w:rPr>
              <w:t>%；水力侵蚀面积为</w:t>
            </w:r>
            <w:r>
              <w:rPr>
                <w:rFonts w:hint="eastAsia" w:eastAsia="宋体"/>
                <w:bCs/>
                <w:color w:val="000000"/>
                <w:sz w:val="24"/>
                <w:highlight w:val="none"/>
              </w:rPr>
              <w:t>4122.68</w:t>
            </w:r>
            <w:r>
              <w:rPr>
                <w:rFonts w:eastAsia="宋体"/>
                <w:bCs/>
                <w:color w:val="000000"/>
                <w:sz w:val="24"/>
                <w:highlight w:val="none"/>
              </w:rPr>
              <w:t>km</w:t>
            </w:r>
            <w:r>
              <w:rPr>
                <w:rFonts w:eastAsia="宋体"/>
                <w:bCs/>
                <w:color w:val="000000"/>
                <w:sz w:val="24"/>
                <w:highlight w:val="none"/>
                <w:vertAlign w:val="superscript"/>
              </w:rPr>
              <w:t>2</w:t>
            </w:r>
            <w:r>
              <w:rPr>
                <w:rFonts w:eastAsia="宋体"/>
                <w:bCs/>
                <w:color w:val="000000"/>
                <w:sz w:val="24"/>
                <w:highlight w:val="none"/>
              </w:rPr>
              <w:t>，占水土流失面积的</w:t>
            </w:r>
            <w:r>
              <w:rPr>
                <w:rFonts w:hint="eastAsia" w:eastAsia="宋体"/>
                <w:bCs/>
                <w:color w:val="000000"/>
                <w:sz w:val="24"/>
                <w:highlight w:val="none"/>
              </w:rPr>
              <w:t>9</w:t>
            </w:r>
            <w:r>
              <w:rPr>
                <w:rFonts w:eastAsia="宋体"/>
                <w:bCs/>
                <w:color w:val="000000"/>
                <w:sz w:val="24"/>
                <w:highlight w:val="none"/>
              </w:rPr>
              <w:t>%。</w:t>
            </w:r>
          </w:p>
          <w:p w14:paraId="3203C89B">
            <w:pPr>
              <w:spacing w:line="331" w:lineRule="auto"/>
              <w:jc w:val="both"/>
              <w:textAlignment w:val="center"/>
              <w:rPr>
                <w:b/>
                <w:bCs/>
                <w:color w:val="000000"/>
                <w:highlight w:val="none"/>
              </w:rPr>
            </w:pPr>
            <w:r>
              <w:rPr>
                <w:b/>
                <w:bCs/>
                <w:color w:val="000000"/>
                <w:highlight w:val="none"/>
              </w:rPr>
              <w:t>1.6.2 土地沙化现状</w:t>
            </w:r>
          </w:p>
          <w:p w14:paraId="63780051">
            <w:pPr>
              <w:spacing w:line="360" w:lineRule="auto"/>
              <w:ind w:firstLine="480" w:firstLineChars="200"/>
              <w:jc w:val="both"/>
              <w:textAlignment w:val="center"/>
              <w:rPr>
                <w:color w:val="000000"/>
                <w:highlight w:val="none"/>
              </w:rPr>
            </w:pPr>
            <w:r>
              <w:rPr>
                <w:color w:val="000000"/>
                <w:highlight w:val="none"/>
              </w:rPr>
              <w:t>本项目位于古尔班通古特沙漠的南部。古尔班通古特沙漠面积48695km</w:t>
            </w:r>
            <w:r>
              <w:rPr>
                <w:color w:val="000000"/>
                <w:highlight w:val="none"/>
                <w:vertAlign w:val="superscript"/>
              </w:rPr>
              <w:t>2</w:t>
            </w:r>
            <w:r>
              <w:rPr>
                <w:color w:val="000000"/>
                <w:highlight w:val="none"/>
              </w:rPr>
              <w:t>，占全疆沙漠的11.05%；是我国第二大沙漠，也是我国最大的固定、半固定沙漠。主要由四片沙漠组成，奇台以东为霍景涅里辛沙漠，中部为德佐索腾艾里松沙漠，分布在三个泉干谷以南，西部是索布古尔布格莱沙漠，北部是阔布什和阿克库姆沙漠。</w:t>
            </w:r>
          </w:p>
          <w:p w14:paraId="60785FBE">
            <w:pPr>
              <w:spacing w:line="360" w:lineRule="auto"/>
              <w:ind w:firstLine="480" w:firstLineChars="200"/>
              <w:jc w:val="both"/>
              <w:textAlignment w:val="center"/>
              <w:rPr>
                <w:color w:val="000000"/>
                <w:highlight w:val="none"/>
              </w:rPr>
            </w:pPr>
            <w:r>
              <w:rPr>
                <w:color w:val="000000"/>
                <w:highlight w:val="none"/>
              </w:rPr>
              <w:t>古尔班通古特沙漠中的沙化土地面积4666222.99hm</w:t>
            </w:r>
            <w:r>
              <w:rPr>
                <w:color w:val="000000"/>
                <w:highlight w:val="none"/>
                <w:vertAlign w:val="superscript"/>
              </w:rPr>
              <w:t>2</w:t>
            </w:r>
            <w:r>
              <w:rPr>
                <w:color w:val="000000"/>
                <w:highlight w:val="none"/>
              </w:rPr>
              <w:t>，其中：沙质土地4532361.18hm</w:t>
            </w:r>
            <w:r>
              <w:rPr>
                <w:color w:val="000000"/>
                <w:highlight w:val="none"/>
                <w:vertAlign w:val="superscript"/>
              </w:rPr>
              <w:t>2</w:t>
            </w:r>
            <w:r>
              <w:rPr>
                <w:color w:val="000000"/>
                <w:highlight w:val="none"/>
              </w:rPr>
              <w:t>。沙质土地中，流动沙地38997.61hm</w:t>
            </w:r>
            <w:r>
              <w:rPr>
                <w:color w:val="000000"/>
                <w:highlight w:val="none"/>
                <w:vertAlign w:val="superscript"/>
              </w:rPr>
              <w:t>2</w:t>
            </w:r>
            <w:r>
              <w:rPr>
                <w:color w:val="000000"/>
                <w:highlight w:val="none"/>
              </w:rPr>
              <w:t>，半固定沙地1215775.51hm</w:t>
            </w:r>
            <w:r>
              <w:rPr>
                <w:color w:val="000000"/>
                <w:highlight w:val="none"/>
                <w:vertAlign w:val="superscript"/>
              </w:rPr>
              <w:t>2</w:t>
            </w:r>
            <w:r>
              <w:rPr>
                <w:color w:val="000000"/>
                <w:highlight w:val="none"/>
              </w:rPr>
              <w:t>，固定沙地3223187.31hm</w:t>
            </w:r>
            <w:r>
              <w:rPr>
                <w:color w:val="000000"/>
                <w:highlight w:val="none"/>
                <w:vertAlign w:val="superscript"/>
              </w:rPr>
              <w:t>2</w:t>
            </w:r>
            <w:r>
              <w:rPr>
                <w:color w:val="000000"/>
                <w:highlight w:val="none"/>
              </w:rPr>
              <w:t>，沙化耕地54400.75hm</w:t>
            </w:r>
            <w:r>
              <w:rPr>
                <w:color w:val="000000"/>
                <w:highlight w:val="none"/>
                <w:vertAlign w:val="superscript"/>
              </w:rPr>
              <w:t>2</w:t>
            </w:r>
            <w:r>
              <w:rPr>
                <w:color w:val="000000"/>
                <w:highlight w:val="none"/>
              </w:rPr>
              <w:t>。</w:t>
            </w:r>
          </w:p>
          <w:p w14:paraId="61C545CF">
            <w:pPr>
              <w:spacing w:line="360" w:lineRule="auto"/>
              <w:ind w:firstLine="480" w:firstLineChars="200"/>
              <w:jc w:val="both"/>
              <w:textAlignment w:val="center"/>
              <w:rPr>
                <w:color w:val="000000"/>
                <w:highlight w:val="none"/>
              </w:rPr>
            </w:pPr>
            <w:r>
              <w:rPr>
                <w:color w:val="000000"/>
                <w:highlight w:val="none"/>
              </w:rPr>
              <w:t>本项目位于</w:t>
            </w:r>
            <w:r>
              <w:rPr>
                <w:rFonts w:hint="eastAsia"/>
                <w:color w:val="000000"/>
                <w:highlight w:val="none"/>
              </w:rPr>
              <w:t>玛纳斯县</w:t>
            </w:r>
            <w:r>
              <w:rPr>
                <w:color w:val="000000"/>
                <w:highlight w:val="none"/>
              </w:rPr>
              <w:t>，根据《新疆第</w:t>
            </w:r>
            <w:r>
              <w:rPr>
                <w:rFonts w:hint="eastAsia"/>
                <w:color w:val="000000"/>
                <w:highlight w:val="none"/>
              </w:rPr>
              <w:t>六</w:t>
            </w:r>
            <w:r>
              <w:rPr>
                <w:color w:val="000000"/>
                <w:highlight w:val="none"/>
              </w:rPr>
              <w:t>次沙化土地监测报告》，</w:t>
            </w:r>
            <w:r>
              <w:rPr>
                <w:rFonts w:hint="eastAsia"/>
                <w:color w:val="000000"/>
                <w:highlight w:val="none"/>
              </w:rPr>
              <w:t>玛纳斯县</w:t>
            </w:r>
            <w:r>
              <w:rPr>
                <w:color w:val="000000"/>
                <w:highlight w:val="none"/>
              </w:rPr>
              <w:t>沙化土地面积</w:t>
            </w:r>
            <w:r>
              <w:rPr>
                <w:rFonts w:hint="eastAsia"/>
                <w:color w:val="000000"/>
                <w:highlight w:val="none"/>
              </w:rPr>
              <w:t>304381.29</w:t>
            </w:r>
            <w:r>
              <w:rPr>
                <w:color w:val="000000"/>
                <w:highlight w:val="none"/>
              </w:rPr>
              <w:t>hm</w:t>
            </w:r>
            <w:r>
              <w:rPr>
                <w:color w:val="000000"/>
                <w:highlight w:val="none"/>
                <w:vertAlign w:val="superscript"/>
              </w:rPr>
              <w:t>2</w:t>
            </w:r>
            <w:r>
              <w:rPr>
                <w:color w:val="000000"/>
                <w:highlight w:val="none"/>
              </w:rPr>
              <w:t>，</w:t>
            </w:r>
            <w:r>
              <w:rPr>
                <w:bCs/>
                <w:snapToGrid w:val="0"/>
                <w:color w:val="000000"/>
                <w:kern w:val="0"/>
                <w:highlight w:val="none"/>
              </w:rPr>
              <w:t>半固定沙地35145.01hm</w:t>
            </w:r>
            <w:r>
              <w:rPr>
                <w:bCs/>
                <w:snapToGrid w:val="0"/>
                <w:color w:val="000000"/>
                <w:kern w:val="0"/>
                <w:highlight w:val="none"/>
                <w:vertAlign w:val="superscript"/>
              </w:rPr>
              <w:t>2</w:t>
            </w:r>
            <w:r>
              <w:rPr>
                <w:bCs/>
                <w:snapToGrid w:val="0"/>
                <w:color w:val="000000"/>
                <w:kern w:val="0"/>
                <w:highlight w:val="none"/>
              </w:rPr>
              <w:t>，固定沙地260764.81hm</w:t>
            </w:r>
            <w:r>
              <w:rPr>
                <w:bCs/>
                <w:snapToGrid w:val="0"/>
                <w:color w:val="000000"/>
                <w:kern w:val="0"/>
                <w:highlight w:val="none"/>
                <w:vertAlign w:val="superscript"/>
              </w:rPr>
              <w:t>2</w:t>
            </w:r>
            <w:r>
              <w:rPr>
                <w:bCs/>
                <w:snapToGrid w:val="0"/>
                <w:color w:val="000000"/>
                <w:kern w:val="0"/>
                <w:highlight w:val="none"/>
              </w:rPr>
              <w:t>，沙化耕地8058.1hm</w:t>
            </w:r>
            <w:r>
              <w:rPr>
                <w:bCs/>
                <w:snapToGrid w:val="0"/>
                <w:color w:val="000000"/>
                <w:kern w:val="0"/>
                <w:highlight w:val="none"/>
                <w:vertAlign w:val="superscript"/>
              </w:rPr>
              <w:t>2</w:t>
            </w:r>
            <w:r>
              <w:rPr>
                <w:bCs/>
                <w:snapToGrid w:val="0"/>
                <w:color w:val="000000"/>
                <w:kern w:val="0"/>
                <w:highlight w:val="none"/>
              </w:rPr>
              <w:t>，</w:t>
            </w:r>
            <w:r>
              <w:rPr>
                <w:color w:val="000000"/>
                <w:highlight w:val="none"/>
              </w:rPr>
              <w:t>具有明显沙化趋势的土地115811.48</w:t>
            </w:r>
            <w:r>
              <w:rPr>
                <w:bCs/>
                <w:snapToGrid w:val="0"/>
                <w:color w:val="000000"/>
                <w:kern w:val="0"/>
                <w:highlight w:val="none"/>
              </w:rPr>
              <w:t>hm</w:t>
            </w:r>
            <w:r>
              <w:rPr>
                <w:bCs/>
                <w:snapToGrid w:val="0"/>
                <w:color w:val="000000"/>
                <w:kern w:val="0"/>
                <w:highlight w:val="none"/>
                <w:vertAlign w:val="superscript"/>
              </w:rPr>
              <w:t>2</w:t>
            </w:r>
            <w:r>
              <w:rPr>
                <w:color w:val="000000"/>
                <w:highlight w:val="none"/>
              </w:rPr>
              <w:t>。本项目所在地属于半固定沙地。本项目占用沙化土地类型为</w:t>
            </w:r>
            <w:r>
              <w:rPr>
                <w:rFonts w:hint="eastAsia"/>
                <w:color w:val="000000"/>
                <w:highlight w:val="none"/>
              </w:rPr>
              <w:t>半固定沙地</w:t>
            </w:r>
            <w:r>
              <w:rPr>
                <w:color w:val="000000"/>
                <w:highlight w:val="none"/>
              </w:rPr>
              <w:t>。</w:t>
            </w:r>
          </w:p>
          <w:p w14:paraId="226A85C6">
            <w:pPr>
              <w:pStyle w:val="3"/>
              <w:ind w:firstLine="480" w:firstLineChars="200"/>
              <w:jc w:val="both"/>
              <w:rPr>
                <w:b w:val="0"/>
                <w:bCs w:val="0"/>
                <w:color w:val="000000"/>
                <w:highlight w:val="none"/>
              </w:rPr>
            </w:pPr>
            <w:r>
              <w:rPr>
                <w:b w:val="0"/>
                <w:bCs w:val="0"/>
                <w:color w:val="000000"/>
                <w:highlight w:val="none"/>
              </w:rPr>
              <w:t>新疆沙化土地的发展趋势是：土地沙化和风沙灾害仍将持续发生，但在部分地区，随着沙化土地的综合整治与沙害防治工程的逐步实现，土地沙化和风沙灾害会有所减轻，以至基本得到控制；某些局部地区则随着人类社会经济活动的发展，风沙灾害有所增强，但只要在开发过程中注意保护生态环境，并采取有效的防治措施，风沙灾害可以降到最低限度；未受人类活动影响的地区，则将主要在气候的影响下继续其原有自然状态下的沙化演化过程。总体而言，新疆大范围、全方位的生态建设，对沙化土地的扩展起到了遏制作用，但由于极端灾害气候的影响，加之局部区域治理与破坏并存，治理难度也越来越大，沙化趋势亦不容乐观。</w:t>
            </w:r>
          </w:p>
          <w:p w14:paraId="65B0AA19">
            <w:pPr>
              <w:pStyle w:val="3"/>
              <w:rPr>
                <w:color w:val="000000"/>
                <w:highlight w:val="none"/>
              </w:rPr>
            </w:pPr>
            <w:r>
              <w:rPr>
                <w:color w:val="000000"/>
                <w:highlight w:val="none"/>
              </w:rPr>
              <w:t>2 区域环境质量现状</w:t>
            </w:r>
          </w:p>
          <w:p w14:paraId="108F5B33">
            <w:pPr>
              <w:pStyle w:val="4"/>
              <w:rPr>
                <w:snapToGrid w:val="0"/>
                <w:color w:val="000000"/>
                <w:highlight w:val="none"/>
              </w:rPr>
            </w:pPr>
            <w:r>
              <w:rPr>
                <w:color w:val="000000"/>
                <w:highlight w:val="none"/>
              </w:rPr>
              <w:t>2.1 区域环境空气质量达标情况</w:t>
            </w:r>
          </w:p>
          <w:p w14:paraId="7DC413A1">
            <w:pPr>
              <w:pStyle w:val="32"/>
              <w:snapToGrid/>
              <w:ind w:firstLine="480"/>
              <w:jc w:val="both"/>
              <w:rPr>
                <w:rFonts w:ascii="Times New Roman" w:eastAsia="宋体"/>
                <w:color w:val="000000"/>
                <w:sz w:val="24"/>
                <w:szCs w:val="24"/>
                <w:highlight w:val="none"/>
              </w:rPr>
            </w:pPr>
            <w:r>
              <w:rPr>
                <w:rFonts w:ascii="Times New Roman" w:eastAsia="宋体"/>
                <w:color w:val="000000"/>
                <w:sz w:val="24"/>
                <w:szCs w:val="24"/>
                <w:highlight w:val="none"/>
              </w:rPr>
              <w:t>根据《环境影响评价技术导则 大气环境》（HJ2.2-2018），“依据评价所需环境空气质量现状、气象资料等数据可获得性、数据质量、代表性等因素，选择近3年中数据相对完整的1个日历年作为评价基准年”。</w:t>
            </w:r>
            <w:bookmarkStart w:id="10" w:name="_Hlk42245051"/>
            <w:r>
              <w:rPr>
                <w:rFonts w:ascii="Times New Roman" w:eastAsia="宋体"/>
                <w:color w:val="000000"/>
                <w:sz w:val="24"/>
                <w:szCs w:val="24"/>
                <w:highlight w:val="none"/>
              </w:rPr>
              <w:t>本次区域环境质量现状</w:t>
            </w:r>
            <w:r>
              <w:rPr>
                <w:rFonts w:hint="eastAsia" w:ascii="Times New Roman" w:eastAsia="宋体"/>
                <w:color w:val="000000"/>
                <w:sz w:val="24"/>
                <w:szCs w:val="24"/>
                <w:highlight w:val="none"/>
              </w:rPr>
              <w:t>选取昌吉回族自治州生态环境局2024年监测数据</w:t>
            </w:r>
            <w:r>
              <w:rPr>
                <w:rFonts w:ascii="Times New Roman" w:eastAsia="宋体"/>
                <w:color w:val="000000"/>
                <w:sz w:val="24"/>
                <w:szCs w:val="24"/>
                <w:highlight w:val="none"/>
              </w:rPr>
              <w:t>，作为本项目环境空气现状评价基本污染物SO</w:t>
            </w:r>
            <w:r>
              <w:rPr>
                <w:rFonts w:ascii="Times New Roman" w:eastAsia="宋体"/>
                <w:color w:val="000000"/>
                <w:sz w:val="24"/>
                <w:szCs w:val="24"/>
                <w:highlight w:val="none"/>
                <w:vertAlign w:val="subscript"/>
              </w:rPr>
              <w:t>2</w:t>
            </w:r>
            <w:r>
              <w:rPr>
                <w:rFonts w:ascii="Times New Roman" w:eastAsia="宋体"/>
                <w:color w:val="000000"/>
                <w:sz w:val="24"/>
                <w:szCs w:val="24"/>
                <w:highlight w:val="none"/>
              </w:rPr>
              <w:t>、NO</w:t>
            </w:r>
            <w:r>
              <w:rPr>
                <w:rFonts w:ascii="Times New Roman" w:eastAsia="宋体"/>
                <w:color w:val="000000"/>
                <w:sz w:val="24"/>
                <w:szCs w:val="24"/>
                <w:highlight w:val="none"/>
                <w:vertAlign w:val="subscript"/>
              </w:rPr>
              <w:t>2</w:t>
            </w:r>
            <w:r>
              <w:rPr>
                <w:rFonts w:ascii="Times New Roman" w:eastAsia="宋体"/>
                <w:color w:val="000000"/>
                <w:sz w:val="24"/>
                <w:szCs w:val="24"/>
                <w:highlight w:val="none"/>
              </w:rPr>
              <w:t>、PM</w:t>
            </w:r>
            <w:r>
              <w:rPr>
                <w:rFonts w:ascii="Times New Roman" w:eastAsia="宋体"/>
                <w:color w:val="000000"/>
                <w:sz w:val="24"/>
                <w:szCs w:val="24"/>
                <w:highlight w:val="none"/>
                <w:vertAlign w:val="subscript"/>
              </w:rPr>
              <w:t>10</w:t>
            </w:r>
            <w:r>
              <w:rPr>
                <w:rFonts w:ascii="Times New Roman" w:eastAsia="宋体"/>
                <w:color w:val="000000"/>
                <w:sz w:val="24"/>
                <w:szCs w:val="24"/>
                <w:highlight w:val="none"/>
              </w:rPr>
              <w:t>、PM</w:t>
            </w:r>
            <w:r>
              <w:rPr>
                <w:rFonts w:ascii="Times New Roman" w:eastAsia="宋体"/>
                <w:color w:val="000000"/>
                <w:sz w:val="24"/>
                <w:szCs w:val="24"/>
                <w:highlight w:val="none"/>
                <w:vertAlign w:val="subscript"/>
              </w:rPr>
              <w:t>2.5</w:t>
            </w:r>
            <w:r>
              <w:rPr>
                <w:rFonts w:ascii="Times New Roman" w:eastAsia="宋体"/>
                <w:color w:val="000000"/>
                <w:sz w:val="24"/>
                <w:szCs w:val="24"/>
                <w:highlight w:val="none"/>
              </w:rPr>
              <w:t>、CO和O</w:t>
            </w:r>
            <w:r>
              <w:rPr>
                <w:rFonts w:ascii="Times New Roman" w:eastAsia="宋体"/>
                <w:color w:val="000000"/>
                <w:sz w:val="24"/>
                <w:szCs w:val="24"/>
                <w:highlight w:val="none"/>
                <w:vertAlign w:val="subscript"/>
              </w:rPr>
              <w:t>3</w:t>
            </w:r>
            <w:r>
              <w:rPr>
                <w:rFonts w:ascii="Times New Roman" w:eastAsia="宋体"/>
                <w:color w:val="000000"/>
                <w:sz w:val="24"/>
                <w:szCs w:val="24"/>
                <w:highlight w:val="none"/>
              </w:rPr>
              <w:t>的数据来源，见表3-</w:t>
            </w:r>
            <w:r>
              <w:rPr>
                <w:rFonts w:hint="eastAsia" w:ascii="Times New Roman" w:eastAsia="宋体"/>
                <w:color w:val="000000"/>
                <w:sz w:val="24"/>
                <w:szCs w:val="24"/>
                <w:highlight w:val="none"/>
              </w:rPr>
              <w:t>4</w:t>
            </w:r>
            <w:r>
              <w:rPr>
                <w:rFonts w:ascii="Times New Roman" w:eastAsia="宋体"/>
                <w:color w:val="000000"/>
                <w:sz w:val="24"/>
                <w:szCs w:val="24"/>
                <w:highlight w:val="none"/>
              </w:rPr>
              <w:t>。</w:t>
            </w:r>
          </w:p>
          <w:bookmarkEnd w:id="10"/>
          <w:p w14:paraId="68210A8A">
            <w:pPr>
              <w:adjustRightInd/>
              <w:snapToGrid/>
              <w:rPr>
                <w:b/>
                <w:color w:val="000000"/>
                <w:sz w:val="21"/>
                <w:szCs w:val="21"/>
                <w:highlight w:val="none"/>
              </w:rPr>
            </w:pPr>
            <w:r>
              <w:rPr>
                <w:b/>
                <w:color w:val="000000"/>
                <w:sz w:val="21"/>
                <w:szCs w:val="21"/>
                <w:highlight w:val="none"/>
              </w:rPr>
              <w:t>表3</w:t>
            </w:r>
            <w:r>
              <w:rPr>
                <w:rFonts w:hint="eastAsia"/>
                <w:b/>
                <w:color w:val="000000"/>
                <w:sz w:val="21"/>
                <w:szCs w:val="21"/>
                <w:highlight w:val="none"/>
              </w:rPr>
              <w:t>-4</w:t>
            </w:r>
            <w:r>
              <w:rPr>
                <w:b/>
                <w:color w:val="000000"/>
                <w:sz w:val="21"/>
                <w:szCs w:val="21"/>
                <w:highlight w:val="none"/>
              </w:rPr>
              <w:t xml:space="preserve">  基本污染物年均浓度监测结果</w:t>
            </w:r>
          </w:p>
          <w:tbl>
            <w:tblPr>
              <w:tblStyle w:val="16"/>
              <w:tblW w:w="49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898"/>
              <w:gridCol w:w="2872"/>
              <w:gridCol w:w="1002"/>
              <w:gridCol w:w="1212"/>
              <w:gridCol w:w="901"/>
              <w:gridCol w:w="1121"/>
            </w:tblGrid>
            <w:tr w14:paraId="48C18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tblHeader/>
                <w:jc w:val="center"/>
              </w:trPr>
              <w:tc>
                <w:tcPr>
                  <w:tcW w:w="560" w:type="pct"/>
                  <w:noWrap w:val="0"/>
                  <w:vAlign w:val="center"/>
                </w:tcPr>
                <w:p w14:paraId="6FC580C6">
                  <w:pPr>
                    <w:widowControl/>
                    <w:rPr>
                      <w:snapToGrid w:val="0"/>
                      <w:color w:val="000000"/>
                      <w:kern w:val="0"/>
                      <w:sz w:val="21"/>
                      <w:szCs w:val="21"/>
                      <w:highlight w:val="none"/>
                    </w:rPr>
                  </w:pPr>
                  <w:r>
                    <w:rPr>
                      <w:snapToGrid w:val="0"/>
                      <w:color w:val="000000"/>
                      <w:kern w:val="0"/>
                      <w:sz w:val="21"/>
                      <w:szCs w:val="21"/>
                      <w:highlight w:val="none"/>
                    </w:rPr>
                    <w:t>污染物</w:t>
                  </w:r>
                </w:p>
              </w:tc>
              <w:tc>
                <w:tcPr>
                  <w:tcW w:w="1792" w:type="pct"/>
                  <w:noWrap w:val="0"/>
                  <w:vAlign w:val="center"/>
                </w:tcPr>
                <w:p w14:paraId="4ADAE65A">
                  <w:pPr>
                    <w:widowControl/>
                    <w:rPr>
                      <w:snapToGrid w:val="0"/>
                      <w:color w:val="000000"/>
                      <w:kern w:val="0"/>
                      <w:sz w:val="21"/>
                      <w:szCs w:val="21"/>
                      <w:highlight w:val="none"/>
                    </w:rPr>
                  </w:pPr>
                  <w:r>
                    <w:rPr>
                      <w:snapToGrid w:val="0"/>
                      <w:color w:val="000000"/>
                      <w:kern w:val="0"/>
                      <w:sz w:val="21"/>
                      <w:szCs w:val="21"/>
                      <w:highlight w:val="none"/>
                    </w:rPr>
                    <w:t>评价指标</w:t>
                  </w:r>
                </w:p>
              </w:tc>
              <w:tc>
                <w:tcPr>
                  <w:tcW w:w="626" w:type="pct"/>
                  <w:noWrap w:val="0"/>
                  <w:vAlign w:val="center"/>
                </w:tcPr>
                <w:p w14:paraId="760A3F76">
                  <w:pPr>
                    <w:widowControl/>
                    <w:rPr>
                      <w:snapToGrid w:val="0"/>
                      <w:color w:val="000000"/>
                      <w:kern w:val="0"/>
                      <w:sz w:val="21"/>
                      <w:szCs w:val="21"/>
                      <w:highlight w:val="none"/>
                    </w:rPr>
                  </w:pPr>
                  <w:r>
                    <w:rPr>
                      <w:snapToGrid w:val="0"/>
                      <w:color w:val="000000"/>
                      <w:kern w:val="0"/>
                      <w:sz w:val="21"/>
                      <w:szCs w:val="21"/>
                      <w:highlight w:val="none"/>
                    </w:rPr>
                    <w:t>现状浓度</w:t>
                  </w:r>
                </w:p>
              </w:tc>
              <w:tc>
                <w:tcPr>
                  <w:tcW w:w="757" w:type="pct"/>
                  <w:noWrap w:val="0"/>
                  <w:vAlign w:val="center"/>
                </w:tcPr>
                <w:p w14:paraId="26C008E7">
                  <w:pPr>
                    <w:widowControl/>
                    <w:rPr>
                      <w:snapToGrid w:val="0"/>
                      <w:color w:val="000000"/>
                      <w:kern w:val="0"/>
                      <w:sz w:val="21"/>
                      <w:szCs w:val="21"/>
                      <w:highlight w:val="none"/>
                    </w:rPr>
                  </w:pPr>
                  <w:r>
                    <w:rPr>
                      <w:snapToGrid w:val="0"/>
                      <w:color w:val="000000"/>
                      <w:kern w:val="0"/>
                      <w:sz w:val="21"/>
                      <w:szCs w:val="21"/>
                      <w:highlight w:val="none"/>
                    </w:rPr>
                    <w:t>标准值</w:t>
                  </w:r>
                </w:p>
                <w:p w14:paraId="41AB4100">
                  <w:pPr>
                    <w:widowControl/>
                    <w:rPr>
                      <w:snapToGrid w:val="0"/>
                      <w:color w:val="000000"/>
                      <w:kern w:val="0"/>
                      <w:sz w:val="21"/>
                      <w:szCs w:val="21"/>
                      <w:highlight w:val="none"/>
                    </w:rPr>
                  </w:pPr>
                  <w:r>
                    <w:rPr>
                      <w:snapToGrid w:val="0"/>
                      <w:color w:val="000000"/>
                      <w:kern w:val="0"/>
                      <w:sz w:val="21"/>
                      <w:szCs w:val="21"/>
                      <w:highlight w:val="none"/>
                    </w:rPr>
                    <w:t>（二类）</w:t>
                  </w:r>
                </w:p>
              </w:tc>
              <w:tc>
                <w:tcPr>
                  <w:tcW w:w="563" w:type="pct"/>
                  <w:noWrap w:val="0"/>
                  <w:vAlign w:val="center"/>
                </w:tcPr>
                <w:p w14:paraId="5FCDC118">
                  <w:pPr>
                    <w:widowControl/>
                    <w:rPr>
                      <w:snapToGrid w:val="0"/>
                      <w:color w:val="000000"/>
                      <w:kern w:val="0"/>
                      <w:sz w:val="21"/>
                      <w:szCs w:val="21"/>
                      <w:highlight w:val="none"/>
                    </w:rPr>
                  </w:pPr>
                  <w:r>
                    <w:rPr>
                      <w:snapToGrid w:val="0"/>
                      <w:color w:val="000000"/>
                      <w:kern w:val="0"/>
                      <w:sz w:val="21"/>
                      <w:szCs w:val="21"/>
                      <w:highlight w:val="none"/>
                    </w:rPr>
                    <w:t>占标率%</w:t>
                  </w:r>
                </w:p>
              </w:tc>
              <w:tc>
                <w:tcPr>
                  <w:tcW w:w="700" w:type="pct"/>
                  <w:noWrap w:val="0"/>
                  <w:vAlign w:val="center"/>
                </w:tcPr>
                <w:p w14:paraId="0888CF4E">
                  <w:pPr>
                    <w:widowControl/>
                    <w:rPr>
                      <w:snapToGrid w:val="0"/>
                      <w:color w:val="000000"/>
                      <w:kern w:val="0"/>
                      <w:sz w:val="21"/>
                      <w:szCs w:val="21"/>
                      <w:highlight w:val="none"/>
                    </w:rPr>
                  </w:pPr>
                  <w:r>
                    <w:rPr>
                      <w:snapToGrid w:val="0"/>
                      <w:color w:val="000000"/>
                      <w:kern w:val="0"/>
                      <w:sz w:val="21"/>
                      <w:szCs w:val="21"/>
                      <w:highlight w:val="none"/>
                    </w:rPr>
                    <w:t>达标情况</w:t>
                  </w:r>
                </w:p>
              </w:tc>
            </w:tr>
            <w:tr w14:paraId="3D3EA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3A6319CF">
                  <w:pPr>
                    <w:rPr>
                      <w:snapToGrid w:val="0"/>
                      <w:color w:val="000000"/>
                      <w:kern w:val="0"/>
                      <w:sz w:val="21"/>
                      <w:szCs w:val="21"/>
                      <w:highlight w:val="none"/>
                    </w:rPr>
                  </w:pPr>
                  <w:r>
                    <w:rPr>
                      <w:snapToGrid w:val="0"/>
                      <w:color w:val="000000"/>
                      <w:kern w:val="0"/>
                      <w:sz w:val="21"/>
                      <w:szCs w:val="21"/>
                      <w:highlight w:val="none"/>
                    </w:rPr>
                    <w:t>SO</w:t>
                  </w:r>
                  <w:r>
                    <w:rPr>
                      <w:snapToGrid w:val="0"/>
                      <w:color w:val="000000"/>
                      <w:kern w:val="0"/>
                      <w:sz w:val="21"/>
                      <w:szCs w:val="21"/>
                      <w:highlight w:val="none"/>
                      <w:vertAlign w:val="subscript"/>
                    </w:rPr>
                    <w:t>2</w:t>
                  </w:r>
                </w:p>
              </w:tc>
              <w:tc>
                <w:tcPr>
                  <w:tcW w:w="1792" w:type="pct"/>
                  <w:noWrap w:val="0"/>
                  <w:vAlign w:val="center"/>
                </w:tcPr>
                <w:p w14:paraId="61CD0743">
                  <w:pPr>
                    <w:widowControl/>
                    <w:rPr>
                      <w:snapToGrid w:val="0"/>
                      <w:color w:val="000000"/>
                      <w:kern w:val="0"/>
                      <w:sz w:val="21"/>
                      <w:szCs w:val="21"/>
                      <w:highlight w:val="none"/>
                    </w:rPr>
                  </w:pPr>
                  <w:r>
                    <w:rPr>
                      <w:snapToGrid w:val="0"/>
                      <w:color w:val="000000"/>
                      <w:kern w:val="0"/>
                      <w:sz w:val="21"/>
                      <w:szCs w:val="21"/>
                      <w:highlight w:val="none"/>
                    </w:rPr>
                    <w:t>年平均质量浓度（</w:t>
                  </w:r>
                  <w:r>
                    <w:rPr>
                      <w:snapToGrid w:val="0"/>
                      <w:color w:val="000000"/>
                      <w:kern w:val="0"/>
                      <w:sz w:val="21"/>
                      <w:szCs w:val="21"/>
                      <w:highlight w:val="none"/>
                    </w:rPr>
                    <w:sym w:font="Symbol" w:char="F06D"/>
                  </w:r>
                  <w:r>
                    <w:rPr>
                      <w:snapToGrid w:val="0"/>
                      <w:color w:val="000000"/>
                      <w:kern w:val="0"/>
                      <w:sz w:val="21"/>
                      <w:szCs w:val="21"/>
                      <w:highlight w:val="none"/>
                    </w:rPr>
                    <w:t>g/m</w:t>
                  </w:r>
                  <w:r>
                    <w:rPr>
                      <w:snapToGrid w:val="0"/>
                      <w:color w:val="000000"/>
                      <w:kern w:val="0"/>
                      <w:sz w:val="21"/>
                      <w:szCs w:val="21"/>
                      <w:highlight w:val="none"/>
                      <w:vertAlign w:val="superscript"/>
                    </w:rPr>
                    <w:t>3</w:t>
                  </w:r>
                  <w:r>
                    <w:rPr>
                      <w:snapToGrid w:val="0"/>
                      <w:color w:val="000000"/>
                      <w:kern w:val="0"/>
                      <w:sz w:val="21"/>
                      <w:szCs w:val="21"/>
                      <w:highlight w:val="none"/>
                    </w:rPr>
                    <w:t>）</w:t>
                  </w:r>
                </w:p>
              </w:tc>
              <w:tc>
                <w:tcPr>
                  <w:tcW w:w="626" w:type="pct"/>
                  <w:noWrap w:val="0"/>
                  <w:vAlign w:val="center"/>
                </w:tcPr>
                <w:p w14:paraId="037FE540">
                  <w:pPr>
                    <w:widowControl/>
                    <w:rPr>
                      <w:rFonts w:hint="eastAsia"/>
                      <w:snapToGrid w:val="0"/>
                      <w:color w:val="000000"/>
                      <w:kern w:val="0"/>
                      <w:sz w:val="21"/>
                      <w:szCs w:val="21"/>
                      <w:highlight w:val="none"/>
                    </w:rPr>
                  </w:pPr>
                  <w:r>
                    <w:rPr>
                      <w:rFonts w:hint="eastAsia"/>
                      <w:snapToGrid w:val="0"/>
                      <w:color w:val="000000"/>
                      <w:kern w:val="0"/>
                      <w:sz w:val="21"/>
                      <w:szCs w:val="21"/>
                      <w:highlight w:val="none"/>
                    </w:rPr>
                    <w:t>7</w:t>
                  </w:r>
                </w:p>
              </w:tc>
              <w:tc>
                <w:tcPr>
                  <w:tcW w:w="757" w:type="pct"/>
                  <w:noWrap w:val="0"/>
                  <w:vAlign w:val="center"/>
                </w:tcPr>
                <w:p w14:paraId="0717C465">
                  <w:pPr>
                    <w:widowControl/>
                    <w:rPr>
                      <w:snapToGrid w:val="0"/>
                      <w:color w:val="000000"/>
                      <w:kern w:val="0"/>
                      <w:sz w:val="21"/>
                      <w:szCs w:val="21"/>
                      <w:highlight w:val="none"/>
                    </w:rPr>
                  </w:pPr>
                  <w:r>
                    <w:rPr>
                      <w:color w:val="000000"/>
                      <w:sz w:val="21"/>
                      <w:szCs w:val="21"/>
                      <w:highlight w:val="none"/>
                    </w:rPr>
                    <w:t>60</w:t>
                  </w:r>
                </w:p>
              </w:tc>
              <w:tc>
                <w:tcPr>
                  <w:tcW w:w="563" w:type="pct"/>
                  <w:noWrap w:val="0"/>
                  <w:vAlign w:val="center"/>
                </w:tcPr>
                <w:p w14:paraId="60AC186D">
                  <w:pPr>
                    <w:widowControl/>
                    <w:textAlignment w:val="center"/>
                    <w:rPr>
                      <w:color w:val="000000"/>
                      <w:sz w:val="21"/>
                      <w:szCs w:val="21"/>
                      <w:highlight w:val="none"/>
                    </w:rPr>
                  </w:pPr>
                  <w:r>
                    <w:rPr>
                      <w:rFonts w:hint="eastAsia"/>
                      <w:color w:val="000000"/>
                      <w:sz w:val="21"/>
                      <w:szCs w:val="21"/>
                      <w:highlight w:val="none"/>
                    </w:rPr>
                    <w:t>11.7</w:t>
                  </w:r>
                </w:p>
              </w:tc>
              <w:tc>
                <w:tcPr>
                  <w:tcW w:w="700" w:type="pct"/>
                  <w:noWrap w:val="0"/>
                  <w:vAlign w:val="center"/>
                </w:tcPr>
                <w:p w14:paraId="3A5F193D">
                  <w:pPr>
                    <w:rPr>
                      <w:snapToGrid w:val="0"/>
                      <w:color w:val="000000"/>
                      <w:kern w:val="0"/>
                      <w:sz w:val="21"/>
                      <w:szCs w:val="21"/>
                      <w:highlight w:val="none"/>
                    </w:rPr>
                  </w:pPr>
                  <w:r>
                    <w:rPr>
                      <w:snapToGrid w:val="0"/>
                      <w:color w:val="000000"/>
                      <w:kern w:val="0"/>
                      <w:sz w:val="21"/>
                      <w:szCs w:val="21"/>
                      <w:highlight w:val="none"/>
                    </w:rPr>
                    <w:t>达标</w:t>
                  </w:r>
                </w:p>
              </w:tc>
            </w:tr>
            <w:tr w14:paraId="1E1CE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4AEDA388">
                  <w:pPr>
                    <w:rPr>
                      <w:snapToGrid w:val="0"/>
                      <w:color w:val="000000"/>
                      <w:kern w:val="0"/>
                      <w:sz w:val="21"/>
                      <w:szCs w:val="21"/>
                      <w:highlight w:val="none"/>
                    </w:rPr>
                  </w:pPr>
                  <w:r>
                    <w:rPr>
                      <w:snapToGrid w:val="0"/>
                      <w:color w:val="000000"/>
                      <w:kern w:val="0"/>
                      <w:sz w:val="21"/>
                      <w:szCs w:val="21"/>
                      <w:highlight w:val="none"/>
                    </w:rPr>
                    <w:t>NO</w:t>
                  </w:r>
                  <w:r>
                    <w:rPr>
                      <w:snapToGrid w:val="0"/>
                      <w:color w:val="000000"/>
                      <w:kern w:val="0"/>
                      <w:sz w:val="21"/>
                      <w:szCs w:val="21"/>
                      <w:highlight w:val="none"/>
                      <w:vertAlign w:val="subscript"/>
                    </w:rPr>
                    <w:t>2</w:t>
                  </w:r>
                </w:p>
              </w:tc>
              <w:tc>
                <w:tcPr>
                  <w:tcW w:w="1792" w:type="pct"/>
                  <w:noWrap w:val="0"/>
                  <w:vAlign w:val="center"/>
                </w:tcPr>
                <w:p w14:paraId="5185496C">
                  <w:pPr>
                    <w:widowControl/>
                    <w:rPr>
                      <w:snapToGrid w:val="0"/>
                      <w:color w:val="000000"/>
                      <w:kern w:val="0"/>
                      <w:sz w:val="21"/>
                      <w:szCs w:val="21"/>
                      <w:highlight w:val="none"/>
                    </w:rPr>
                  </w:pPr>
                  <w:r>
                    <w:rPr>
                      <w:snapToGrid w:val="0"/>
                      <w:color w:val="000000"/>
                      <w:kern w:val="0"/>
                      <w:sz w:val="21"/>
                      <w:szCs w:val="21"/>
                      <w:highlight w:val="none"/>
                    </w:rPr>
                    <w:t>年平均质量浓度（</w:t>
                  </w:r>
                  <w:r>
                    <w:rPr>
                      <w:snapToGrid w:val="0"/>
                      <w:color w:val="000000"/>
                      <w:kern w:val="0"/>
                      <w:sz w:val="21"/>
                      <w:szCs w:val="21"/>
                      <w:highlight w:val="none"/>
                    </w:rPr>
                    <w:sym w:font="Symbol" w:char="F06D"/>
                  </w:r>
                  <w:r>
                    <w:rPr>
                      <w:snapToGrid w:val="0"/>
                      <w:color w:val="000000"/>
                      <w:kern w:val="0"/>
                      <w:sz w:val="21"/>
                      <w:szCs w:val="21"/>
                      <w:highlight w:val="none"/>
                    </w:rPr>
                    <w:t>g/m</w:t>
                  </w:r>
                  <w:r>
                    <w:rPr>
                      <w:snapToGrid w:val="0"/>
                      <w:color w:val="000000"/>
                      <w:kern w:val="0"/>
                      <w:sz w:val="21"/>
                      <w:szCs w:val="21"/>
                      <w:highlight w:val="none"/>
                      <w:vertAlign w:val="superscript"/>
                    </w:rPr>
                    <w:t>3</w:t>
                  </w:r>
                  <w:r>
                    <w:rPr>
                      <w:snapToGrid w:val="0"/>
                      <w:color w:val="000000"/>
                      <w:kern w:val="0"/>
                      <w:sz w:val="21"/>
                      <w:szCs w:val="21"/>
                      <w:highlight w:val="none"/>
                    </w:rPr>
                    <w:t>）</w:t>
                  </w:r>
                </w:p>
              </w:tc>
              <w:tc>
                <w:tcPr>
                  <w:tcW w:w="626" w:type="pct"/>
                  <w:noWrap w:val="0"/>
                  <w:vAlign w:val="center"/>
                </w:tcPr>
                <w:p w14:paraId="7257C94F">
                  <w:pPr>
                    <w:widowControl/>
                    <w:rPr>
                      <w:snapToGrid w:val="0"/>
                      <w:color w:val="000000"/>
                      <w:kern w:val="0"/>
                      <w:sz w:val="21"/>
                      <w:szCs w:val="21"/>
                      <w:highlight w:val="none"/>
                    </w:rPr>
                  </w:pPr>
                  <w:r>
                    <w:rPr>
                      <w:rFonts w:hint="eastAsia"/>
                      <w:snapToGrid w:val="0"/>
                      <w:color w:val="000000"/>
                      <w:kern w:val="0"/>
                      <w:sz w:val="21"/>
                      <w:szCs w:val="21"/>
                      <w:highlight w:val="none"/>
                    </w:rPr>
                    <w:t>30</w:t>
                  </w:r>
                </w:p>
              </w:tc>
              <w:tc>
                <w:tcPr>
                  <w:tcW w:w="757" w:type="pct"/>
                  <w:noWrap w:val="0"/>
                  <w:vAlign w:val="center"/>
                </w:tcPr>
                <w:p w14:paraId="7EF30210">
                  <w:pPr>
                    <w:widowControl/>
                    <w:rPr>
                      <w:snapToGrid w:val="0"/>
                      <w:color w:val="000000"/>
                      <w:kern w:val="0"/>
                      <w:sz w:val="21"/>
                      <w:szCs w:val="21"/>
                      <w:highlight w:val="none"/>
                    </w:rPr>
                  </w:pPr>
                  <w:r>
                    <w:rPr>
                      <w:color w:val="000000"/>
                      <w:sz w:val="21"/>
                      <w:szCs w:val="21"/>
                      <w:highlight w:val="none"/>
                    </w:rPr>
                    <w:t>40</w:t>
                  </w:r>
                </w:p>
              </w:tc>
              <w:tc>
                <w:tcPr>
                  <w:tcW w:w="563" w:type="pct"/>
                  <w:noWrap w:val="0"/>
                  <w:vAlign w:val="center"/>
                </w:tcPr>
                <w:p w14:paraId="3A6F647A">
                  <w:pPr>
                    <w:widowControl/>
                    <w:textAlignment w:val="center"/>
                    <w:rPr>
                      <w:color w:val="000000"/>
                      <w:sz w:val="21"/>
                      <w:szCs w:val="21"/>
                      <w:highlight w:val="none"/>
                    </w:rPr>
                  </w:pPr>
                  <w:r>
                    <w:rPr>
                      <w:rFonts w:hint="eastAsia"/>
                      <w:color w:val="000000"/>
                      <w:sz w:val="21"/>
                      <w:szCs w:val="21"/>
                      <w:highlight w:val="none"/>
                    </w:rPr>
                    <w:t>75.0</w:t>
                  </w:r>
                </w:p>
              </w:tc>
              <w:tc>
                <w:tcPr>
                  <w:tcW w:w="700" w:type="pct"/>
                  <w:noWrap w:val="0"/>
                  <w:vAlign w:val="center"/>
                </w:tcPr>
                <w:p w14:paraId="58A406AE">
                  <w:pPr>
                    <w:rPr>
                      <w:snapToGrid w:val="0"/>
                      <w:color w:val="000000"/>
                      <w:kern w:val="0"/>
                      <w:sz w:val="21"/>
                      <w:szCs w:val="21"/>
                      <w:highlight w:val="none"/>
                    </w:rPr>
                  </w:pPr>
                  <w:r>
                    <w:rPr>
                      <w:snapToGrid w:val="0"/>
                      <w:color w:val="000000"/>
                      <w:kern w:val="0"/>
                      <w:sz w:val="21"/>
                      <w:szCs w:val="21"/>
                      <w:highlight w:val="none"/>
                    </w:rPr>
                    <w:t>达标</w:t>
                  </w:r>
                </w:p>
              </w:tc>
            </w:tr>
            <w:tr w14:paraId="2B958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7961D149">
                  <w:pPr>
                    <w:rPr>
                      <w:snapToGrid w:val="0"/>
                      <w:color w:val="000000"/>
                      <w:kern w:val="0"/>
                      <w:sz w:val="21"/>
                      <w:szCs w:val="21"/>
                      <w:highlight w:val="none"/>
                    </w:rPr>
                  </w:pPr>
                  <w:r>
                    <w:rPr>
                      <w:snapToGrid w:val="0"/>
                      <w:color w:val="000000"/>
                      <w:kern w:val="0"/>
                      <w:sz w:val="21"/>
                      <w:szCs w:val="21"/>
                      <w:highlight w:val="none"/>
                    </w:rPr>
                    <w:t>PM</w:t>
                  </w:r>
                  <w:r>
                    <w:rPr>
                      <w:snapToGrid w:val="0"/>
                      <w:color w:val="000000"/>
                      <w:kern w:val="0"/>
                      <w:sz w:val="21"/>
                      <w:szCs w:val="21"/>
                      <w:highlight w:val="none"/>
                      <w:vertAlign w:val="subscript"/>
                    </w:rPr>
                    <w:t>10</w:t>
                  </w:r>
                </w:p>
              </w:tc>
              <w:tc>
                <w:tcPr>
                  <w:tcW w:w="1792" w:type="pct"/>
                  <w:noWrap w:val="0"/>
                  <w:vAlign w:val="center"/>
                </w:tcPr>
                <w:p w14:paraId="05C5DE0D">
                  <w:pPr>
                    <w:widowControl/>
                    <w:rPr>
                      <w:snapToGrid w:val="0"/>
                      <w:color w:val="000000"/>
                      <w:kern w:val="0"/>
                      <w:sz w:val="21"/>
                      <w:szCs w:val="21"/>
                      <w:highlight w:val="none"/>
                    </w:rPr>
                  </w:pPr>
                  <w:r>
                    <w:rPr>
                      <w:snapToGrid w:val="0"/>
                      <w:color w:val="000000"/>
                      <w:kern w:val="0"/>
                      <w:sz w:val="21"/>
                      <w:szCs w:val="21"/>
                      <w:highlight w:val="none"/>
                    </w:rPr>
                    <w:t>年平均质量浓度（</w:t>
                  </w:r>
                  <w:r>
                    <w:rPr>
                      <w:snapToGrid w:val="0"/>
                      <w:color w:val="000000"/>
                      <w:kern w:val="0"/>
                      <w:sz w:val="21"/>
                      <w:szCs w:val="21"/>
                      <w:highlight w:val="none"/>
                    </w:rPr>
                    <w:sym w:font="Symbol" w:char="F06D"/>
                  </w:r>
                  <w:r>
                    <w:rPr>
                      <w:snapToGrid w:val="0"/>
                      <w:color w:val="000000"/>
                      <w:kern w:val="0"/>
                      <w:sz w:val="21"/>
                      <w:szCs w:val="21"/>
                      <w:highlight w:val="none"/>
                    </w:rPr>
                    <w:t>g/m</w:t>
                  </w:r>
                  <w:r>
                    <w:rPr>
                      <w:snapToGrid w:val="0"/>
                      <w:color w:val="000000"/>
                      <w:kern w:val="0"/>
                      <w:sz w:val="21"/>
                      <w:szCs w:val="21"/>
                      <w:highlight w:val="none"/>
                      <w:vertAlign w:val="superscript"/>
                    </w:rPr>
                    <w:t>3</w:t>
                  </w:r>
                  <w:r>
                    <w:rPr>
                      <w:snapToGrid w:val="0"/>
                      <w:color w:val="000000"/>
                      <w:kern w:val="0"/>
                      <w:sz w:val="21"/>
                      <w:szCs w:val="21"/>
                      <w:highlight w:val="none"/>
                    </w:rPr>
                    <w:t>）</w:t>
                  </w:r>
                </w:p>
              </w:tc>
              <w:tc>
                <w:tcPr>
                  <w:tcW w:w="626" w:type="pct"/>
                  <w:noWrap w:val="0"/>
                  <w:vAlign w:val="center"/>
                </w:tcPr>
                <w:p w14:paraId="37599BBF">
                  <w:pPr>
                    <w:widowControl/>
                    <w:rPr>
                      <w:snapToGrid w:val="0"/>
                      <w:color w:val="000000"/>
                      <w:kern w:val="0"/>
                      <w:sz w:val="21"/>
                      <w:szCs w:val="21"/>
                      <w:highlight w:val="none"/>
                    </w:rPr>
                  </w:pPr>
                  <w:r>
                    <w:rPr>
                      <w:rFonts w:hint="eastAsia"/>
                      <w:snapToGrid w:val="0"/>
                      <w:color w:val="000000"/>
                      <w:kern w:val="0"/>
                      <w:sz w:val="21"/>
                      <w:szCs w:val="21"/>
                      <w:highlight w:val="none"/>
                    </w:rPr>
                    <w:t>70</w:t>
                  </w:r>
                </w:p>
              </w:tc>
              <w:tc>
                <w:tcPr>
                  <w:tcW w:w="757" w:type="pct"/>
                  <w:noWrap w:val="0"/>
                  <w:vAlign w:val="center"/>
                </w:tcPr>
                <w:p w14:paraId="169A0EE9">
                  <w:pPr>
                    <w:widowControl/>
                    <w:rPr>
                      <w:snapToGrid w:val="0"/>
                      <w:color w:val="000000"/>
                      <w:kern w:val="0"/>
                      <w:sz w:val="21"/>
                      <w:szCs w:val="21"/>
                      <w:highlight w:val="none"/>
                    </w:rPr>
                  </w:pPr>
                  <w:r>
                    <w:rPr>
                      <w:color w:val="000000"/>
                      <w:sz w:val="21"/>
                      <w:szCs w:val="21"/>
                      <w:highlight w:val="none"/>
                    </w:rPr>
                    <w:t>70</w:t>
                  </w:r>
                </w:p>
              </w:tc>
              <w:tc>
                <w:tcPr>
                  <w:tcW w:w="563" w:type="pct"/>
                  <w:noWrap w:val="0"/>
                  <w:vAlign w:val="center"/>
                </w:tcPr>
                <w:p w14:paraId="6946F583">
                  <w:pPr>
                    <w:widowControl/>
                    <w:textAlignment w:val="center"/>
                    <w:rPr>
                      <w:color w:val="000000"/>
                      <w:sz w:val="21"/>
                      <w:szCs w:val="21"/>
                      <w:highlight w:val="none"/>
                    </w:rPr>
                  </w:pPr>
                  <w:r>
                    <w:rPr>
                      <w:rFonts w:hint="eastAsia"/>
                      <w:color w:val="000000"/>
                      <w:sz w:val="21"/>
                      <w:szCs w:val="21"/>
                      <w:highlight w:val="none"/>
                    </w:rPr>
                    <w:t>100</w:t>
                  </w:r>
                </w:p>
              </w:tc>
              <w:tc>
                <w:tcPr>
                  <w:tcW w:w="700" w:type="pct"/>
                  <w:noWrap w:val="0"/>
                  <w:vAlign w:val="center"/>
                </w:tcPr>
                <w:p w14:paraId="6696E78E">
                  <w:pPr>
                    <w:rPr>
                      <w:snapToGrid w:val="0"/>
                      <w:color w:val="000000"/>
                      <w:kern w:val="0"/>
                      <w:sz w:val="21"/>
                      <w:szCs w:val="21"/>
                      <w:highlight w:val="none"/>
                    </w:rPr>
                  </w:pPr>
                  <w:r>
                    <w:rPr>
                      <w:snapToGrid w:val="0"/>
                      <w:color w:val="000000"/>
                      <w:kern w:val="0"/>
                      <w:sz w:val="21"/>
                      <w:szCs w:val="21"/>
                      <w:highlight w:val="none"/>
                    </w:rPr>
                    <w:t>达标</w:t>
                  </w:r>
                </w:p>
              </w:tc>
            </w:tr>
            <w:tr w14:paraId="2AEA4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115F767E">
                  <w:pPr>
                    <w:rPr>
                      <w:snapToGrid w:val="0"/>
                      <w:color w:val="000000"/>
                      <w:kern w:val="0"/>
                      <w:sz w:val="21"/>
                      <w:szCs w:val="21"/>
                      <w:highlight w:val="none"/>
                    </w:rPr>
                  </w:pPr>
                  <w:r>
                    <w:rPr>
                      <w:snapToGrid w:val="0"/>
                      <w:color w:val="000000"/>
                      <w:kern w:val="0"/>
                      <w:sz w:val="21"/>
                      <w:szCs w:val="21"/>
                      <w:highlight w:val="none"/>
                    </w:rPr>
                    <w:t>PM</w:t>
                  </w:r>
                  <w:r>
                    <w:rPr>
                      <w:snapToGrid w:val="0"/>
                      <w:color w:val="000000"/>
                      <w:kern w:val="0"/>
                      <w:sz w:val="21"/>
                      <w:szCs w:val="21"/>
                      <w:highlight w:val="none"/>
                      <w:vertAlign w:val="subscript"/>
                    </w:rPr>
                    <w:t>2.5</w:t>
                  </w:r>
                </w:p>
              </w:tc>
              <w:tc>
                <w:tcPr>
                  <w:tcW w:w="1792" w:type="pct"/>
                  <w:noWrap w:val="0"/>
                  <w:vAlign w:val="center"/>
                </w:tcPr>
                <w:p w14:paraId="75B7CD28">
                  <w:pPr>
                    <w:widowControl/>
                    <w:rPr>
                      <w:snapToGrid w:val="0"/>
                      <w:color w:val="000000"/>
                      <w:kern w:val="0"/>
                      <w:sz w:val="21"/>
                      <w:szCs w:val="21"/>
                      <w:highlight w:val="none"/>
                    </w:rPr>
                  </w:pPr>
                  <w:r>
                    <w:rPr>
                      <w:snapToGrid w:val="0"/>
                      <w:color w:val="000000"/>
                      <w:kern w:val="0"/>
                      <w:sz w:val="21"/>
                      <w:szCs w:val="21"/>
                      <w:highlight w:val="none"/>
                    </w:rPr>
                    <w:t>年平均质量浓度（</w:t>
                  </w:r>
                  <w:r>
                    <w:rPr>
                      <w:snapToGrid w:val="0"/>
                      <w:color w:val="000000"/>
                      <w:kern w:val="0"/>
                      <w:sz w:val="21"/>
                      <w:szCs w:val="21"/>
                      <w:highlight w:val="none"/>
                    </w:rPr>
                    <w:sym w:font="Symbol" w:char="F06D"/>
                  </w:r>
                  <w:r>
                    <w:rPr>
                      <w:snapToGrid w:val="0"/>
                      <w:color w:val="000000"/>
                      <w:kern w:val="0"/>
                      <w:sz w:val="21"/>
                      <w:szCs w:val="21"/>
                      <w:highlight w:val="none"/>
                    </w:rPr>
                    <w:t>g/m</w:t>
                  </w:r>
                  <w:r>
                    <w:rPr>
                      <w:snapToGrid w:val="0"/>
                      <w:color w:val="000000"/>
                      <w:kern w:val="0"/>
                      <w:sz w:val="21"/>
                      <w:szCs w:val="21"/>
                      <w:highlight w:val="none"/>
                      <w:vertAlign w:val="superscript"/>
                    </w:rPr>
                    <w:t>3</w:t>
                  </w:r>
                  <w:r>
                    <w:rPr>
                      <w:snapToGrid w:val="0"/>
                      <w:color w:val="000000"/>
                      <w:kern w:val="0"/>
                      <w:sz w:val="21"/>
                      <w:szCs w:val="21"/>
                      <w:highlight w:val="none"/>
                    </w:rPr>
                    <w:t>）</w:t>
                  </w:r>
                </w:p>
              </w:tc>
              <w:tc>
                <w:tcPr>
                  <w:tcW w:w="626" w:type="pct"/>
                  <w:noWrap w:val="0"/>
                  <w:vAlign w:val="center"/>
                </w:tcPr>
                <w:p w14:paraId="1A14C7F2">
                  <w:pPr>
                    <w:widowControl/>
                    <w:rPr>
                      <w:snapToGrid w:val="0"/>
                      <w:color w:val="000000"/>
                      <w:kern w:val="0"/>
                      <w:sz w:val="21"/>
                      <w:szCs w:val="21"/>
                      <w:highlight w:val="none"/>
                    </w:rPr>
                  </w:pPr>
                  <w:r>
                    <w:rPr>
                      <w:rFonts w:hint="eastAsia"/>
                      <w:snapToGrid w:val="0"/>
                      <w:color w:val="000000"/>
                      <w:kern w:val="0"/>
                      <w:sz w:val="21"/>
                      <w:szCs w:val="21"/>
                      <w:highlight w:val="none"/>
                    </w:rPr>
                    <w:t>40</w:t>
                  </w:r>
                </w:p>
              </w:tc>
              <w:tc>
                <w:tcPr>
                  <w:tcW w:w="757" w:type="pct"/>
                  <w:noWrap w:val="0"/>
                  <w:vAlign w:val="center"/>
                </w:tcPr>
                <w:p w14:paraId="62F83FA3">
                  <w:pPr>
                    <w:widowControl/>
                    <w:rPr>
                      <w:snapToGrid w:val="0"/>
                      <w:color w:val="000000"/>
                      <w:kern w:val="0"/>
                      <w:sz w:val="21"/>
                      <w:szCs w:val="21"/>
                      <w:highlight w:val="none"/>
                    </w:rPr>
                  </w:pPr>
                  <w:r>
                    <w:rPr>
                      <w:color w:val="000000"/>
                      <w:sz w:val="21"/>
                      <w:szCs w:val="21"/>
                      <w:highlight w:val="none"/>
                    </w:rPr>
                    <w:t>35</w:t>
                  </w:r>
                </w:p>
              </w:tc>
              <w:tc>
                <w:tcPr>
                  <w:tcW w:w="563" w:type="pct"/>
                  <w:noWrap w:val="0"/>
                  <w:vAlign w:val="center"/>
                </w:tcPr>
                <w:p w14:paraId="0485F6DB">
                  <w:pPr>
                    <w:widowControl/>
                    <w:textAlignment w:val="center"/>
                    <w:rPr>
                      <w:color w:val="000000"/>
                      <w:sz w:val="21"/>
                      <w:szCs w:val="21"/>
                      <w:highlight w:val="none"/>
                    </w:rPr>
                  </w:pPr>
                  <w:r>
                    <w:rPr>
                      <w:rFonts w:hint="eastAsia"/>
                      <w:color w:val="000000"/>
                      <w:sz w:val="21"/>
                      <w:szCs w:val="21"/>
                      <w:highlight w:val="none"/>
                    </w:rPr>
                    <w:t>114.3</w:t>
                  </w:r>
                </w:p>
              </w:tc>
              <w:tc>
                <w:tcPr>
                  <w:tcW w:w="700" w:type="pct"/>
                  <w:noWrap w:val="0"/>
                  <w:vAlign w:val="center"/>
                </w:tcPr>
                <w:p w14:paraId="1D04825C">
                  <w:pPr>
                    <w:rPr>
                      <w:snapToGrid w:val="0"/>
                      <w:color w:val="000000"/>
                      <w:kern w:val="0"/>
                      <w:sz w:val="21"/>
                      <w:szCs w:val="21"/>
                      <w:highlight w:val="none"/>
                    </w:rPr>
                  </w:pPr>
                  <w:r>
                    <w:rPr>
                      <w:rFonts w:hint="eastAsia"/>
                      <w:snapToGrid w:val="0"/>
                      <w:color w:val="000000"/>
                      <w:kern w:val="0"/>
                      <w:sz w:val="21"/>
                      <w:szCs w:val="21"/>
                      <w:highlight w:val="none"/>
                    </w:rPr>
                    <w:t>不</w:t>
                  </w:r>
                  <w:r>
                    <w:rPr>
                      <w:snapToGrid w:val="0"/>
                      <w:color w:val="000000"/>
                      <w:kern w:val="0"/>
                      <w:sz w:val="21"/>
                      <w:szCs w:val="21"/>
                      <w:highlight w:val="none"/>
                    </w:rPr>
                    <w:t>达标</w:t>
                  </w:r>
                </w:p>
              </w:tc>
            </w:tr>
            <w:tr w14:paraId="27E49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3B94167F">
                  <w:pPr>
                    <w:widowControl/>
                    <w:rPr>
                      <w:snapToGrid w:val="0"/>
                      <w:color w:val="000000"/>
                      <w:kern w:val="0"/>
                      <w:sz w:val="21"/>
                      <w:szCs w:val="21"/>
                      <w:highlight w:val="none"/>
                    </w:rPr>
                  </w:pPr>
                  <w:r>
                    <w:rPr>
                      <w:snapToGrid w:val="0"/>
                      <w:color w:val="000000"/>
                      <w:kern w:val="0"/>
                      <w:sz w:val="21"/>
                      <w:szCs w:val="21"/>
                      <w:highlight w:val="none"/>
                    </w:rPr>
                    <w:t>CO</w:t>
                  </w:r>
                </w:p>
              </w:tc>
              <w:tc>
                <w:tcPr>
                  <w:tcW w:w="1792" w:type="pct"/>
                  <w:noWrap w:val="0"/>
                  <w:vAlign w:val="center"/>
                </w:tcPr>
                <w:p w14:paraId="5B3418EE">
                  <w:pPr>
                    <w:widowControl/>
                    <w:rPr>
                      <w:snapToGrid w:val="0"/>
                      <w:color w:val="000000"/>
                      <w:kern w:val="0"/>
                      <w:sz w:val="21"/>
                      <w:szCs w:val="21"/>
                      <w:highlight w:val="none"/>
                    </w:rPr>
                  </w:pPr>
                  <w:r>
                    <w:rPr>
                      <w:snapToGrid w:val="0"/>
                      <w:color w:val="000000"/>
                      <w:kern w:val="0"/>
                      <w:sz w:val="21"/>
                      <w:szCs w:val="21"/>
                      <w:highlight w:val="none"/>
                    </w:rPr>
                    <w:t>95%保证率日均质量浓度（</w:t>
                  </w:r>
                  <w:r>
                    <w:rPr>
                      <w:snapToGrid w:val="0"/>
                      <w:color w:val="000000"/>
                      <w:kern w:val="0"/>
                      <w:sz w:val="21"/>
                      <w:szCs w:val="21"/>
                      <w:highlight w:val="none"/>
                      <w:lang w:bidi="ar"/>
                    </w:rPr>
                    <w:t>mg/m</w:t>
                  </w:r>
                  <w:r>
                    <w:rPr>
                      <w:snapToGrid w:val="0"/>
                      <w:color w:val="000000"/>
                      <w:kern w:val="0"/>
                      <w:sz w:val="21"/>
                      <w:szCs w:val="21"/>
                      <w:highlight w:val="none"/>
                      <w:vertAlign w:val="superscript"/>
                      <w:lang w:bidi="ar"/>
                    </w:rPr>
                    <w:t>3</w:t>
                  </w:r>
                  <w:r>
                    <w:rPr>
                      <w:snapToGrid w:val="0"/>
                      <w:color w:val="000000"/>
                      <w:kern w:val="0"/>
                      <w:sz w:val="21"/>
                      <w:szCs w:val="21"/>
                      <w:highlight w:val="none"/>
                    </w:rPr>
                    <w:t>）</w:t>
                  </w:r>
                </w:p>
              </w:tc>
              <w:tc>
                <w:tcPr>
                  <w:tcW w:w="626" w:type="pct"/>
                  <w:noWrap w:val="0"/>
                  <w:vAlign w:val="center"/>
                </w:tcPr>
                <w:p w14:paraId="7B2726CE">
                  <w:pPr>
                    <w:widowControl/>
                    <w:rPr>
                      <w:snapToGrid w:val="0"/>
                      <w:color w:val="000000"/>
                      <w:kern w:val="0"/>
                      <w:sz w:val="21"/>
                      <w:szCs w:val="21"/>
                      <w:highlight w:val="none"/>
                    </w:rPr>
                  </w:pPr>
                  <w:r>
                    <w:rPr>
                      <w:rFonts w:hint="eastAsia"/>
                      <w:snapToGrid w:val="0"/>
                      <w:color w:val="000000"/>
                      <w:kern w:val="0"/>
                      <w:sz w:val="21"/>
                      <w:szCs w:val="21"/>
                      <w:highlight w:val="none"/>
                    </w:rPr>
                    <w:t>1.8</w:t>
                  </w:r>
                </w:p>
              </w:tc>
              <w:tc>
                <w:tcPr>
                  <w:tcW w:w="757" w:type="pct"/>
                  <w:noWrap w:val="0"/>
                  <w:vAlign w:val="center"/>
                </w:tcPr>
                <w:p w14:paraId="20AE5B46">
                  <w:pPr>
                    <w:widowControl/>
                    <w:rPr>
                      <w:snapToGrid w:val="0"/>
                      <w:color w:val="000000"/>
                      <w:kern w:val="0"/>
                      <w:sz w:val="21"/>
                      <w:szCs w:val="21"/>
                      <w:highlight w:val="none"/>
                    </w:rPr>
                  </w:pPr>
                  <w:r>
                    <w:rPr>
                      <w:snapToGrid w:val="0"/>
                      <w:color w:val="000000"/>
                      <w:kern w:val="0"/>
                      <w:sz w:val="21"/>
                      <w:szCs w:val="21"/>
                      <w:highlight w:val="none"/>
                    </w:rPr>
                    <w:t>4</w:t>
                  </w:r>
                </w:p>
              </w:tc>
              <w:tc>
                <w:tcPr>
                  <w:tcW w:w="563" w:type="pct"/>
                  <w:noWrap w:val="0"/>
                  <w:vAlign w:val="center"/>
                </w:tcPr>
                <w:p w14:paraId="407BB8D8">
                  <w:pPr>
                    <w:widowControl/>
                    <w:textAlignment w:val="center"/>
                    <w:rPr>
                      <w:color w:val="000000"/>
                      <w:sz w:val="21"/>
                      <w:szCs w:val="21"/>
                      <w:highlight w:val="none"/>
                    </w:rPr>
                  </w:pPr>
                  <w:r>
                    <w:rPr>
                      <w:rFonts w:hint="eastAsia"/>
                      <w:color w:val="000000"/>
                      <w:sz w:val="21"/>
                      <w:szCs w:val="21"/>
                      <w:highlight w:val="none"/>
                    </w:rPr>
                    <w:t>45</w:t>
                  </w:r>
                </w:p>
              </w:tc>
              <w:tc>
                <w:tcPr>
                  <w:tcW w:w="700" w:type="pct"/>
                  <w:noWrap w:val="0"/>
                  <w:vAlign w:val="center"/>
                </w:tcPr>
                <w:p w14:paraId="6D53E956">
                  <w:pPr>
                    <w:rPr>
                      <w:color w:val="000000"/>
                      <w:sz w:val="21"/>
                      <w:szCs w:val="21"/>
                      <w:highlight w:val="none"/>
                    </w:rPr>
                  </w:pPr>
                  <w:r>
                    <w:rPr>
                      <w:snapToGrid w:val="0"/>
                      <w:color w:val="000000"/>
                      <w:kern w:val="0"/>
                      <w:sz w:val="21"/>
                      <w:szCs w:val="21"/>
                      <w:highlight w:val="none"/>
                    </w:rPr>
                    <w:t>达标</w:t>
                  </w:r>
                </w:p>
              </w:tc>
            </w:tr>
            <w:tr w14:paraId="525C9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560" w:type="pct"/>
                  <w:noWrap w:val="0"/>
                  <w:vAlign w:val="center"/>
                </w:tcPr>
                <w:p w14:paraId="648D9274">
                  <w:pPr>
                    <w:widowControl/>
                    <w:rPr>
                      <w:snapToGrid w:val="0"/>
                      <w:color w:val="000000"/>
                      <w:kern w:val="0"/>
                      <w:sz w:val="21"/>
                      <w:szCs w:val="21"/>
                      <w:highlight w:val="none"/>
                    </w:rPr>
                  </w:pPr>
                  <w:r>
                    <w:rPr>
                      <w:snapToGrid w:val="0"/>
                      <w:color w:val="000000"/>
                      <w:kern w:val="0"/>
                      <w:sz w:val="21"/>
                      <w:szCs w:val="21"/>
                      <w:highlight w:val="none"/>
                    </w:rPr>
                    <w:t>O</w:t>
                  </w:r>
                  <w:r>
                    <w:rPr>
                      <w:snapToGrid w:val="0"/>
                      <w:color w:val="000000"/>
                      <w:kern w:val="0"/>
                      <w:sz w:val="21"/>
                      <w:szCs w:val="21"/>
                      <w:highlight w:val="none"/>
                      <w:vertAlign w:val="subscript"/>
                    </w:rPr>
                    <w:t>3</w:t>
                  </w:r>
                </w:p>
              </w:tc>
              <w:tc>
                <w:tcPr>
                  <w:tcW w:w="1792" w:type="pct"/>
                  <w:noWrap w:val="0"/>
                  <w:vAlign w:val="center"/>
                </w:tcPr>
                <w:p w14:paraId="625DBDB7">
                  <w:pPr>
                    <w:widowControl/>
                    <w:rPr>
                      <w:snapToGrid w:val="0"/>
                      <w:color w:val="000000"/>
                      <w:kern w:val="0"/>
                      <w:sz w:val="21"/>
                      <w:szCs w:val="21"/>
                      <w:highlight w:val="none"/>
                    </w:rPr>
                  </w:pPr>
                  <w:r>
                    <w:rPr>
                      <w:snapToGrid w:val="0"/>
                      <w:color w:val="000000"/>
                      <w:kern w:val="0"/>
                      <w:sz w:val="21"/>
                      <w:szCs w:val="21"/>
                      <w:highlight w:val="none"/>
                    </w:rPr>
                    <w:t>90%保证率日均质量浓度（</w:t>
                  </w:r>
                  <w:r>
                    <w:rPr>
                      <w:snapToGrid w:val="0"/>
                      <w:color w:val="000000"/>
                      <w:kern w:val="0"/>
                      <w:sz w:val="21"/>
                      <w:szCs w:val="21"/>
                      <w:highlight w:val="none"/>
                      <w:lang w:bidi="ar"/>
                    </w:rPr>
                    <w:sym w:font="Symbol" w:char="F06D"/>
                  </w:r>
                  <w:r>
                    <w:rPr>
                      <w:snapToGrid w:val="0"/>
                      <w:color w:val="000000"/>
                      <w:kern w:val="0"/>
                      <w:sz w:val="21"/>
                      <w:szCs w:val="21"/>
                      <w:highlight w:val="none"/>
                      <w:lang w:bidi="ar"/>
                    </w:rPr>
                    <w:t>g/m</w:t>
                  </w:r>
                  <w:r>
                    <w:rPr>
                      <w:snapToGrid w:val="0"/>
                      <w:color w:val="000000"/>
                      <w:kern w:val="0"/>
                      <w:sz w:val="21"/>
                      <w:szCs w:val="21"/>
                      <w:highlight w:val="none"/>
                      <w:vertAlign w:val="superscript"/>
                      <w:lang w:bidi="ar"/>
                    </w:rPr>
                    <w:t>3</w:t>
                  </w:r>
                  <w:r>
                    <w:rPr>
                      <w:snapToGrid w:val="0"/>
                      <w:color w:val="000000"/>
                      <w:kern w:val="0"/>
                      <w:sz w:val="21"/>
                      <w:szCs w:val="21"/>
                      <w:highlight w:val="none"/>
                    </w:rPr>
                    <w:t>）</w:t>
                  </w:r>
                </w:p>
              </w:tc>
              <w:tc>
                <w:tcPr>
                  <w:tcW w:w="626" w:type="pct"/>
                  <w:noWrap w:val="0"/>
                  <w:vAlign w:val="center"/>
                </w:tcPr>
                <w:p w14:paraId="396717C1">
                  <w:pPr>
                    <w:widowControl/>
                    <w:rPr>
                      <w:snapToGrid w:val="0"/>
                      <w:color w:val="000000"/>
                      <w:kern w:val="0"/>
                      <w:sz w:val="21"/>
                      <w:szCs w:val="21"/>
                      <w:highlight w:val="none"/>
                    </w:rPr>
                  </w:pPr>
                  <w:r>
                    <w:rPr>
                      <w:rFonts w:hint="eastAsia"/>
                      <w:snapToGrid w:val="0"/>
                      <w:color w:val="000000"/>
                      <w:kern w:val="0"/>
                      <w:sz w:val="21"/>
                      <w:szCs w:val="21"/>
                      <w:highlight w:val="none"/>
                    </w:rPr>
                    <w:t>134</w:t>
                  </w:r>
                </w:p>
              </w:tc>
              <w:tc>
                <w:tcPr>
                  <w:tcW w:w="757" w:type="pct"/>
                  <w:noWrap w:val="0"/>
                  <w:vAlign w:val="center"/>
                </w:tcPr>
                <w:p w14:paraId="1E57360F">
                  <w:pPr>
                    <w:widowControl/>
                    <w:rPr>
                      <w:snapToGrid w:val="0"/>
                      <w:color w:val="000000"/>
                      <w:kern w:val="0"/>
                      <w:sz w:val="21"/>
                      <w:szCs w:val="21"/>
                      <w:highlight w:val="none"/>
                    </w:rPr>
                  </w:pPr>
                  <w:r>
                    <w:rPr>
                      <w:snapToGrid w:val="0"/>
                      <w:color w:val="000000"/>
                      <w:kern w:val="0"/>
                      <w:sz w:val="21"/>
                      <w:szCs w:val="21"/>
                      <w:highlight w:val="none"/>
                    </w:rPr>
                    <w:t>160</w:t>
                  </w:r>
                </w:p>
              </w:tc>
              <w:tc>
                <w:tcPr>
                  <w:tcW w:w="563" w:type="pct"/>
                  <w:noWrap w:val="0"/>
                  <w:vAlign w:val="center"/>
                </w:tcPr>
                <w:p w14:paraId="2D324582">
                  <w:pPr>
                    <w:widowControl/>
                    <w:textAlignment w:val="center"/>
                    <w:rPr>
                      <w:color w:val="000000"/>
                      <w:sz w:val="21"/>
                      <w:szCs w:val="21"/>
                      <w:highlight w:val="none"/>
                    </w:rPr>
                  </w:pPr>
                  <w:r>
                    <w:rPr>
                      <w:rFonts w:hint="eastAsia"/>
                      <w:color w:val="000000"/>
                      <w:sz w:val="21"/>
                      <w:szCs w:val="21"/>
                      <w:highlight w:val="none"/>
                    </w:rPr>
                    <w:t>83.7</w:t>
                  </w:r>
                </w:p>
              </w:tc>
              <w:tc>
                <w:tcPr>
                  <w:tcW w:w="700" w:type="pct"/>
                  <w:noWrap w:val="0"/>
                  <w:vAlign w:val="center"/>
                </w:tcPr>
                <w:p w14:paraId="0A112A84">
                  <w:pPr>
                    <w:widowControl/>
                    <w:rPr>
                      <w:snapToGrid w:val="0"/>
                      <w:color w:val="000000"/>
                      <w:kern w:val="0"/>
                      <w:sz w:val="21"/>
                      <w:szCs w:val="21"/>
                      <w:highlight w:val="none"/>
                    </w:rPr>
                  </w:pPr>
                  <w:r>
                    <w:rPr>
                      <w:snapToGrid w:val="0"/>
                      <w:color w:val="000000"/>
                      <w:kern w:val="0"/>
                      <w:sz w:val="21"/>
                      <w:szCs w:val="21"/>
                      <w:highlight w:val="none"/>
                    </w:rPr>
                    <w:t>达标</w:t>
                  </w:r>
                </w:p>
              </w:tc>
            </w:tr>
          </w:tbl>
          <w:p w14:paraId="5507AAF2">
            <w:pPr>
              <w:spacing w:line="360" w:lineRule="auto"/>
              <w:ind w:firstLine="480" w:firstLineChars="200"/>
              <w:jc w:val="both"/>
              <w:rPr>
                <w:color w:val="000000"/>
                <w:highlight w:val="none"/>
              </w:rPr>
            </w:pPr>
            <w:r>
              <w:rPr>
                <w:rFonts w:hint="eastAsia"/>
                <w:color w:val="000000"/>
                <w:highlight w:val="none"/>
              </w:rPr>
              <w:t>昌吉回族自治州</w:t>
            </w:r>
            <w:r>
              <w:rPr>
                <w:color w:val="000000"/>
                <w:highlight w:val="none"/>
              </w:rPr>
              <w:t>202</w:t>
            </w:r>
            <w:r>
              <w:rPr>
                <w:rFonts w:hint="eastAsia"/>
                <w:color w:val="000000"/>
                <w:highlight w:val="none"/>
                <w:lang w:val="en-US" w:eastAsia="zh-CN"/>
              </w:rPr>
              <w:t>4</w:t>
            </w:r>
            <w:r>
              <w:rPr>
                <w:color w:val="000000"/>
                <w:highlight w:val="none"/>
              </w:rPr>
              <w:t>年SO</w:t>
            </w:r>
            <w:r>
              <w:rPr>
                <w:color w:val="000000"/>
                <w:highlight w:val="none"/>
                <w:vertAlign w:val="subscript"/>
              </w:rPr>
              <w:t>2</w:t>
            </w:r>
            <w:r>
              <w:rPr>
                <w:color w:val="000000"/>
                <w:highlight w:val="none"/>
              </w:rPr>
              <w:t>、NO</w:t>
            </w:r>
            <w:r>
              <w:rPr>
                <w:color w:val="000000"/>
                <w:highlight w:val="none"/>
                <w:vertAlign w:val="subscript"/>
              </w:rPr>
              <w:t>2</w:t>
            </w:r>
            <w:r>
              <w:rPr>
                <w:color w:val="000000"/>
                <w:highlight w:val="none"/>
              </w:rPr>
              <w:t>、PM</w:t>
            </w:r>
            <w:r>
              <w:rPr>
                <w:color w:val="000000"/>
                <w:highlight w:val="none"/>
                <w:vertAlign w:val="subscript"/>
              </w:rPr>
              <w:t>10</w:t>
            </w:r>
            <w:r>
              <w:rPr>
                <w:color w:val="000000"/>
                <w:highlight w:val="none"/>
              </w:rPr>
              <w:t>、PM</w:t>
            </w:r>
            <w:r>
              <w:rPr>
                <w:color w:val="000000"/>
                <w:highlight w:val="none"/>
                <w:vertAlign w:val="subscript"/>
              </w:rPr>
              <w:t>2.5</w:t>
            </w:r>
            <w:r>
              <w:rPr>
                <w:color w:val="000000"/>
                <w:highlight w:val="none"/>
              </w:rPr>
              <w:t>年均浓度分别为</w:t>
            </w:r>
            <w:r>
              <w:rPr>
                <w:rFonts w:hint="eastAsia"/>
                <w:color w:val="000000"/>
                <w:highlight w:val="none"/>
              </w:rPr>
              <w:t>7</w:t>
            </w:r>
            <w:r>
              <w:rPr>
                <w:color w:val="000000"/>
                <w:highlight w:val="none"/>
              </w:rPr>
              <w:t>µg/m</w:t>
            </w:r>
            <w:r>
              <w:rPr>
                <w:color w:val="000000"/>
                <w:highlight w:val="none"/>
                <w:vertAlign w:val="superscript"/>
              </w:rPr>
              <w:t>3</w:t>
            </w:r>
            <w:r>
              <w:rPr>
                <w:color w:val="000000"/>
                <w:highlight w:val="none"/>
              </w:rPr>
              <w:t>、</w:t>
            </w:r>
            <w:r>
              <w:rPr>
                <w:rFonts w:hint="eastAsia"/>
                <w:color w:val="000000"/>
                <w:highlight w:val="none"/>
              </w:rPr>
              <w:t>30</w:t>
            </w:r>
            <w:r>
              <w:rPr>
                <w:color w:val="000000"/>
                <w:highlight w:val="none"/>
              </w:rPr>
              <w:t>µg/m</w:t>
            </w:r>
            <w:r>
              <w:rPr>
                <w:color w:val="000000"/>
                <w:highlight w:val="none"/>
                <w:vertAlign w:val="superscript"/>
              </w:rPr>
              <w:t>3</w:t>
            </w:r>
            <w:r>
              <w:rPr>
                <w:color w:val="000000"/>
                <w:highlight w:val="none"/>
              </w:rPr>
              <w:t>、</w:t>
            </w:r>
            <w:r>
              <w:rPr>
                <w:rFonts w:hint="eastAsia"/>
                <w:color w:val="000000"/>
                <w:highlight w:val="none"/>
              </w:rPr>
              <w:t>70</w:t>
            </w:r>
            <w:r>
              <w:rPr>
                <w:color w:val="000000"/>
                <w:highlight w:val="none"/>
              </w:rPr>
              <w:t>µg/m</w:t>
            </w:r>
            <w:r>
              <w:rPr>
                <w:color w:val="000000"/>
                <w:highlight w:val="none"/>
                <w:vertAlign w:val="superscript"/>
              </w:rPr>
              <w:t>3</w:t>
            </w:r>
            <w:r>
              <w:rPr>
                <w:color w:val="000000"/>
                <w:highlight w:val="none"/>
              </w:rPr>
              <w:t>、</w:t>
            </w:r>
            <w:r>
              <w:rPr>
                <w:rFonts w:hint="eastAsia"/>
                <w:color w:val="000000"/>
                <w:highlight w:val="none"/>
              </w:rPr>
              <w:t>40</w:t>
            </w:r>
            <w:r>
              <w:rPr>
                <w:color w:val="000000"/>
                <w:highlight w:val="none"/>
              </w:rPr>
              <w:t>µg/m</w:t>
            </w:r>
            <w:r>
              <w:rPr>
                <w:color w:val="000000"/>
                <w:highlight w:val="none"/>
                <w:vertAlign w:val="superscript"/>
              </w:rPr>
              <w:t>3</w:t>
            </w:r>
            <w:r>
              <w:rPr>
                <w:color w:val="000000"/>
                <w:highlight w:val="none"/>
              </w:rPr>
              <w:t>；CO 24小时平均第95百分位数为</w:t>
            </w:r>
            <w:r>
              <w:rPr>
                <w:rFonts w:hint="eastAsia"/>
                <w:color w:val="000000"/>
                <w:highlight w:val="none"/>
              </w:rPr>
              <w:t>1.8</w:t>
            </w:r>
            <w:r>
              <w:rPr>
                <w:color w:val="000000"/>
                <w:highlight w:val="none"/>
              </w:rPr>
              <w:t>mg/m</w:t>
            </w:r>
            <w:r>
              <w:rPr>
                <w:color w:val="000000"/>
                <w:highlight w:val="none"/>
                <w:vertAlign w:val="superscript"/>
              </w:rPr>
              <w:t>3</w:t>
            </w:r>
            <w:r>
              <w:rPr>
                <w:color w:val="000000"/>
                <w:highlight w:val="none"/>
              </w:rPr>
              <w:t>，O</w:t>
            </w:r>
            <w:r>
              <w:rPr>
                <w:color w:val="000000"/>
                <w:highlight w:val="none"/>
                <w:vertAlign w:val="subscript"/>
              </w:rPr>
              <w:t>3</w:t>
            </w:r>
            <w:r>
              <w:rPr>
                <w:color w:val="000000"/>
                <w:highlight w:val="none"/>
              </w:rPr>
              <w:t>日最大8小时平均第90百分位数为</w:t>
            </w:r>
            <w:r>
              <w:rPr>
                <w:rFonts w:hint="eastAsia"/>
                <w:color w:val="000000"/>
                <w:highlight w:val="none"/>
              </w:rPr>
              <w:t>134</w:t>
            </w:r>
            <w:r>
              <w:rPr>
                <w:color w:val="000000"/>
                <w:highlight w:val="none"/>
              </w:rPr>
              <w:t>µg/m</w:t>
            </w:r>
            <w:r>
              <w:rPr>
                <w:color w:val="000000"/>
                <w:highlight w:val="none"/>
                <w:vertAlign w:val="superscript"/>
              </w:rPr>
              <w:t>3</w:t>
            </w:r>
            <w:r>
              <w:rPr>
                <w:color w:val="000000"/>
                <w:highlight w:val="none"/>
              </w:rPr>
              <w:t>，</w:t>
            </w:r>
            <w:r>
              <w:rPr>
                <w:rFonts w:hint="eastAsia"/>
                <w:color w:val="000000"/>
                <w:highlight w:val="none"/>
              </w:rPr>
              <w:t>其中PM</w:t>
            </w:r>
            <w:r>
              <w:rPr>
                <w:rFonts w:hint="eastAsia"/>
                <w:color w:val="000000"/>
                <w:highlight w:val="none"/>
                <w:vertAlign w:val="subscript"/>
              </w:rPr>
              <w:t>2.5</w:t>
            </w:r>
            <w:r>
              <w:rPr>
                <w:rFonts w:hint="eastAsia"/>
                <w:color w:val="000000"/>
                <w:highlight w:val="none"/>
              </w:rPr>
              <w:t>不</w:t>
            </w:r>
            <w:r>
              <w:rPr>
                <w:color w:val="000000"/>
                <w:highlight w:val="none"/>
              </w:rPr>
              <w:t>满足《环境空气质量标准》（GB3095-2012）及修改单二级标准，项目所在区域为环境空气质量非达标区。项目区域超标原因主要是当地气候条件较差，干旱少雨、多浮尘、大风天气引起的。</w:t>
            </w:r>
          </w:p>
          <w:p w14:paraId="6FDED501">
            <w:pPr>
              <w:pStyle w:val="4"/>
              <w:rPr>
                <w:color w:val="000000"/>
                <w:highlight w:val="none"/>
              </w:rPr>
            </w:pPr>
            <w:r>
              <w:rPr>
                <w:snapToGrid w:val="0"/>
                <w:color w:val="000000"/>
                <w:highlight w:val="none"/>
              </w:rPr>
              <w:t>2.2 水环境质量现状</w:t>
            </w:r>
          </w:p>
          <w:p w14:paraId="2620BCC5">
            <w:pPr>
              <w:pStyle w:val="24"/>
              <w:jc w:val="both"/>
              <w:rPr>
                <w:color w:val="000000"/>
                <w:sz w:val="24"/>
                <w:szCs w:val="21"/>
                <w:highlight w:val="none"/>
              </w:rPr>
            </w:pPr>
            <w:r>
              <w:rPr>
                <w:color w:val="000000"/>
                <w:sz w:val="24"/>
                <w:szCs w:val="21"/>
                <w:highlight w:val="none"/>
              </w:rPr>
              <w:t>本项目钻井期间钻井废水循环利用，生活污水拉运至</w:t>
            </w:r>
            <w:r>
              <w:rPr>
                <w:rFonts w:hint="eastAsia"/>
                <w:color w:val="000000"/>
                <w:sz w:val="24"/>
                <w:szCs w:val="21"/>
                <w:highlight w:val="none"/>
              </w:rPr>
              <w:t>石西油田作业区生活污水处理站</w:t>
            </w:r>
            <w:r>
              <w:rPr>
                <w:color w:val="000000"/>
                <w:sz w:val="24"/>
                <w:szCs w:val="21"/>
                <w:highlight w:val="none"/>
              </w:rPr>
              <w:t>处理，本工程区周边3km范围内无常年天然地表水体分布，与地表水体无水力联系，本次未对地表水环境进行现状评价。</w:t>
            </w:r>
          </w:p>
          <w:p w14:paraId="70FC2B76">
            <w:pPr>
              <w:pStyle w:val="24"/>
              <w:adjustRightInd/>
              <w:snapToGrid/>
              <w:rPr>
                <w:color w:val="000000"/>
                <w:highlight w:val="none"/>
              </w:rPr>
            </w:pPr>
            <w:r>
              <w:rPr>
                <w:color w:val="000000"/>
                <w:sz w:val="24"/>
                <w:szCs w:val="21"/>
                <w:highlight w:val="none"/>
              </w:rPr>
              <w:t>本工程属于矿产资源勘查活动，钻井期间采用泥浆不落地工艺，无钻井废水排放；钻井生活污水拉运至</w:t>
            </w:r>
            <w:r>
              <w:rPr>
                <w:rFonts w:hint="eastAsia"/>
                <w:color w:val="000000"/>
                <w:sz w:val="24"/>
                <w:szCs w:val="21"/>
                <w:highlight w:val="none"/>
              </w:rPr>
              <w:t>石西油田作业区生活污水处理站</w:t>
            </w:r>
            <w:r>
              <w:rPr>
                <w:color w:val="000000"/>
                <w:sz w:val="24"/>
                <w:szCs w:val="21"/>
                <w:highlight w:val="none"/>
              </w:rPr>
              <w:t>处理，本次只定性分析对地下水的可能的影响，未对地下水环境进行现状监测。</w:t>
            </w:r>
          </w:p>
          <w:p w14:paraId="7E88A463">
            <w:pPr>
              <w:pStyle w:val="4"/>
              <w:rPr>
                <w:snapToGrid w:val="0"/>
                <w:color w:val="000000"/>
                <w:highlight w:val="none"/>
              </w:rPr>
            </w:pPr>
            <w:r>
              <w:rPr>
                <w:snapToGrid w:val="0"/>
                <w:color w:val="000000"/>
                <w:highlight w:val="none"/>
              </w:rPr>
              <w:t>2.3 声环境质量现状</w:t>
            </w:r>
          </w:p>
          <w:p w14:paraId="57F95140">
            <w:pPr>
              <w:pStyle w:val="24"/>
              <w:rPr>
                <w:snapToGrid w:val="0"/>
                <w:color w:val="000000"/>
                <w:highlight w:val="none"/>
              </w:rPr>
            </w:pPr>
            <w:bookmarkStart w:id="11" w:name="OLE_LINK64"/>
            <w:bookmarkStart w:id="12" w:name="OLE_LINK65"/>
            <w:r>
              <w:rPr>
                <w:rFonts w:ascii="Times New Roman" w:hAnsi="Times New Roman"/>
                <w:snapToGrid w:val="0"/>
                <w:color w:val="000000"/>
                <w:sz w:val="24"/>
                <w:szCs w:val="21"/>
                <w:highlight w:val="none"/>
              </w:rPr>
              <w:t>本项目为预探井钻试工程，施工期较短且无运营期，且各井场周边50m范围内无声环境保护目标，故未进行声环境质量现状监测。</w:t>
            </w:r>
          </w:p>
          <w:p w14:paraId="325BCA50">
            <w:pPr>
              <w:pStyle w:val="4"/>
              <w:rPr>
                <w:snapToGrid w:val="0"/>
                <w:color w:val="000000"/>
                <w:highlight w:val="none"/>
              </w:rPr>
            </w:pPr>
            <w:r>
              <w:rPr>
                <w:snapToGrid w:val="0"/>
                <w:color w:val="000000"/>
                <w:highlight w:val="none"/>
              </w:rPr>
              <w:t>2.4 土壤环境质量评价</w:t>
            </w:r>
          </w:p>
          <w:bookmarkEnd w:id="11"/>
          <w:bookmarkEnd w:id="12"/>
          <w:p w14:paraId="3BD069C5">
            <w:pPr>
              <w:widowControl/>
              <w:spacing w:line="360" w:lineRule="auto"/>
              <w:ind w:firstLine="480" w:firstLineChars="200"/>
              <w:jc w:val="left"/>
              <w:rPr>
                <w:color w:val="000000"/>
                <w:highlight w:val="none"/>
              </w:rPr>
            </w:pPr>
            <w:r>
              <w:rPr>
                <w:color w:val="000000"/>
                <w:kern w:val="0"/>
                <w:highlight w:val="none"/>
                <w:lang w:bidi="ar"/>
              </w:rPr>
              <w:t>本项目属于矿产资源勘查活动，钻井期采用泥浆不落地、罐区进行防渗，本次环评未开展土壤现状调查。</w:t>
            </w:r>
          </w:p>
        </w:tc>
      </w:tr>
      <w:tr w14:paraId="43BF1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18" w:type="dxa"/>
            <w:noWrap w:val="0"/>
            <w:vAlign w:val="center"/>
          </w:tcPr>
          <w:p w14:paraId="1B0A7E0D">
            <w:pPr>
              <w:rPr>
                <w:color w:val="000000"/>
                <w:kern w:val="0"/>
                <w:szCs w:val="21"/>
                <w:highlight w:val="none"/>
              </w:rPr>
            </w:pPr>
            <w:r>
              <w:rPr>
                <w:bCs/>
                <w:color w:val="000000"/>
                <w:szCs w:val="21"/>
                <w:highlight w:val="none"/>
              </w:rPr>
              <w:t>与项目有关的原有环境污染和生态破坏问题</w:t>
            </w:r>
          </w:p>
        </w:tc>
        <w:tc>
          <w:tcPr>
            <w:tcW w:w="8239" w:type="dxa"/>
            <w:noWrap w:val="0"/>
            <w:vAlign w:val="center"/>
          </w:tcPr>
          <w:p w14:paraId="75EB67E6">
            <w:pPr>
              <w:pStyle w:val="4"/>
              <w:rPr>
                <w:color w:val="000000"/>
                <w:highlight w:val="none"/>
              </w:rPr>
            </w:pPr>
            <w:r>
              <w:rPr>
                <w:b w:val="0"/>
                <w:bCs w:val="0"/>
                <w:color w:val="000000"/>
                <w:highlight w:val="none"/>
              </w:rPr>
              <w:t>本项目为前期勘探工程，不存在原有环境问题。</w:t>
            </w:r>
          </w:p>
        </w:tc>
      </w:tr>
      <w:tr w14:paraId="024F2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2F627812">
            <w:pPr>
              <w:rPr>
                <w:color w:val="000000"/>
                <w:kern w:val="0"/>
                <w:szCs w:val="21"/>
                <w:highlight w:val="none"/>
              </w:rPr>
            </w:pPr>
            <w:r>
              <w:rPr>
                <w:color w:val="000000"/>
                <w:kern w:val="0"/>
                <w:szCs w:val="21"/>
                <w:highlight w:val="none"/>
              </w:rPr>
              <w:t>生态环境保护目标</w:t>
            </w:r>
          </w:p>
        </w:tc>
        <w:tc>
          <w:tcPr>
            <w:tcW w:w="8239" w:type="dxa"/>
            <w:noWrap w:val="0"/>
            <w:vAlign w:val="top"/>
          </w:tcPr>
          <w:p w14:paraId="7CF70317">
            <w:pPr>
              <w:spacing w:line="360" w:lineRule="auto"/>
              <w:jc w:val="both"/>
              <w:rPr>
                <w:b/>
                <w:color w:val="000000"/>
                <w:highlight w:val="none"/>
              </w:rPr>
            </w:pPr>
            <w:bookmarkStart w:id="13" w:name="_Hlk48507087"/>
            <w:r>
              <w:rPr>
                <w:b/>
                <w:color w:val="000000"/>
                <w:highlight w:val="none"/>
              </w:rPr>
              <w:t>1 环境保护目标</w:t>
            </w:r>
          </w:p>
          <w:p w14:paraId="4BD1EC28">
            <w:pPr>
              <w:pStyle w:val="24"/>
              <w:numPr>
                <w:ilvl w:val="0"/>
                <w:numId w:val="5"/>
              </w:numPr>
              <w:ind w:firstLine="0" w:firstLineChars="0"/>
              <w:jc w:val="both"/>
              <w:rPr>
                <w:color w:val="000000"/>
                <w:sz w:val="24"/>
                <w:szCs w:val="21"/>
                <w:highlight w:val="none"/>
              </w:rPr>
            </w:pPr>
            <w:r>
              <w:rPr>
                <w:color w:val="000000"/>
                <w:sz w:val="24"/>
                <w:szCs w:val="21"/>
                <w:highlight w:val="none"/>
              </w:rPr>
              <w:t>生态环境敏感目标</w:t>
            </w:r>
          </w:p>
          <w:p w14:paraId="4FBCF1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highlight w:val="none"/>
                <w:lang w:val="zh-CN"/>
              </w:rPr>
            </w:pPr>
            <w:r>
              <w:rPr>
                <w:color w:val="000000"/>
                <w:highlight w:val="none"/>
              </w:rPr>
              <w:t>本项目</w:t>
            </w:r>
            <w:r>
              <w:rPr>
                <w:rFonts w:hint="eastAsia"/>
                <w:color w:val="000000"/>
                <w:highlight w:val="none"/>
              </w:rPr>
              <w:t>莫173井位于玛纳斯县土地沙化生态保护红线区，莫174H位于一般管控单元</w:t>
            </w:r>
            <w:r>
              <w:rPr>
                <w:rFonts w:hint="eastAsia"/>
                <w:color w:val="000000"/>
                <w:highlight w:val="none"/>
                <w:lang w:val="zh-CN"/>
              </w:rPr>
              <w:t>。</w:t>
            </w:r>
          </w:p>
          <w:p w14:paraId="13005C48">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ascii="Times New Roman" w:hAnsi="Times New Roman"/>
                <w:color w:val="000000"/>
                <w:sz w:val="24"/>
                <w:szCs w:val="24"/>
                <w:highlight w:val="none"/>
              </w:rPr>
            </w:pPr>
            <w:r>
              <w:rPr>
                <w:rFonts w:ascii="Times New Roman" w:hAnsi="Times New Roman"/>
                <w:color w:val="000000"/>
                <w:sz w:val="24"/>
                <w:szCs w:val="24"/>
                <w:highlight w:val="none"/>
              </w:rPr>
              <w:t>根据现场调查，本项目井场周边500m范围内为灌木林地，项目周边500m范围内无自然保护区、风景名胜区、居住区、文化区、人群较集中的区域，周边50m范围内无声环境保护目标，周边500m范围内无地下水集中式饮用水水源和热水、矿泉水、温泉等特殊地下水资源。根据本项目特性和所在地环境特征，本项目环境保护目标具体情况见表3-5。</w:t>
            </w:r>
          </w:p>
          <w:bookmarkEnd w:id="13"/>
          <w:p w14:paraId="5B0F8B82">
            <w:pPr>
              <w:pStyle w:val="19"/>
              <w:autoSpaceDE w:val="0"/>
              <w:autoSpaceDN w:val="0"/>
              <w:rPr>
                <w:color w:val="000000"/>
                <w:sz w:val="24"/>
                <w:highlight w:val="none"/>
              </w:rPr>
            </w:pPr>
            <w:r>
              <w:rPr>
                <w:color w:val="000000"/>
                <w:szCs w:val="21"/>
                <w:highlight w:val="none"/>
              </w:rPr>
              <w:t>表3-</w:t>
            </w:r>
            <w:r>
              <w:rPr>
                <w:rFonts w:hint="eastAsia"/>
                <w:color w:val="000000"/>
                <w:szCs w:val="21"/>
                <w:highlight w:val="none"/>
              </w:rPr>
              <w:t>5</w:t>
            </w:r>
            <w:r>
              <w:rPr>
                <w:color w:val="000000"/>
                <w:szCs w:val="21"/>
                <w:highlight w:val="none"/>
              </w:rPr>
              <w:t xml:space="preserve">    主要环境敏感目标一览表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662"/>
              <w:gridCol w:w="2688"/>
              <w:gridCol w:w="1720"/>
            </w:tblGrid>
            <w:tr w14:paraId="12C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center"/>
                </w:tcPr>
                <w:p w14:paraId="2E206278">
                  <w:pPr>
                    <w:pStyle w:val="25"/>
                    <w:rPr>
                      <w:color w:val="000000"/>
                      <w:highlight w:val="none"/>
                    </w:rPr>
                  </w:pPr>
                  <w:r>
                    <w:rPr>
                      <w:color w:val="000000"/>
                      <w:highlight w:val="none"/>
                    </w:rPr>
                    <w:t>要素</w:t>
                  </w:r>
                </w:p>
              </w:tc>
              <w:tc>
                <w:tcPr>
                  <w:tcW w:w="2662" w:type="dxa"/>
                  <w:noWrap w:val="0"/>
                  <w:vAlign w:val="center"/>
                </w:tcPr>
                <w:p w14:paraId="39F8F84C">
                  <w:pPr>
                    <w:pStyle w:val="25"/>
                    <w:rPr>
                      <w:color w:val="000000"/>
                      <w:highlight w:val="none"/>
                    </w:rPr>
                  </w:pPr>
                  <w:r>
                    <w:rPr>
                      <w:color w:val="000000"/>
                      <w:highlight w:val="none"/>
                    </w:rPr>
                    <w:t>环境保护目标</w:t>
                  </w:r>
                </w:p>
              </w:tc>
              <w:tc>
                <w:tcPr>
                  <w:tcW w:w="2688" w:type="dxa"/>
                  <w:noWrap w:val="0"/>
                  <w:vAlign w:val="center"/>
                </w:tcPr>
                <w:p w14:paraId="1006AB63">
                  <w:pPr>
                    <w:pStyle w:val="25"/>
                    <w:rPr>
                      <w:color w:val="000000"/>
                      <w:highlight w:val="none"/>
                    </w:rPr>
                  </w:pPr>
                  <w:r>
                    <w:rPr>
                      <w:color w:val="000000"/>
                      <w:highlight w:val="none"/>
                    </w:rPr>
                    <w:t>环境保护目标说明</w:t>
                  </w:r>
                </w:p>
              </w:tc>
              <w:tc>
                <w:tcPr>
                  <w:tcW w:w="1720" w:type="dxa"/>
                  <w:noWrap w:val="0"/>
                  <w:vAlign w:val="center"/>
                </w:tcPr>
                <w:p w14:paraId="407B7B0D">
                  <w:pPr>
                    <w:pStyle w:val="25"/>
                    <w:rPr>
                      <w:color w:val="000000"/>
                      <w:highlight w:val="none"/>
                    </w:rPr>
                  </w:pPr>
                  <w:r>
                    <w:rPr>
                      <w:color w:val="000000"/>
                      <w:highlight w:val="none"/>
                    </w:rPr>
                    <w:t>与项目区的关系</w:t>
                  </w:r>
                </w:p>
              </w:tc>
            </w:tr>
            <w:tr w14:paraId="6742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noWrap w:val="0"/>
                  <w:vAlign w:val="center"/>
                </w:tcPr>
                <w:p w14:paraId="503D9E68">
                  <w:pPr>
                    <w:pStyle w:val="25"/>
                    <w:rPr>
                      <w:color w:val="000000"/>
                      <w:kern w:val="2"/>
                      <w:highlight w:val="none"/>
                    </w:rPr>
                  </w:pPr>
                  <w:r>
                    <w:rPr>
                      <w:color w:val="000000"/>
                      <w:highlight w:val="none"/>
                    </w:rPr>
                    <w:t>生态环境</w:t>
                  </w:r>
                </w:p>
              </w:tc>
              <w:tc>
                <w:tcPr>
                  <w:tcW w:w="2662" w:type="dxa"/>
                  <w:noWrap w:val="0"/>
                  <w:vAlign w:val="center"/>
                </w:tcPr>
                <w:p w14:paraId="3A514B01">
                  <w:pPr>
                    <w:pStyle w:val="25"/>
                    <w:rPr>
                      <w:color w:val="000000"/>
                      <w:highlight w:val="none"/>
                    </w:rPr>
                  </w:pPr>
                  <w:r>
                    <w:rPr>
                      <w:color w:val="000000"/>
                      <w:highlight w:val="none"/>
                    </w:rPr>
                    <w:t>井场区植被</w:t>
                  </w:r>
                </w:p>
              </w:tc>
              <w:tc>
                <w:tcPr>
                  <w:tcW w:w="2688" w:type="dxa"/>
                  <w:noWrap w:val="0"/>
                  <w:vAlign w:val="center"/>
                </w:tcPr>
                <w:p w14:paraId="3AE9BCFE">
                  <w:pPr>
                    <w:pStyle w:val="25"/>
                    <w:rPr>
                      <w:color w:val="000000"/>
                      <w:kern w:val="2"/>
                      <w:highlight w:val="none"/>
                    </w:rPr>
                  </w:pPr>
                  <w:r>
                    <w:rPr>
                      <w:color w:val="000000"/>
                      <w:highlight w:val="none"/>
                    </w:rPr>
                    <w:t>按规定进行补偿；临时占地3～5年可基本恢复到自然状态</w:t>
                  </w:r>
                </w:p>
              </w:tc>
              <w:tc>
                <w:tcPr>
                  <w:tcW w:w="1720" w:type="dxa"/>
                  <w:vMerge w:val="restart"/>
                  <w:noWrap w:val="0"/>
                  <w:vAlign w:val="center"/>
                </w:tcPr>
                <w:p w14:paraId="375D6F7A">
                  <w:pPr>
                    <w:pStyle w:val="25"/>
                    <w:rPr>
                      <w:color w:val="000000"/>
                      <w:highlight w:val="none"/>
                    </w:rPr>
                  </w:pPr>
                  <w:r>
                    <w:rPr>
                      <w:color w:val="000000"/>
                      <w:highlight w:val="none"/>
                    </w:rPr>
                    <w:t>井场区占地</w:t>
                  </w:r>
                </w:p>
                <w:p w14:paraId="6EAD63D0">
                  <w:pPr>
                    <w:pStyle w:val="25"/>
                    <w:rPr>
                      <w:bCs/>
                      <w:color w:val="000000"/>
                      <w:kern w:val="2"/>
                      <w:highlight w:val="none"/>
                    </w:rPr>
                  </w:pPr>
                  <w:r>
                    <w:rPr>
                      <w:rFonts w:hint="eastAsia"/>
                      <w:bCs/>
                      <w:color w:val="000000"/>
                      <w:kern w:val="2"/>
                      <w:highlight w:val="none"/>
                    </w:rPr>
                    <w:t>莫173井占生态保护红线区面积56455</w:t>
                  </w:r>
                  <w:r>
                    <w:rPr>
                      <w:rFonts w:hint="eastAsia"/>
                      <w:bCs/>
                      <w:color w:val="000000"/>
                      <w:kern w:val="2"/>
                      <w:highlight w:val="none"/>
                      <w:lang w:val="en-US" w:eastAsia="zh-CN"/>
                    </w:rPr>
                    <w:t>m</w:t>
                  </w:r>
                  <w:r>
                    <w:rPr>
                      <w:rFonts w:hint="eastAsia"/>
                      <w:bCs/>
                      <w:color w:val="000000"/>
                      <w:kern w:val="2"/>
                      <w:highlight w:val="none"/>
                      <w:vertAlign w:val="superscript"/>
                      <w:lang w:val="en-US" w:eastAsia="zh-CN"/>
                    </w:rPr>
                    <w:t>2</w:t>
                  </w:r>
                  <w:r>
                    <w:rPr>
                      <w:rFonts w:hint="eastAsia"/>
                      <w:bCs/>
                      <w:color w:val="000000"/>
                      <w:kern w:val="2"/>
                      <w:highlight w:val="none"/>
                    </w:rPr>
                    <w:t>，临时占用</w:t>
                  </w:r>
                  <w:r>
                    <w:rPr>
                      <w:rFonts w:hint="default" w:ascii="Times New Roman" w:hAnsi="Times New Roman" w:cs="Times New Roman"/>
                      <w:bCs/>
                      <w:color w:val="000000"/>
                      <w:kern w:val="2"/>
                      <w:highlight w:val="none"/>
                    </w:rPr>
                    <w:t>国家特别规定灌木林地5.3889hm²，林地权属为国有林地，森林类别为国家级二级公益林地，林地保护等级为Ⅱ级保护林地，林地类型为防护林林地。</w:t>
                  </w:r>
                </w:p>
              </w:tc>
            </w:tr>
            <w:tr w14:paraId="54C7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14:paraId="6EE0571D">
                  <w:pPr>
                    <w:pStyle w:val="25"/>
                    <w:rPr>
                      <w:color w:val="000000"/>
                      <w:highlight w:val="none"/>
                    </w:rPr>
                  </w:pPr>
                </w:p>
              </w:tc>
              <w:tc>
                <w:tcPr>
                  <w:tcW w:w="2662" w:type="dxa"/>
                  <w:noWrap w:val="0"/>
                  <w:vAlign w:val="center"/>
                </w:tcPr>
                <w:p w14:paraId="6801CA74">
                  <w:pPr>
                    <w:pStyle w:val="25"/>
                    <w:rPr>
                      <w:color w:val="000000"/>
                      <w:highlight w:val="none"/>
                    </w:rPr>
                  </w:pPr>
                  <w:r>
                    <w:rPr>
                      <w:rFonts w:hint="eastAsia"/>
                      <w:color w:val="000000"/>
                      <w:highlight w:val="none"/>
                    </w:rPr>
                    <w:t>玛纳斯县土地沙化生态保护红线区</w:t>
                  </w:r>
                </w:p>
              </w:tc>
              <w:tc>
                <w:tcPr>
                  <w:tcW w:w="2688" w:type="dxa"/>
                  <w:noWrap w:val="0"/>
                  <w:vAlign w:val="center"/>
                </w:tcPr>
                <w:p w14:paraId="7CEC0EDD">
                  <w:pPr>
                    <w:pStyle w:val="25"/>
                    <w:rPr>
                      <w:color w:val="000000"/>
                      <w:highlight w:val="none"/>
                    </w:rPr>
                  </w:pPr>
                  <w:r>
                    <w:rPr>
                      <w:color w:val="000000"/>
                      <w:highlight w:val="none"/>
                    </w:rPr>
                    <w:t>保护项目区域荒漠生态系统完整性和稳定性，保护土壤环境质量，做好植被恢复与水土保持工作，使项目区现有生态环境不因本项目的建设受到破坏</w:t>
                  </w:r>
                </w:p>
              </w:tc>
              <w:tc>
                <w:tcPr>
                  <w:tcW w:w="1720" w:type="dxa"/>
                  <w:vMerge w:val="continue"/>
                  <w:noWrap w:val="0"/>
                  <w:vAlign w:val="center"/>
                </w:tcPr>
                <w:p w14:paraId="7C4CB77C">
                  <w:pPr>
                    <w:pStyle w:val="25"/>
                    <w:rPr>
                      <w:color w:val="000000"/>
                      <w:highlight w:val="none"/>
                    </w:rPr>
                  </w:pPr>
                </w:p>
              </w:tc>
            </w:tr>
            <w:tr w14:paraId="3DCB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noWrap w:val="0"/>
                  <w:vAlign w:val="center"/>
                </w:tcPr>
                <w:p w14:paraId="70B1C2A3">
                  <w:pPr>
                    <w:pStyle w:val="25"/>
                    <w:rPr>
                      <w:color w:val="000000"/>
                      <w:highlight w:val="none"/>
                    </w:rPr>
                  </w:pPr>
                </w:p>
              </w:tc>
              <w:tc>
                <w:tcPr>
                  <w:tcW w:w="2662" w:type="dxa"/>
                  <w:noWrap w:val="0"/>
                  <w:vAlign w:val="center"/>
                </w:tcPr>
                <w:p w14:paraId="1B2C3961">
                  <w:pPr>
                    <w:pStyle w:val="25"/>
                    <w:rPr>
                      <w:rFonts w:hint="eastAsia"/>
                      <w:color w:val="000000"/>
                      <w:highlight w:val="none"/>
                    </w:rPr>
                  </w:pPr>
                  <w:r>
                    <w:rPr>
                      <w:rFonts w:hint="eastAsia"/>
                      <w:color w:val="000000"/>
                      <w:highlight w:val="none"/>
                      <w:lang w:val="en-US" w:eastAsia="zh-CN"/>
                    </w:rPr>
                    <w:t>国家</w:t>
                  </w:r>
                  <w:r>
                    <w:rPr>
                      <w:rFonts w:hint="eastAsia"/>
                      <w:color w:val="000000"/>
                      <w:highlight w:val="none"/>
                    </w:rPr>
                    <w:t>公益林</w:t>
                  </w:r>
                </w:p>
              </w:tc>
              <w:tc>
                <w:tcPr>
                  <w:tcW w:w="2688" w:type="dxa"/>
                  <w:noWrap w:val="0"/>
                  <w:vAlign w:val="center"/>
                </w:tcPr>
                <w:p w14:paraId="03BA7272">
                  <w:pPr>
                    <w:pStyle w:val="25"/>
                    <w:rPr>
                      <w:rFonts w:hint="default" w:eastAsia="宋体"/>
                      <w:color w:val="000000"/>
                      <w:highlight w:val="none"/>
                      <w:lang w:val="en-US" w:eastAsia="zh-CN"/>
                    </w:rPr>
                  </w:pPr>
                  <w:r>
                    <w:rPr>
                      <w:rFonts w:hint="eastAsia"/>
                      <w:color w:val="000000"/>
                      <w:highlight w:val="none"/>
                      <w:lang w:val="en-US" w:eastAsia="zh-CN"/>
                    </w:rPr>
                    <w:t>依法办理征地补偿手续</w:t>
                  </w:r>
                </w:p>
              </w:tc>
              <w:tc>
                <w:tcPr>
                  <w:tcW w:w="1720" w:type="dxa"/>
                  <w:vMerge w:val="continue"/>
                  <w:noWrap w:val="0"/>
                  <w:vAlign w:val="center"/>
                </w:tcPr>
                <w:p w14:paraId="35448E77">
                  <w:pPr>
                    <w:pStyle w:val="25"/>
                    <w:rPr>
                      <w:color w:val="000000"/>
                      <w:highlight w:val="none"/>
                    </w:rPr>
                  </w:pPr>
                </w:p>
              </w:tc>
            </w:tr>
            <w:tr w14:paraId="4AF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3" w:type="dxa"/>
                  <w:vMerge w:val="continue"/>
                  <w:noWrap w:val="0"/>
                  <w:vAlign w:val="center"/>
                </w:tcPr>
                <w:p w14:paraId="286217AE">
                  <w:pPr>
                    <w:pStyle w:val="25"/>
                    <w:rPr>
                      <w:color w:val="000000"/>
                      <w:highlight w:val="none"/>
                    </w:rPr>
                  </w:pPr>
                </w:p>
              </w:tc>
              <w:tc>
                <w:tcPr>
                  <w:tcW w:w="2662" w:type="dxa"/>
                  <w:noWrap w:val="0"/>
                  <w:vAlign w:val="center"/>
                </w:tcPr>
                <w:p w14:paraId="643C10E9">
                  <w:pPr>
                    <w:pStyle w:val="25"/>
                    <w:rPr>
                      <w:rFonts w:hint="eastAsia"/>
                      <w:color w:val="000000"/>
                      <w:highlight w:val="none"/>
                    </w:rPr>
                  </w:pPr>
                  <w:r>
                    <w:rPr>
                      <w:rFonts w:hint="eastAsia"/>
                      <w:color w:val="000000"/>
                      <w:highlight w:val="none"/>
                    </w:rPr>
                    <w:t>国家</w:t>
                  </w:r>
                  <w:r>
                    <w:rPr>
                      <w:color w:val="000000"/>
                      <w:highlight w:val="none"/>
                    </w:rPr>
                    <w:t>Ⅰ级保护</w:t>
                  </w:r>
                  <w:r>
                    <w:rPr>
                      <w:rFonts w:hint="eastAsia"/>
                      <w:color w:val="000000"/>
                      <w:highlight w:val="none"/>
                    </w:rPr>
                    <w:t>动</w:t>
                  </w:r>
                  <w:r>
                    <w:rPr>
                      <w:color w:val="000000"/>
                      <w:highlight w:val="none"/>
                    </w:rPr>
                    <w:t>物：</w:t>
                  </w:r>
                  <w:r>
                    <w:rPr>
                      <w:rFonts w:hint="eastAsia"/>
                      <w:color w:val="000000"/>
                      <w:highlight w:val="none"/>
                    </w:rPr>
                    <w:t>狼、沙狐、兔狲、鹅喉羚</w:t>
                  </w:r>
                </w:p>
              </w:tc>
              <w:tc>
                <w:tcPr>
                  <w:tcW w:w="2688" w:type="dxa"/>
                  <w:noWrap w:val="0"/>
                  <w:vAlign w:val="center"/>
                </w:tcPr>
                <w:p w14:paraId="151ADECF">
                  <w:pPr>
                    <w:pStyle w:val="25"/>
                    <w:rPr>
                      <w:color w:val="000000"/>
                      <w:highlight w:val="none"/>
                    </w:rPr>
                  </w:pPr>
                  <w:r>
                    <w:rPr>
                      <w:color w:val="000000"/>
                      <w:highlight w:val="none"/>
                    </w:rPr>
                    <w:t>保护区域内野生动物</w:t>
                  </w:r>
                </w:p>
              </w:tc>
              <w:tc>
                <w:tcPr>
                  <w:tcW w:w="1720" w:type="dxa"/>
                  <w:vMerge w:val="continue"/>
                  <w:noWrap w:val="0"/>
                  <w:vAlign w:val="center"/>
                </w:tcPr>
                <w:p w14:paraId="7EBD0618">
                  <w:pPr>
                    <w:pStyle w:val="25"/>
                    <w:rPr>
                      <w:bCs/>
                      <w:color w:val="000000"/>
                      <w:kern w:val="2"/>
                      <w:highlight w:val="none"/>
                    </w:rPr>
                  </w:pPr>
                </w:p>
              </w:tc>
            </w:tr>
            <w:tr w14:paraId="6867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43" w:type="dxa"/>
                  <w:noWrap w:val="0"/>
                  <w:vAlign w:val="center"/>
                </w:tcPr>
                <w:p w14:paraId="70664682">
                  <w:pPr>
                    <w:pStyle w:val="25"/>
                    <w:rPr>
                      <w:color w:val="000000"/>
                      <w:kern w:val="2"/>
                      <w:highlight w:val="none"/>
                    </w:rPr>
                  </w:pPr>
                  <w:r>
                    <w:rPr>
                      <w:color w:val="000000"/>
                      <w:highlight w:val="none"/>
                    </w:rPr>
                    <w:t>水环境</w:t>
                  </w:r>
                </w:p>
              </w:tc>
              <w:tc>
                <w:tcPr>
                  <w:tcW w:w="2662" w:type="dxa"/>
                  <w:noWrap w:val="0"/>
                  <w:vAlign w:val="center"/>
                </w:tcPr>
                <w:p w14:paraId="16824FA3">
                  <w:pPr>
                    <w:pStyle w:val="25"/>
                    <w:rPr>
                      <w:color w:val="000000"/>
                      <w:highlight w:val="none"/>
                    </w:rPr>
                  </w:pPr>
                  <w:r>
                    <w:rPr>
                      <w:color w:val="000000"/>
                      <w:highlight w:val="none"/>
                    </w:rPr>
                    <w:t>地下水</w:t>
                  </w:r>
                </w:p>
              </w:tc>
              <w:tc>
                <w:tcPr>
                  <w:tcW w:w="2688" w:type="dxa"/>
                  <w:noWrap w:val="0"/>
                  <w:vAlign w:val="center"/>
                </w:tcPr>
                <w:p w14:paraId="226D020C">
                  <w:pPr>
                    <w:pStyle w:val="25"/>
                    <w:rPr>
                      <w:color w:val="000000"/>
                      <w:kern w:val="2"/>
                      <w:highlight w:val="none"/>
                    </w:rPr>
                  </w:pPr>
                  <w:r>
                    <w:rPr>
                      <w:color w:val="000000"/>
                      <w:highlight w:val="none"/>
                    </w:rPr>
                    <w:t>确保地下水不受污染</w:t>
                  </w:r>
                </w:p>
              </w:tc>
              <w:tc>
                <w:tcPr>
                  <w:tcW w:w="1720" w:type="dxa"/>
                  <w:noWrap w:val="0"/>
                  <w:vAlign w:val="center"/>
                </w:tcPr>
                <w:p w14:paraId="7D5E263D">
                  <w:pPr>
                    <w:pStyle w:val="25"/>
                    <w:rPr>
                      <w:rFonts w:hint="eastAsia"/>
                      <w:color w:val="000000"/>
                      <w:kern w:val="2"/>
                      <w:highlight w:val="none"/>
                    </w:rPr>
                  </w:pPr>
                  <w:r>
                    <w:rPr>
                      <w:rFonts w:hint="eastAsia"/>
                      <w:color w:val="000000"/>
                      <w:highlight w:val="none"/>
                    </w:rPr>
                    <w:t>井场区</w:t>
                  </w:r>
                </w:p>
              </w:tc>
            </w:tr>
            <w:tr w14:paraId="1043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43" w:type="dxa"/>
                  <w:noWrap w:val="0"/>
                  <w:vAlign w:val="center"/>
                </w:tcPr>
                <w:p w14:paraId="4F082D00">
                  <w:pPr>
                    <w:rPr>
                      <w:color w:val="000000"/>
                      <w:sz w:val="21"/>
                      <w:szCs w:val="21"/>
                      <w:highlight w:val="none"/>
                    </w:rPr>
                  </w:pPr>
                  <w:r>
                    <w:rPr>
                      <w:color w:val="000000"/>
                      <w:sz w:val="21"/>
                      <w:szCs w:val="21"/>
                      <w:highlight w:val="none"/>
                    </w:rPr>
                    <w:t>大气环境</w:t>
                  </w:r>
                </w:p>
              </w:tc>
              <w:tc>
                <w:tcPr>
                  <w:tcW w:w="2662" w:type="dxa"/>
                  <w:noWrap w:val="0"/>
                  <w:vAlign w:val="center"/>
                </w:tcPr>
                <w:p w14:paraId="1D9D5B85">
                  <w:pPr>
                    <w:rPr>
                      <w:color w:val="000000"/>
                      <w:sz w:val="21"/>
                      <w:szCs w:val="21"/>
                      <w:highlight w:val="none"/>
                    </w:rPr>
                  </w:pPr>
                  <w:r>
                    <w:rPr>
                      <w:color w:val="000000"/>
                      <w:sz w:val="21"/>
                      <w:szCs w:val="21"/>
                      <w:highlight w:val="none"/>
                    </w:rPr>
                    <w:t>项目区大气</w:t>
                  </w:r>
                </w:p>
              </w:tc>
              <w:tc>
                <w:tcPr>
                  <w:tcW w:w="2688" w:type="dxa"/>
                  <w:noWrap w:val="0"/>
                  <w:vAlign w:val="center"/>
                </w:tcPr>
                <w:p w14:paraId="37897254">
                  <w:pPr>
                    <w:rPr>
                      <w:color w:val="000000"/>
                      <w:sz w:val="21"/>
                      <w:szCs w:val="21"/>
                      <w:highlight w:val="none"/>
                    </w:rPr>
                  </w:pPr>
                  <w:r>
                    <w:rPr>
                      <w:color w:val="000000"/>
                      <w:sz w:val="21"/>
                      <w:szCs w:val="21"/>
                      <w:highlight w:val="none"/>
                    </w:rPr>
                    <w:t>《环境空气质量标准》（GB3095-2012）二级标准及其修改单</w:t>
                  </w:r>
                </w:p>
              </w:tc>
              <w:tc>
                <w:tcPr>
                  <w:tcW w:w="1720" w:type="dxa"/>
                  <w:noWrap w:val="0"/>
                  <w:vAlign w:val="center"/>
                </w:tcPr>
                <w:p w14:paraId="16343895">
                  <w:pPr>
                    <w:rPr>
                      <w:rFonts w:hint="eastAsia"/>
                      <w:color w:val="000000"/>
                      <w:sz w:val="21"/>
                      <w:szCs w:val="21"/>
                      <w:highlight w:val="none"/>
                    </w:rPr>
                  </w:pPr>
                  <w:r>
                    <w:rPr>
                      <w:color w:val="000000"/>
                      <w:sz w:val="21"/>
                      <w:szCs w:val="21"/>
                      <w:highlight w:val="none"/>
                    </w:rPr>
                    <w:t>井场区</w:t>
                  </w:r>
                </w:p>
              </w:tc>
            </w:tr>
          </w:tbl>
          <w:p w14:paraId="2E17D13A">
            <w:pPr>
              <w:pStyle w:val="4"/>
              <w:jc w:val="both"/>
              <w:rPr>
                <w:color w:val="000000"/>
                <w:highlight w:val="none"/>
              </w:rPr>
            </w:pPr>
            <w:r>
              <w:rPr>
                <w:color w:val="000000"/>
                <w:highlight w:val="none"/>
              </w:rPr>
              <w:t>2 保护要求</w:t>
            </w:r>
          </w:p>
          <w:p w14:paraId="38608A49">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ascii="Times New Roman" w:hAnsi="Times New Roman"/>
                <w:color w:val="000000"/>
                <w:sz w:val="24"/>
                <w:szCs w:val="24"/>
                <w:highlight w:val="none"/>
              </w:rPr>
            </w:pPr>
            <w:r>
              <w:rPr>
                <w:rFonts w:ascii="Times New Roman" w:hAnsi="Times New Roman"/>
                <w:color w:val="000000"/>
                <w:sz w:val="24"/>
                <w:szCs w:val="21"/>
                <w:highlight w:val="none"/>
              </w:rPr>
              <w:t>（</w:t>
            </w:r>
            <w:r>
              <w:rPr>
                <w:rFonts w:ascii="Times New Roman" w:hAnsi="Times New Roman"/>
                <w:color w:val="000000"/>
                <w:sz w:val="24"/>
                <w:szCs w:val="24"/>
                <w:highlight w:val="none"/>
              </w:rPr>
              <w:t>1）保护项目所在区域的空气质量，保持现有空气质量级别，不因本项目的建设降低环境空气质量；</w:t>
            </w:r>
          </w:p>
          <w:p w14:paraId="7A64A587">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ascii="Times New Roman" w:hAnsi="Times New Roman"/>
                <w:color w:val="000000"/>
                <w:sz w:val="24"/>
                <w:szCs w:val="24"/>
                <w:highlight w:val="none"/>
              </w:rPr>
            </w:pPr>
            <w:r>
              <w:rPr>
                <w:rFonts w:ascii="Times New Roman" w:hAnsi="Times New Roman"/>
                <w:color w:val="000000"/>
                <w:sz w:val="24"/>
                <w:szCs w:val="24"/>
                <w:highlight w:val="none"/>
              </w:rPr>
              <w:t>（2）保护项目所在区域地下水质量保持在现有水平，不受本项目所排废水的影响；</w:t>
            </w:r>
          </w:p>
          <w:p w14:paraId="647D43D6">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ascii="Times New Roman" w:hAnsi="Times New Roman"/>
                <w:color w:val="000000"/>
                <w:sz w:val="24"/>
                <w:szCs w:val="24"/>
                <w:highlight w:val="none"/>
              </w:rPr>
            </w:pPr>
            <w:r>
              <w:rPr>
                <w:rFonts w:ascii="Times New Roman" w:hAnsi="Times New Roman"/>
                <w:color w:val="000000"/>
                <w:sz w:val="24"/>
                <w:szCs w:val="24"/>
                <w:highlight w:val="none"/>
              </w:rPr>
              <w:t>（3）保护项目区声环境质量现状，符合《声环境质量标准》（GB3096-2008）中2类声环境功能限值；</w:t>
            </w:r>
          </w:p>
          <w:p w14:paraId="73473BFF">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ascii="Times New Roman" w:hAnsi="Times New Roman"/>
                <w:color w:val="000000"/>
                <w:sz w:val="24"/>
                <w:szCs w:val="24"/>
                <w:highlight w:val="none"/>
              </w:rPr>
            </w:pPr>
            <w:r>
              <w:rPr>
                <w:rFonts w:ascii="Times New Roman" w:hAnsi="Times New Roman"/>
                <w:color w:val="000000"/>
                <w:sz w:val="24"/>
                <w:szCs w:val="24"/>
                <w:highlight w:val="none"/>
              </w:rPr>
              <w:t>（4）生态环境保护目标：本项目需保护项目区生态环境，使项目的建成不对项目区生态环境产生不利影响；</w:t>
            </w:r>
          </w:p>
          <w:p w14:paraId="19388745">
            <w:pPr>
              <w:pStyle w:val="24"/>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color w:val="000000"/>
                <w:kern w:val="0"/>
                <w:szCs w:val="21"/>
                <w:highlight w:val="none"/>
              </w:rPr>
            </w:pPr>
            <w:r>
              <w:rPr>
                <w:rFonts w:ascii="Times New Roman" w:hAnsi="Times New Roman"/>
                <w:color w:val="000000"/>
                <w:kern w:val="0"/>
                <w:sz w:val="24"/>
                <w:szCs w:val="24"/>
                <w:highlight w:val="none"/>
              </w:rPr>
              <w:t>（5）土壤环境质量可按</w:t>
            </w:r>
            <w:r>
              <w:rPr>
                <w:rFonts w:ascii="Times New Roman" w:hAnsi="Times New Roman"/>
                <w:color w:val="000000"/>
                <w:sz w:val="24"/>
                <w:szCs w:val="24"/>
                <w:highlight w:val="none"/>
              </w:rPr>
              <w:t>《土壤环境质量建设用地土壤污染风险管控标准（试行）》（GB36600-2018）中筛选值中第二类用地的限值要求</w:t>
            </w:r>
            <w:r>
              <w:rPr>
                <w:rFonts w:ascii="Times New Roman" w:hAnsi="Times New Roman"/>
                <w:color w:val="000000"/>
                <w:kern w:val="0"/>
                <w:sz w:val="24"/>
                <w:szCs w:val="24"/>
                <w:highlight w:val="none"/>
              </w:rPr>
              <w:t>控制。</w:t>
            </w:r>
          </w:p>
        </w:tc>
      </w:tr>
      <w:tr w14:paraId="7C3C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01DDA17E">
            <w:pPr>
              <w:rPr>
                <w:color w:val="000000"/>
                <w:kern w:val="0"/>
                <w:szCs w:val="21"/>
                <w:highlight w:val="none"/>
              </w:rPr>
            </w:pPr>
            <w:r>
              <w:rPr>
                <w:color w:val="000000"/>
                <w:kern w:val="0"/>
                <w:szCs w:val="21"/>
                <w:highlight w:val="none"/>
              </w:rPr>
              <w:t>评价</w:t>
            </w:r>
          </w:p>
          <w:p w14:paraId="555E695F">
            <w:pPr>
              <w:rPr>
                <w:color w:val="000000"/>
                <w:kern w:val="0"/>
                <w:szCs w:val="21"/>
                <w:highlight w:val="none"/>
              </w:rPr>
            </w:pPr>
            <w:r>
              <w:rPr>
                <w:color w:val="000000"/>
                <w:kern w:val="0"/>
                <w:szCs w:val="21"/>
                <w:highlight w:val="none"/>
              </w:rPr>
              <w:t>标准</w:t>
            </w:r>
          </w:p>
        </w:tc>
        <w:tc>
          <w:tcPr>
            <w:tcW w:w="8239" w:type="dxa"/>
            <w:noWrap w:val="0"/>
            <w:vAlign w:val="center"/>
          </w:tcPr>
          <w:p w14:paraId="7EBFB55C">
            <w:pPr>
              <w:pStyle w:val="4"/>
              <w:rPr>
                <w:color w:val="000000"/>
                <w:highlight w:val="none"/>
              </w:rPr>
            </w:pPr>
            <w:r>
              <w:rPr>
                <w:color w:val="000000"/>
                <w:highlight w:val="none"/>
              </w:rPr>
              <w:t>1 环境质量标准</w:t>
            </w:r>
          </w:p>
          <w:p w14:paraId="244FDA41">
            <w:pPr>
              <w:numPr>
                <w:ilvl w:val="0"/>
                <w:numId w:val="6"/>
              </w:numPr>
              <w:spacing w:line="360" w:lineRule="auto"/>
              <w:ind w:firstLine="480" w:firstLineChars="200"/>
              <w:jc w:val="both"/>
              <w:rPr>
                <w:color w:val="000000"/>
                <w:highlight w:val="none"/>
              </w:rPr>
            </w:pPr>
            <w:r>
              <w:rPr>
                <w:color w:val="000000"/>
                <w:highlight w:val="none"/>
              </w:rPr>
              <w:t>大气环境：《环境空气质量标准》（GB3095-2012）及修改单中二级标准；非甲烷总烃参照《大气污染物综合排放标准详解》中推荐值2.0mg/m</w:t>
            </w:r>
            <w:r>
              <w:rPr>
                <w:color w:val="000000"/>
                <w:highlight w:val="none"/>
                <w:vertAlign w:val="superscript"/>
              </w:rPr>
              <w:t>3</w:t>
            </w:r>
            <w:r>
              <w:rPr>
                <w:color w:val="000000"/>
                <w:highlight w:val="none"/>
              </w:rPr>
              <w:t>执行；</w:t>
            </w:r>
          </w:p>
          <w:p w14:paraId="7CE88A88">
            <w:pPr>
              <w:numPr>
                <w:ilvl w:val="0"/>
                <w:numId w:val="6"/>
              </w:numPr>
              <w:spacing w:line="360" w:lineRule="auto"/>
              <w:ind w:firstLine="480" w:firstLineChars="200"/>
              <w:jc w:val="both"/>
              <w:rPr>
                <w:color w:val="000000"/>
                <w:highlight w:val="none"/>
              </w:rPr>
            </w:pPr>
            <w:r>
              <w:rPr>
                <w:color w:val="000000"/>
                <w:highlight w:val="none"/>
              </w:rPr>
              <w:t>声环境：《声环境质量标准》（GB3096-2008）中2类标准；</w:t>
            </w:r>
          </w:p>
          <w:p w14:paraId="0EE025A6">
            <w:pPr>
              <w:numPr>
                <w:ilvl w:val="0"/>
                <w:numId w:val="6"/>
              </w:numPr>
              <w:spacing w:line="360" w:lineRule="auto"/>
              <w:ind w:firstLine="480" w:firstLineChars="200"/>
              <w:jc w:val="both"/>
              <w:rPr>
                <w:color w:val="000000"/>
                <w:highlight w:val="none"/>
              </w:rPr>
            </w:pPr>
            <w:r>
              <w:rPr>
                <w:color w:val="000000"/>
                <w:highlight w:val="none"/>
              </w:rPr>
              <w:t>土壤环境：</w:t>
            </w:r>
            <w:r>
              <w:rPr>
                <w:color w:val="000000"/>
                <w:kern w:val="0"/>
                <w:highlight w:val="none"/>
              </w:rPr>
              <w:t>《土壤环境质量</w:t>
            </w:r>
            <w:r>
              <w:rPr>
                <w:rFonts w:hint="eastAsia"/>
                <w:color w:val="000000"/>
                <w:kern w:val="0"/>
                <w:highlight w:val="none"/>
              </w:rPr>
              <w:t xml:space="preserve"> </w:t>
            </w:r>
            <w:r>
              <w:rPr>
                <w:color w:val="000000"/>
                <w:kern w:val="0"/>
                <w:highlight w:val="none"/>
              </w:rPr>
              <w:t>建设用地土壤污染风险管控标准（试行）》（GB36600-2018）表1中第二类用地筛选值要求</w:t>
            </w:r>
            <w:r>
              <w:rPr>
                <w:rFonts w:hint="eastAsia"/>
                <w:color w:val="000000"/>
                <w:kern w:val="0"/>
                <w:highlight w:val="none"/>
              </w:rPr>
              <w:t>；</w:t>
            </w:r>
          </w:p>
          <w:p w14:paraId="072A2DDF">
            <w:pPr>
              <w:numPr>
                <w:ilvl w:val="0"/>
                <w:numId w:val="6"/>
              </w:numPr>
              <w:spacing w:line="360" w:lineRule="auto"/>
              <w:ind w:firstLine="480" w:firstLineChars="200"/>
              <w:jc w:val="both"/>
              <w:rPr>
                <w:color w:val="000000"/>
                <w:highlight w:val="none"/>
              </w:rPr>
            </w:pPr>
            <w:r>
              <w:rPr>
                <w:color w:val="000000"/>
                <w:highlight w:val="none"/>
              </w:rPr>
              <w:t>地下水环境：《地下水质量标准》（GB/T14848-2017）中的Ⅲ类标准。</w:t>
            </w:r>
          </w:p>
          <w:p w14:paraId="0C8857A9">
            <w:pPr>
              <w:pStyle w:val="4"/>
              <w:rPr>
                <w:color w:val="000000"/>
                <w:highlight w:val="none"/>
              </w:rPr>
            </w:pPr>
            <w:r>
              <w:rPr>
                <w:color w:val="000000"/>
                <w:highlight w:val="none"/>
              </w:rPr>
              <w:t>2 污染物排放标准</w:t>
            </w:r>
          </w:p>
          <w:p w14:paraId="4EAECDB0">
            <w:pPr>
              <w:spacing w:line="360" w:lineRule="auto"/>
              <w:ind w:firstLine="480" w:firstLineChars="200"/>
              <w:jc w:val="both"/>
              <w:rPr>
                <w:color w:val="000000"/>
                <w:highlight w:val="none"/>
              </w:rPr>
            </w:pPr>
            <w:r>
              <w:rPr>
                <w:color w:val="000000"/>
                <w:highlight w:val="none"/>
              </w:rPr>
              <w:t>（1）《大气污染物综合排放标准》（GB16297-1996）表2的颗粒物无组织排放限值；</w:t>
            </w:r>
          </w:p>
          <w:p w14:paraId="04228B3A">
            <w:pPr>
              <w:spacing w:line="360" w:lineRule="auto"/>
              <w:ind w:firstLine="480" w:firstLineChars="200"/>
              <w:jc w:val="both"/>
              <w:rPr>
                <w:color w:val="000000"/>
                <w:highlight w:val="none"/>
              </w:rPr>
            </w:pPr>
            <w:r>
              <w:rPr>
                <w:color w:val="000000"/>
                <w:highlight w:val="none"/>
              </w:rPr>
              <w:t>（2）试油期无组织非甲烷总烃执行《陆上石油天然气开采工业大气污染物排放标准》（GB39728-2020）、NOx和颗粒物执行《大气污染物综合排放标准》（GB16297-1996）表2的无组织排放限值要求；</w:t>
            </w:r>
          </w:p>
          <w:p w14:paraId="698E8E6F">
            <w:pPr>
              <w:spacing w:line="360" w:lineRule="auto"/>
              <w:ind w:firstLine="480" w:firstLineChars="200"/>
              <w:jc w:val="both"/>
              <w:rPr>
                <w:color w:val="000000"/>
                <w:highlight w:val="none"/>
              </w:rPr>
            </w:pPr>
            <w:r>
              <w:rPr>
                <w:color w:val="000000"/>
                <w:highlight w:val="none"/>
              </w:rPr>
              <w:t>（3）生产废水执行《碎屑岩油藏注水水质指标技术要求及分析方法》（SY/T5329-2022）表1推荐水质主要控制指标要求；</w:t>
            </w:r>
          </w:p>
          <w:p w14:paraId="188A2EAA">
            <w:pPr>
              <w:spacing w:line="360" w:lineRule="auto"/>
              <w:ind w:firstLine="480" w:firstLineChars="200"/>
              <w:jc w:val="both"/>
              <w:rPr>
                <w:color w:val="000000"/>
                <w:highlight w:val="none"/>
              </w:rPr>
            </w:pPr>
            <w:r>
              <w:rPr>
                <w:color w:val="000000"/>
                <w:highlight w:val="none"/>
              </w:rPr>
              <w:t>（4）柴油发电机无组织废气执行《非道路柴油移动机械污染物排放控制技术要求》（HJ1014-2020）；</w:t>
            </w:r>
          </w:p>
          <w:p w14:paraId="03810150">
            <w:pPr>
              <w:spacing w:line="360" w:lineRule="auto"/>
              <w:ind w:firstLine="480" w:firstLineChars="200"/>
              <w:jc w:val="both"/>
              <w:rPr>
                <w:color w:val="000000"/>
                <w:highlight w:val="none"/>
              </w:rPr>
            </w:pPr>
            <w:r>
              <w:rPr>
                <w:color w:val="000000"/>
                <w:highlight w:val="none"/>
              </w:rPr>
              <w:t>（5）施工期施工噪声执行《建筑施工场界环境噪声排放标准》（GB12523-2011）中表1排放限值；</w:t>
            </w:r>
          </w:p>
          <w:p w14:paraId="59C8BF9A">
            <w:pPr>
              <w:spacing w:line="360" w:lineRule="auto"/>
              <w:ind w:firstLine="480" w:firstLineChars="200"/>
              <w:jc w:val="both"/>
              <w:rPr>
                <w:color w:val="000000"/>
                <w:highlight w:val="none"/>
              </w:rPr>
            </w:pPr>
            <w:r>
              <w:rPr>
                <w:color w:val="000000"/>
                <w:highlight w:val="none"/>
              </w:rPr>
              <w:t>（6）水基钻井岩屑执行《一般工业固体废物贮存和填埋污染控制标准》（GB18599-2020）标准要求；</w:t>
            </w:r>
          </w:p>
          <w:p w14:paraId="4BDB033B">
            <w:pPr>
              <w:spacing w:line="360" w:lineRule="auto"/>
              <w:ind w:firstLine="480" w:firstLineChars="200"/>
              <w:jc w:val="both"/>
              <w:rPr>
                <w:color w:val="000000"/>
                <w:highlight w:val="none"/>
              </w:rPr>
            </w:pPr>
            <w:r>
              <w:rPr>
                <w:color w:val="000000"/>
                <w:highlight w:val="none"/>
              </w:rPr>
              <w:t>（7）油基岩屑、含油污泥执行《油气田含油污泥及钻井固体废物处理处置技术规范》（DB65/T3999-2017）标准要求；</w:t>
            </w:r>
          </w:p>
          <w:p w14:paraId="076E6566">
            <w:pPr>
              <w:spacing w:line="360" w:lineRule="auto"/>
              <w:ind w:firstLine="480" w:firstLineChars="200"/>
              <w:jc w:val="both"/>
              <w:rPr>
                <w:color w:val="000000"/>
                <w:highlight w:val="none"/>
              </w:rPr>
            </w:pPr>
            <w:r>
              <w:rPr>
                <w:color w:val="000000"/>
                <w:highlight w:val="none"/>
              </w:rPr>
              <w:t>（8）钻井固体废物执行《油气田钻井固体废物综合利用污染控制要求》（DB65/T 3997-2017）标准要求。</w:t>
            </w:r>
          </w:p>
        </w:tc>
      </w:tr>
      <w:tr w14:paraId="6B32E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8" w:type="dxa"/>
            <w:noWrap w:val="0"/>
            <w:vAlign w:val="center"/>
          </w:tcPr>
          <w:p w14:paraId="6D839459">
            <w:pPr>
              <w:rPr>
                <w:color w:val="000000"/>
                <w:kern w:val="0"/>
                <w:szCs w:val="21"/>
                <w:highlight w:val="none"/>
              </w:rPr>
            </w:pPr>
            <w:r>
              <w:rPr>
                <w:color w:val="000000"/>
                <w:kern w:val="0"/>
                <w:szCs w:val="21"/>
                <w:highlight w:val="none"/>
              </w:rPr>
              <w:t>其他</w:t>
            </w:r>
          </w:p>
        </w:tc>
        <w:tc>
          <w:tcPr>
            <w:tcW w:w="8239" w:type="dxa"/>
            <w:noWrap w:val="0"/>
            <w:vAlign w:val="center"/>
          </w:tcPr>
          <w:p w14:paraId="2057ED73">
            <w:pPr>
              <w:spacing w:line="360" w:lineRule="auto"/>
              <w:rPr>
                <w:color w:val="000000"/>
                <w:kern w:val="0"/>
                <w:szCs w:val="21"/>
                <w:highlight w:val="none"/>
              </w:rPr>
            </w:pPr>
            <w:r>
              <w:rPr>
                <w:color w:val="000000"/>
                <w:kern w:val="0"/>
                <w:szCs w:val="21"/>
                <w:highlight w:val="none"/>
              </w:rPr>
              <w:t>无</w:t>
            </w:r>
          </w:p>
        </w:tc>
      </w:tr>
    </w:tbl>
    <w:p w14:paraId="39E2338B">
      <w:pPr>
        <w:pStyle w:val="14"/>
        <w:spacing w:before="0" w:beforeAutospacing="0" w:after="0" w:afterAutospacing="0" w:line="14" w:lineRule="auto"/>
        <w:jc w:val="center"/>
        <w:rPr>
          <w:rFonts w:ascii="Times New Roman" w:hAnsi="Times New Roman"/>
          <w:snapToGrid w:val="0"/>
          <w:color w:val="000000"/>
          <w:kern w:val="2"/>
          <w:sz w:val="36"/>
          <w:szCs w:val="36"/>
          <w:highlight w:val="none"/>
        </w:rPr>
      </w:pPr>
    </w:p>
    <w:p w14:paraId="27CD3B7B">
      <w:pPr>
        <w:pStyle w:val="14"/>
        <w:jc w:val="center"/>
        <w:outlineLvl w:val="0"/>
        <w:rPr>
          <w:rFonts w:ascii="Times New Roman" w:hAnsi="Times New Roman"/>
          <w:snapToGrid w:val="0"/>
          <w:color w:val="000000"/>
          <w:sz w:val="30"/>
          <w:szCs w:val="30"/>
          <w:highlight w:val="none"/>
        </w:rPr>
      </w:pPr>
      <w:r>
        <w:rPr>
          <w:rFonts w:ascii="Times New Roman" w:hAnsi="Times New Roman"/>
          <w:snapToGrid w:val="0"/>
          <w:color w:val="000000"/>
          <w:kern w:val="2"/>
          <w:sz w:val="36"/>
          <w:szCs w:val="36"/>
          <w:highlight w:val="none"/>
        </w:rPr>
        <w:br w:type="page"/>
      </w:r>
      <w:r>
        <w:rPr>
          <w:rFonts w:ascii="Times New Roman" w:hAnsi="Times New Roman" w:eastAsia="黑体"/>
          <w:snapToGrid w:val="0"/>
          <w:color w:val="000000"/>
          <w:sz w:val="30"/>
          <w:szCs w:val="30"/>
          <w:highlight w:val="none"/>
        </w:rPr>
        <w:t>四、生态环境影响分析</w:t>
      </w:r>
    </w:p>
    <w:tbl>
      <w:tblPr>
        <w:tblStyle w:val="16"/>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713"/>
      </w:tblGrid>
      <w:tr w14:paraId="0DA8E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879" w:type="dxa"/>
            <w:noWrap w:val="0"/>
            <w:tcMar>
              <w:left w:w="28" w:type="dxa"/>
              <w:right w:w="28" w:type="dxa"/>
            </w:tcMar>
            <w:vAlign w:val="center"/>
          </w:tcPr>
          <w:p w14:paraId="7E61E088">
            <w:pPr>
              <w:pStyle w:val="14"/>
              <w:spacing w:before="0" w:beforeAutospacing="0" w:after="0" w:afterAutospacing="0"/>
              <w:jc w:val="center"/>
              <w:rPr>
                <w:rFonts w:ascii="Times New Roman" w:hAnsi="Times New Roman"/>
                <w:bCs/>
                <w:color w:val="000000"/>
                <w:kern w:val="2"/>
                <w:highlight w:val="none"/>
              </w:rPr>
            </w:pPr>
            <w:bookmarkStart w:id="14" w:name="_Hlk49796138"/>
            <w:r>
              <w:rPr>
                <w:rFonts w:ascii="Times New Roman" w:hAnsi="Times New Roman"/>
                <w:bCs/>
                <w:color w:val="000000"/>
                <w:spacing w:val="10"/>
                <w:kern w:val="2"/>
                <w:highlight w:val="none"/>
              </w:rPr>
              <w:t>施工期生态环境影响分析</w:t>
            </w:r>
            <w:bookmarkEnd w:id="14"/>
          </w:p>
        </w:tc>
        <w:tc>
          <w:tcPr>
            <w:tcW w:w="8363" w:type="dxa"/>
            <w:noWrap w:val="0"/>
            <w:vAlign w:val="top"/>
          </w:tcPr>
          <w:p w14:paraId="28C0BEF9">
            <w:pPr>
              <w:pStyle w:val="3"/>
              <w:rPr>
                <w:color w:val="000000"/>
                <w:szCs w:val="24"/>
                <w:highlight w:val="none"/>
              </w:rPr>
            </w:pPr>
            <w:r>
              <w:rPr>
                <w:color w:val="000000"/>
                <w:szCs w:val="24"/>
                <w:highlight w:val="none"/>
              </w:rPr>
              <w:t>施工期主要污染环节和因素：</w:t>
            </w:r>
          </w:p>
          <w:p w14:paraId="25BB363E">
            <w:pPr>
              <w:pStyle w:val="24"/>
              <w:rPr>
                <w:color w:val="000000"/>
                <w:sz w:val="24"/>
                <w:szCs w:val="21"/>
                <w:highlight w:val="none"/>
              </w:rPr>
            </w:pPr>
            <w:r>
              <w:rPr>
                <w:color w:val="000000"/>
                <w:sz w:val="24"/>
                <w:szCs w:val="21"/>
                <w:highlight w:val="none"/>
              </w:rPr>
              <w:t>本项目对环境的污染主要存在于钻井期、试油期污染物排放。</w:t>
            </w:r>
          </w:p>
          <w:p w14:paraId="6ED7696D">
            <w:pPr>
              <w:pStyle w:val="24"/>
              <w:rPr>
                <w:color w:val="000000"/>
                <w:highlight w:val="none"/>
              </w:rPr>
            </w:pPr>
            <w:r>
              <w:rPr>
                <w:color w:val="000000"/>
                <w:sz w:val="24"/>
                <w:szCs w:val="21"/>
                <w:highlight w:val="none"/>
              </w:rPr>
              <w:t>本项目污染源按作业持续时间分为临时性污染源、连续性污染源和间歇性污染源三大类，主要污染物见表</w:t>
            </w:r>
            <w:r>
              <w:rPr>
                <w:rFonts w:ascii="Times New Roman" w:hAnsi="Times New Roman"/>
                <w:color w:val="000000"/>
                <w:sz w:val="24"/>
                <w:szCs w:val="21"/>
                <w:highlight w:val="none"/>
              </w:rPr>
              <w:t>4-1</w:t>
            </w:r>
            <w:r>
              <w:rPr>
                <w:color w:val="000000"/>
                <w:sz w:val="24"/>
                <w:szCs w:val="21"/>
                <w:highlight w:val="none"/>
              </w:rPr>
              <w:t>。</w:t>
            </w:r>
          </w:p>
          <w:p w14:paraId="75981CB0">
            <w:pPr>
              <w:pStyle w:val="19"/>
              <w:rPr>
                <w:color w:val="000000"/>
                <w:szCs w:val="21"/>
                <w:highlight w:val="none"/>
              </w:rPr>
            </w:pPr>
            <w:r>
              <w:rPr>
                <w:color w:val="000000"/>
                <w:szCs w:val="21"/>
                <w:highlight w:val="none"/>
              </w:rPr>
              <w:t>表4-1  本项目主要环境影响因素</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348"/>
              <w:gridCol w:w="2722"/>
              <w:gridCol w:w="3450"/>
            </w:tblGrid>
            <w:tr w14:paraId="14C0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tcBorders>
                    <w:top w:val="single" w:color="auto" w:sz="4" w:space="0"/>
                    <w:left w:val="single" w:color="auto" w:sz="4" w:space="0"/>
                    <w:bottom w:val="single" w:color="auto" w:sz="4" w:space="0"/>
                    <w:right w:val="single" w:color="auto" w:sz="4" w:space="0"/>
                  </w:tcBorders>
                  <w:noWrap w:val="0"/>
                  <w:vAlign w:val="center"/>
                </w:tcPr>
                <w:p w14:paraId="40672CB0">
                  <w:pPr>
                    <w:pStyle w:val="25"/>
                    <w:rPr>
                      <w:b/>
                      <w:bCs/>
                      <w:color w:val="000000"/>
                      <w:highlight w:val="none"/>
                    </w:rPr>
                  </w:pPr>
                  <w:r>
                    <w:rPr>
                      <w:b/>
                      <w:bCs/>
                      <w:color w:val="000000"/>
                      <w:highlight w:val="none"/>
                    </w:rPr>
                    <w:t>阶段</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5CAAA950">
                  <w:pPr>
                    <w:pStyle w:val="25"/>
                    <w:rPr>
                      <w:b/>
                      <w:bCs/>
                      <w:color w:val="000000"/>
                      <w:highlight w:val="none"/>
                    </w:rPr>
                  </w:pPr>
                  <w:r>
                    <w:rPr>
                      <w:b/>
                      <w:bCs/>
                      <w:color w:val="000000"/>
                      <w:highlight w:val="none"/>
                    </w:rPr>
                    <w:t>污染物</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40B16122">
                  <w:pPr>
                    <w:pStyle w:val="25"/>
                    <w:rPr>
                      <w:b/>
                      <w:bCs/>
                      <w:color w:val="000000"/>
                      <w:highlight w:val="none"/>
                    </w:rPr>
                  </w:pPr>
                  <w:r>
                    <w:rPr>
                      <w:b/>
                      <w:bCs/>
                      <w:color w:val="000000"/>
                      <w:highlight w:val="none"/>
                    </w:rPr>
                    <w:t>产污环节</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62BD16CC">
                  <w:pPr>
                    <w:pStyle w:val="25"/>
                    <w:rPr>
                      <w:b/>
                      <w:bCs/>
                      <w:color w:val="000000"/>
                      <w:highlight w:val="none"/>
                    </w:rPr>
                  </w:pPr>
                  <w:r>
                    <w:rPr>
                      <w:b/>
                      <w:bCs/>
                      <w:color w:val="000000"/>
                      <w:highlight w:val="none"/>
                    </w:rPr>
                    <w:t>污染因子</w:t>
                  </w:r>
                </w:p>
              </w:tc>
            </w:tr>
            <w:tr w14:paraId="6A26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cBorders>
                  <w:noWrap w:val="0"/>
                  <w:vAlign w:val="center"/>
                </w:tcPr>
                <w:p w14:paraId="7AB60C52">
                  <w:pPr>
                    <w:pStyle w:val="25"/>
                    <w:rPr>
                      <w:color w:val="000000"/>
                      <w:highlight w:val="none"/>
                    </w:rPr>
                  </w:pPr>
                  <w:r>
                    <w:rPr>
                      <w:color w:val="000000"/>
                      <w:highlight w:val="none"/>
                    </w:rPr>
                    <w:t>钻井期</w:t>
                  </w:r>
                </w:p>
              </w:tc>
              <w:tc>
                <w:tcPr>
                  <w:tcW w:w="794" w:type="pct"/>
                  <w:vMerge w:val="restart"/>
                  <w:tcBorders>
                    <w:top w:val="single" w:color="auto" w:sz="4" w:space="0"/>
                    <w:left w:val="single" w:color="auto" w:sz="4" w:space="0"/>
                    <w:right w:val="single" w:color="auto" w:sz="4" w:space="0"/>
                  </w:tcBorders>
                  <w:noWrap w:val="0"/>
                  <w:vAlign w:val="center"/>
                </w:tcPr>
                <w:p w14:paraId="3C395225">
                  <w:pPr>
                    <w:pStyle w:val="25"/>
                    <w:rPr>
                      <w:color w:val="000000"/>
                      <w:highlight w:val="none"/>
                    </w:rPr>
                  </w:pPr>
                  <w:r>
                    <w:rPr>
                      <w:color w:val="000000"/>
                      <w:highlight w:val="none"/>
                    </w:rPr>
                    <w:t>废气</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4D2CC168">
                  <w:pPr>
                    <w:pStyle w:val="25"/>
                    <w:rPr>
                      <w:color w:val="000000"/>
                      <w:highlight w:val="none"/>
                    </w:rPr>
                  </w:pPr>
                  <w:r>
                    <w:rPr>
                      <w:color w:val="000000"/>
                      <w:highlight w:val="none"/>
                    </w:rPr>
                    <w:t>柴油机和柴油发电机</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60CB879C">
                  <w:pPr>
                    <w:pStyle w:val="25"/>
                    <w:rPr>
                      <w:color w:val="000000"/>
                      <w:highlight w:val="none"/>
                    </w:rPr>
                  </w:pPr>
                  <w:r>
                    <w:rPr>
                      <w:color w:val="000000"/>
                      <w:highlight w:val="none"/>
                    </w:rPr>
                    <w:t>SO</w:t>
                  </w:r>
                  <w:r>
                    <w:rPr>
                      <w:color w:val="000000"/>
                      <w:highlight w:val="none"/>
                      <w:vertAlign w:val="subscript"/>
                    </w:rPr>
                    <w:t>2</w:t>
                  </w:r>
                  <w:r>
                    <w:rPr>
                      <w:color w:val="000000"/>
                      <w:highlight w:val="none"/>
                    </w:rPr>
                    <w:t>、NOx、CO、总烃、PM</w:t>
                  </w:r>
                  <w:r>
                    <w:rPr>
                      <w:color w:val="000000"/>
                      <w:highlight w:val="none"/>
                      <w:vertAlign w:val="subscript"/>
                    </w:rPr>
                    <w:t>10</w:t>
                  </w:r>
                  <w:r>
                    <w:rPr>
                      <w:color w:val="000000"/>
                      <w:highlight w:val="none"/>
                    </w:rPr>
                    <w:t>、PM</w:t>
                  </w:r>
                  <w:r>
                    <w:rPr>
                      <w:color w:val="000000"/>
                      <w:highlight w:val="none"/>
                      <w:vertAlign w:val="subscript"/>
                    </w:rPr>
                    <w:t>2.5</w:t>
                  </w:r>
                </w:p>
              </w:tc>
            </w:tr>
            <w:tr w14:paraId="765D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184A975B">
                  <w:pPr>
                    <w:pStyle w:val="25"/>
                    <w:rPr>
                      <w:color w:val="000000"/>
                      <w:highlight w:val="none"/>
                    </w:rPr>
                  </w:pPr>
                </w:p>
              </w:tc>
              <w:tc>
                <w:tcPr>
                  <w:tcW w:w="794" w:type="pct"/>
                  <w:vMerge w:val="continue"/>
                  <w:tcBorders>
                    <w:left w:val="single" w:color="auto" w:sz="4" w:space="0"/>
                    <w:right w:val="single" w:color="auto" w:sz="4" w:space="0"/>
                  </w:tcBorders>
                  <w:noWrap w:val="0"/>
                  <w:vAlign w:val="center"/>
                </w:tcPr>
                <w:p w14:paraId="33055DC0">
                  <w:pPr>
                    <w:pStyle w:val="25"/>
                    <w:rPr>
                      <w:color w:val="000000"/>
                      <w:highlight w:val="none"/>
                    </w:rPr>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4D1C1BBA">
                  <w:pPr>
                    <w:pStyle w:val="25"/>
                    <w:rPr>
                      <w:color w:val="000000"/>
                      <w:highlight w:val="none"/>
                    </w:rPr>
                  </w:pPr>
                  <w:r>
                    <w:rPr>
                      <w:color w:val="000000"/>
                      <w:highlight w:val="none"/>
                    </w:rPr>
                    <w:t>施工扬尘、水基钻井岩屑暂存扬尘</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35AA02EA">
                  <w:pPr>
                    <w:pStyle w:val="25"/>
                    <w:rPr>
                      <w:color w:val="000000"/>
                      <w:highlight w:val="none"/>
                    </w:rPr>
                  </w:pPr>
                  <w:r>
                    <w:rPr>
                      <w:color w:val="000000"/>
                      <w:highlight w:val="none"/>
                    </w:rPr>
                    <w:t>颗粒物</w:t>
                  </w:r>
                </w:p>
              </w:tc>
            </w:tr>
            <w:tr w14:paraId="2822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648A852E">
                  <w:pPr>
                    <w:pStyle w:val="25"/>
                    <w:rPr>
                      <w:color w:val="000000"/>
                      <w:highlight w:val="none"/>
                    </w:rPr>
                  </w:pPr>
                </w:p>
              </w:tc>
              <w:tc>
                <w:tcPr>
                  <w:tcW w:w="794" w:type="pct"/>
                  <w:vMerge w:val="continue"/>
                  <w:tcBorders>
                    <w:left w:val="single" w:color="auto" w:sz="4" w:space="0"/>
                    <w:bottom w:val="single" w:color="auto" w:sz="4" w:space="0"/>
                    <w:right w:val="single" w:color="auto" w:sz="4" w:space="0"/>
                  </w:tcBorders>
                  <w:noWrap w:val="0"/>
                  <w:vAlign w:val="center"/>
                </w:tcPr>
                <w:p w14:paraId="1BC09718">
                  <w:pPr>
                    <w:pStyle w:val="25"/>
                    <w:rPr>
                      <w:color w:val="000000"/>
                      <w:highlight w:val="none"/>
                    </w:rPr>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6C3EB717">
                  <w:pPr>
                    <w:pStyle w:val="25"/>
                    <w:rPr>
                      <w:color w:val="000000"/>
                      <w:highlight w:val="none"/>
                    </w:rPr>
                  </w:pPr>
                  <w:r>
                    <w:rPr>
                      <w:color w:val="000000"/>
                      <w:highlight w:val="none"/>
                    </w:rPr>
                    <w:t>燃油机械废气、运输车辆尾气、柴油卸车及储存、油基岩屑储罐</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4E989515">
                  <w:pPr>
                    <w:pStyle w:val="25"/>
                    <w:rPr>
                      <w:color w:val="000000"/>
                      <w:highlight w:val="none"/>
                    </w:rPr>
                  </w:pPr>
                  <w:r>
                    <w:rPr>
                      <w:color w:val="000000"/>
                      <w:highlight w:val="none"/>
                    </w:rPr>
                    <w:t>总烃</w:t>
                  </w:r>
                </w:p>
              </w:tc>
            </w:tr>
            <w:tr w14:paraId="7826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54BDDD94">
                  <w:pPr>
                    <w:pStyle w:val="25"/>
                    <w:rPr>
                      <w:color w:val="000000"/>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B603716">
                  <w:pPr>
                    <w:pStyle w:val="25"/>
                    <w:rPr>
                      <w:color w:val="000000"/>
                      <w:highlight w:val="none"/>
                    </w:rPr>
                  </w:pPr>
                  <w:r>
                    <w:rPr>
                      <w:color w:val="000000"/>
                      <w:highlight w:val="none"/>
                    </w:rPr>
                    <w:t>废水</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163A897C">
                  <w:pPr>
                    <w:pStyle w:val="25"/>
                    <w:rPr>
                      <w:color w:val="000000"/>
                      <w:highlight w:val="none"/>
                    </w:rPr>
                  </w:pPr>
                  <w:r>
                    <w:rPr>
                      <w:color w:val="000000"/>
                      <w:highlight w:val="none"/>
                    </w:rPr>
                    <w:t>生活营地生活污水</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642257C7">
                  <w:pPr>
                    <w:pStyle w:val="25"/>
                    <w:rPr>
                      <w:color w:val="000000"/>
                      <w:highlight w:val="none"/>
                    </w:rPr>
                  </w:pPr>
                  <w:r>
                    <w:rPr>
                      <w:color w:val="000000"/>
                      <w:highlight w:val="none"/>
                    </w:rPr>
                    <w:t>COD、SS、氨氮、BOD</w:t>
                  </w:r>
                  <w:r>
                    <w:rPr>
                      <w:color w:val="000000"/>
                      <w:highlight w:val="none"/>
                      <w:vertAlign w:val="subscript"/>
                    </w:rPr>
                    <w:t>5</w:t>
                  </w:r>
                </w:p>
              </w:tc>
            </w:tr>
            <w:tr w14:paraId="55BB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5457066C">
                  <w:pPr>
                    <w:pStyle w:val="25"/>
                    <w:rPr>
                      <w:color w:val="000000"/>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1C5D498F">
                  <w:pPr>
                    <w:pStyle w:val="25"/>
                    <w:rPr>
                      <w:color w:val="000000"/>
                      <w:highlight w:val="none"/>
                    </w:rPr>
                  </w:pPr>
                  <w:r>
                    <w:rPr>
                      <w:color w:val="000000"/>
                      <w:highlight w:val="none"/>
                    </w:rPr>
                    <w:t>噪声</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6D40C0B1">
                  <w:pPr>
                    <w:pStyle w:val="25"/>
                    <w:rPr>
                      <w:color w:val="000000"/>
                      <w:highlight w:val="none"/>
                    </w:rPr>
                  </w:pPr>
                  <w:r>
                    <w:rPr>
                      <w:color w:val="000000"/>
                      <w:highlight w:val="none"/>
                    </w:rPr>
                    <w:t>动力设备、施工作业</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67C74614">
                  <w:pPr>
                    <w:pStyle w:val="25"/>
                    <w:rPr>
                      <w:color w:val="000000"/>
                      <w:highlight w:val="none"/>
                    </w:rPr>
                  </w:pPr>
                  <w:r>
                    <w:rPr>
                      <w:color w:val="000000"/>
                      <w:highlight w:val="none"/>
                    </w:rPr>
                    <w:t>等效连续A声级</w:t>
                  </w:r>
                </w:p>
              </w:tc>
            </w:tr>
            <w:tr w14:paraId="1899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2F74AAF1">
                  <w:pPr>
                    <w:pStyle w:val="25"/>
                    <w:rPr>
                      <w:color w:val="000000"/>
                      <w:highlight w:val="none"/>
                    </w:rPr>
                  </w:pPr>
                </w:p>
              </w:tc>
              <w:tc>
                <w:tcPr>
                  <w:tcW w:w="794" w:type="pct"/>
                  <w:vMerge w:val="restart"/>
                  <w:tcBorders>
                    <w:top w:val="single" w:color="auto" w:sz="4" w:space="0"/>
                    <w:left w:val="single" w:color="auto" w:sz="4" w:space="0"/>
                    <w:bottom w:val="single" w:color="auto" w:sz="4" w:space="0"/>
                    <w:right w:val="single" w:color="auto" w:sz="4" w:space="0"/>
                  </w:tcBorders>
                  <w:noWrap w:val="0"/>
                  <w:vAlign w:val="center"/>
                </w:tcPr>
                <w:p w14:paraId="4FECBB1B">
                  <w:pPr>
                    <w:pStyle w:val="25"/>
                    <w:rPr>
                      <w:color w:val="000000"/>
                      <w:highlight w:val="none"/>
                    </w:rPr>
                  </w:pPr>
                  <w:r>
                    <w:rPr>
                      <w:color w:val="000000"/>
                      <w:highlight w:val="none"/>
                    </w:rPr>
                    <w:t>固体废物</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3EC96BC5">
                  <w:pPr>
                    <w:pStyle w:val="25"/>
                    <w:rPr>
                      <w:color w:val="000000"/>
                      <w:highlight w:val="none"/>
                    </w:rPr>
                  </w:pPr>
                  <w:r>
                    <w:rPr>
                      <w:color w:val="000000"/>
                      <w:highlight w:val="none"/>
                    </w:rPr>
                    <w:t>钻井井场</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7F0D7677">
                  <w:pPr>
                    <w:pStyle w:val="25"/>
                    <w:rPr>
                      <w:color w:val="000000"/>
                      <w:highlight w:val="none"/>
                    </w:rPr>
                  </w:pPr>
                  <w:r>
                    <w:rPr>
                      <w:color w:val="000000"/>
                      <w:highlight w:val="none"/>
                    </w:rPr>
                    <w:t>水基岩屑、油基岩屑、机械设备废油、废弃防渗膜</w:t>
                  </w:r>
                </w:p>
              </w:tc>
            </w:tr>
            <w:tr w14:paraId="2E96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68ED465A">
                  <w:pPr>
                    <w:pStyle w:val="25"/>
                    <w:rPr>
                      <w:color w:val="000000"/>
                      <w:highlight w:val="none"/>
                    </w:rPr>
                  </w:pPr>
                </w:p>
              </w:tc>
              <w:tc>
                <w:tcPr>
                  <w:tcW w:w="794" w:type="pct"/>
                  <w:vMerge w:val="continue"/>
                  <w:tcBorders>
                    <w:top w:val="single" w:color="auto" w:sz="4" w:space="0"/>
                    <w:left w:val="single" w:color="auto" w:sz="4" w:space="0"/>
                    <w:bottom w:val="single" w:color="auto" w:sz="4" w:space="0"/>
                    <w:right w:val="single" w:color="auto" w:sz="4" w:space="0"/>
                  </w:tcBorders>
                  <w:noWrap w:val="0"/>
                  <w:vAlign w:val="center"/>
                </w:tcPr>
                <w:p w14:paraId="0337BC21">
                  <w:pPr>
                    <w:pStyle w:val="25"/>
                    <w:rPr>
                      <w:color w:val="000000"/>
                      <w:highlight w:val="none"/>
                    </w:rPr>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717470E0">
                  <w:pPr>
                    <w:pStyle w:val="25"/>
                    <w:rPr>
                      <w:color w:val="000000"/>
                      <w:highlight w:val="none"/>
                    </w:rPr>
                  </w:pPr>
                  <w:r>
                    <w:rPr>
                      <w:color w:val="000000"/>
                      <w:highlight w:val="none"/>
                    </w:rPr>
                    <w:t>生活营地</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1389DD03">
                  <w:pPr>
                    <w:pStyle w:val="25"/>
                    <w:rPr>
                      <w:color w:val="000000"/>
                      <w:highlight w:val="none"/>
                    </w:rPr>
                  </w:pPr>
                  <w:r>
                    <w:rPr>
                      <w:color w:val="000000"/>
                      <w:highlight w:val="none"/>
                    </w:rPr>
                    <w:t>生活垃圾</w:t>
                  </w:r>
                </w:p>
              </w:tc>
            </w:tr>
            <w:tr w14:paraId="493E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cBorders>
                  <w:noWrap w:val="0"/>
                  <w:vAlign w:val="center"/>
                </w:tcPr>
                <w:p w14:paraId="19FEB923">
                  <w:pPr>
                    <w:pStyle w:val="25"/>
                    <w:rPr>
                      <w:color w:val="000000"/>
                      <w:highlight w:val="none"/>
                    </w:rPr>
                  </w:pPr>
                  <w:r>
                    <w:rPr>
                      <w:color w:val="000000"/>
                      <w:highlight w:val="none"/>
                    </w:rPr>
                    <w:t>试油期</w:t>
                  </w:r>
                </w:p>
              </w:tc>
              <w:tc>
                <w:tcPr>
                  <w:tcW w:w="794" w:type="pct"/>
                  <w:vMerge w:val="restart"/>
                  <w:tcBorders>
                    <w:top w:val="single" w:color="auto" w:sz="4" w:space="0"/>
                    <w:left w:val="single" w:color="auto" w:sz="4" w:space="0"/>
                    <w:bottom w:val="single" w:color="auto" w:sz="4" w:space="0"/>
                    <w:right w:val="single" w:color="auto" w:sz="4" w:space="0"/>
                  </w:tcBorders>
                  <w:noWrap w:val="0"/>
                  <w:vAlign w:val="center"/>
                </w:tcPr>
                <w:p w14:paraId="24C246E1">
                  <w:pPr>
                    <w:pStyle w:val="25"/>
                    <w:rPr>
                      <w:color w:val="000000"/>
                      <w:highlight w:val="none"/>
                    </w:rPr>
                  </w:pPr>
                  <w:r>
                    <w:rPr>
                      <w:color w:val="000000"/>
                      <w:highlight w:val="none"/>
                    </w:rPr>
                    <w:t>机械排放废气和运输车辆尾气</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6D179925">
                  <w:pPr>
                    <w:pStyle w:val="25"/>
                    <w:rPr>
                      <w:color w:val="000000"/>
                      <w:highlight w:val="none"/>
                    </w:rPr>
                  </w:pPr>
                  <w:r>
                    <w:rPr>
                      <w:color w:val="000000"/>
                      <w:highlight w:val="none"/>
                    </w:rPr>
                    <w:t>伴生气燃烧放空</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78F52882">
                  <w:pPr>
                    <w:pStyle w:val="25"/>
                    <w:rPr>
                      <w:color w:val="000000"/>
                      <w:highlight w:val="none"/>
                    </w:rPr>
                  </w:pPr>
                  <w:r>
                    <w:rPr>
                      <w:color w:val="000000"/>
                      <w:highlight w:val="none"/>
                    </w:rPr>
                    <w:t>SO</w:t>
                  </w:r>
                  <w:r>
                    <w:rPr>
                      <w:color w:val="000000"/>
                      <w:highlight w:val="none"/>
                      <w:vertAlign w:val="subscript"/>
                    </w:rPr>
                    <w:t>2</w:t>
                  </w:r>
                  <w:r>
                    <w:rPr>
                      <w:color w:val="000000"/>
                      <w:highlight w:val="none"/>
                    </w:rPr>
                    <w:t>、NOx、颗粒物</w:t>
                  </w:r>
                </w:p>
              </w:tc>
            </w:tr>
            <w:tr w14:paraId="5F15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7EB2237D">
                  <w:pPr>
                    <w:pStyle w:val="25"/>
                    <w:rPr>
                      <w:color w:val="000000"/>
                      <w:highlight w:val="none"/>
                    </w:rPr>
                  </w:pPr>
                </w:p>
              </w:tc>
              <w:tc>
                <w:tcPr>
                  <w:tcW w:w="794" w:type="pct"/>
                  <w:vMerge w:val="continue"/>
                  <w:tcBorders>
                    <w:top w:val="single" w:color="auto" w:sz="4" w:space="0"/>
                    <w:left w:val="single" w:color="auto" w:sz="4" w:space="0"/>
                    <w:bottom w:val="single" w:color="auto" w:sz="4" w:space="0"/>
                    <w:right w:val="single" w:color="auto" w:sz="4" w:space="0"/>
                  </w:tcBorders>
                  <w:noWrap w:val="0"/>
                  <w:vAlign w:val="center"/>
                </w:tcPr>
                <w:p w14:paraId="78D49D72">
                  <w:pPr>
                    <w:pStyle w:val="25"/>
                    <w:rPr>
                      <w:color w:val="000000"/>
                      <w:highlight w:val="none"/>
                    </w:rPr>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760F9C5E">
                  <w:pPr>
                    <w:pStyle w:val="25"/>
                    <w:rPr>
                      <w:color w:val="000000"/>
                      <w:highlight w:val="none"/>
                    </w:rPr>
                  </w:pPr>
                  <w:r>
                    <w:rPr>
                      <w:color w:val="000000"/>
                      <w:highlight w:val="none"/>
                    </w:rPr>
                    <w:t>柴油发电机</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3855F542">
                  <w:pPr>
                    <w:pStyle w:val="25"/>
                    <w:rPr>
                      <w:color w:val="000000"/>
                      <w:highlight w:val="none"/>
                    </w:rPr>
                  </w:pPr>
                  <w:r>
                    <w:rPr>
                      <w:color w:val="000000"/>
                      <w:highlight w:val="none"/>
                    </w:rPr>
                    <w:t>SO</w:t>
                  </w:r>
                  <w:r>
                    <w:rPr>
                      <w:color w:val="000000"/>
                      <w:highlight w:val="none"/>
                      <w:vertAlign w:val="subscript"/>
                    </w:rPr>
                    <w:t>2</w:t>
                  </w:r>
                  <w:r>
                    <w:rPr>
                      <w:color w:val="000000"/>
                      <w:highlight w:val="none"/>
                    </w:rPr>
                    <w:t>、NOx、CO、总烃、PM</w:t>
                  </w:r>
                  <w:r>
                    <w:rPr>
                      <w:color w:val="000000"/>
                      <w:highlight w:val="none"/>
                      <w:vertAlign w:val="subscript"/>
                    </w:rPr>
                    <w:t>10</w:t>
                  </w:r>
                  <w:r>
                    <w:rPr>
                      <w:color w:val="000000"/>
                      <w:highlight w:val="none"/>
                    </w:rPr>
                    <w:t>、PM</w:t>
                  </w:r>
                  <w:r>
                    <w:rPr>
                      <w:color w:val="000000"/>
                      <w:highlight w:val="none"/>
                      <w:vertAlign w:val="subscript"/>
                    </w:rPr>
                    <w:t>2.5</w:t>
                  </w:r>
                </w:p>
              </w:tc>
            </w:tr>
            <w:tr w14:paraId="5B52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4E035025">
                  <w:pPr>
                    <w:pStyle w:val="25"/>
                    <w:rPr>
                      <w:color w:val="000000"/>
                      <w:highlight w:val="none"/>
                    </w:rPr>
                  </w:pPr>
                </w:p>
              </w:tc>
              <w:tc>
                <w:tcPr>
                  <w:tcW w:w="794" w:type="pct"/>
                  <w:vMerge w:val="continue"/>
                  <w:tcBorders>
                    <w:top w:val="single" w:color="auto" w:sz="4" w:space="0"/>
                    <w:left w:val="single" w:color="auto" w:sz="4" w:space="0"/>
                    <w:bottom w:val="single" w:color="auto" w:sz="4" w:space="0"/>
                    <w:right w:val="single" w:color="auto" w:sz="4" w:space="0"/>
                  </w:tcBorders>
                  <w:noWrap w:val="0"/>
                  <w:vAlign w:val="center"/>
                </w:tcPr>
                <w:p w14:paraId="05509EDC">
                  <w:pPr>
                    <w:pStyle w:val="25"/>
                    <w:rPr>
                      <w:color w:val="000000"/>
                      <w:highlight w:val="none"/>
                    </w:rPr>
                  </w:pPr>
                </w:p>
              </w:tc>
              <w:tc>
                <w:tcPr>
                  <w:tcW w:w="1603" w:type="pct"/>
                  <w:tcBorders>
                    <w:top w:val="single" w:color="auto" w:sz="4" w:space="0"/>
                    <w:left w:val="single" w:color="auto" w:sz="4" w:space="0"/>
                    <w:bottom w:val="single" w:color="auto" w:sz="4" w:space="0"/>
                    <w:right w:val="single" w:color="auto" w:sz="4" w:space="0"/>
                  </w:tcBorders>
                  <w:noWrap w:val="0"/>
                  <w:vAlign w:val="center"/>
                </w:tcPr>
                <w:p w14:paraId="67AFBB41">
                  <w:pPr>
                    <w:pStyle w:val="25"/>
                    <w:rPr>
                      <w:color w:val="000000"/>
                      <w:highlight w:val="none"/>
                    </w:rPr>
                  </w:pPr>
                  <w:r>
                    <w:rPr>
                      <w:color w:val="000000"/>
                      <w:highlight w:val="none"/>
                    </w:rPr>
                    <w:t>临时储罐和采出液装载</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15A1B222">
                  <w:pPr>
                    <w:pStyle w:val="25"/>
                    <w:rPr>
                      <w:color w:val="000000"/>
                      <w:highlight w:val="none"/>
                    </w:rPr>
                  </w:pPr>
                  <w:r>
                    <w:rPr>
                      <w:color w:val="000000"/>
                      <w:highlight w:val="none"/>
                    </w:rPr>
                    <w:t>总烃</w:t>
                  </w:r>
                </w:p>
              </w:tc>
            </w:tr>
            <w:tr w14:paraId="69EE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11BF0C39">
                  <w:pPr>
                    <w:pStyle w:val="25"/>
                    <w:rPr>
                      <w:color w:val="000000"/>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3F95149">
                  <w:pPr>
                    <w:pStyle w:val="25"/>
                    <w:rPr>
                      <w:color w:val="000000"/>
                      <w:highlight w:val="none"/>
                    </w:rPr>
                  </w:pPr>
                  <w:r>
                    <w:rPr>
                      <w:color w:val="000000"/>
                      <w:highlight w:val="none"/>
                    </w:rPr>
                    <w:t>废水</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13EC1519">
                  <w:pPr>
                    <w:pStyle w:val="25"/>
                    <w:rPr>
                      <w:color w:val="000000"/>
                      <w:highlight w:val="none"/>
                    </w:rPr>
                  </w:pPr>
                  <w:r>
                    <w:rPr>
                      <w:color w:val="000000"/>
                      <w:highlight w:val="none"/>
                    </w:rPr>
                    <w:t>井下作业废水（洗井废水、废压裂返排液）</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4751A5D7">
                  <w:pPr>
                    <w:pStyle w:val="25"/>
                    <w:rPr>
                      <w:color w:val="000000"/>
                      <w:highlight w:val="none"/>
                    </w:rPr>
                  </w:pPr>
                  <w:r>
                    <w:rPr>
                      <w:color w:val="000000"/>
                      <w:highlight w:val="none"/>
                    </w:rPr>
                    <w:t>SS、石油类</w:t>
                  </w:r>
                </w:p>
              </w:tc>
            </w:tr>
            <w:tr w14:paraId="320A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3DCD1F54">
                  <w:pPr>
                    <w:pStyle w:val="25"/>
                    <w:rPr>
                      <w:color w:val="000000"/>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06840A69">
                  <w:pPr>
                    <w:pStyle w:val="25"/>
                    <w:rPr>
                      <w:color w:val="000000"/>
                      <w:highlight w:val="none"/>
                    </w:rPr>
                  </w:pPr>
                  <w:r>
                    <w:rPr>
                      <w:color w:val="000000"/>
                      <w:highlight w:val="none"/>
                    </w:rPr>
                    <w:t>噪声</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2C41FE62">
                  <w:pPr>
                    <w:pStyle w:val="25"/>
                    <w:rPr>
                      <w:color w:val="000000"/>
                      <w:highlight w:val="none"/>
                    </w:rPr>
                  </w:pPr>
                  <w:r>
                    <w:rPr>
                      <w:color w:val="000000"/>
                      <w:highlight w:val="none"/>
                    </w:rPr>
                    <w:t>动力设备、井下作业</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3E5ACE73">
                  <w:pPr>
                    <w:pStyle w:val="25"/>
                    <w:rPr>
                      <w:color w:val="000000"/>
                      <w:highlight w:val="none"/>
                    </w:rPr>
                  </w:pPr>
                  <w:r>
                    <w:rPr>
                      <w:color w:val="000000"/>
                      <w:highlight w:val="none"/>
                    </w:rPr>
                    <w:t>试油机械噪声</w:t>
                  </w:r>
                </w:p>
              </w:tc>
            </w:tr>
            <w:tr w14:paraId="45B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14:paraId="3392A5D3">
                  <w:pPr>
                    <w:pStyle w:val="25"/>
                    <w:rPr>
                      <w:color w:val="000000"/>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771EB5">
                  <w:pPr>
                    <w:pStyle w:val="25"/>
                    <w:rPr>
                      <w:color w:val="000000"/>
                      <w:highlight w:val="none"/>
                    </w:rPr>
                  </w:pPr>
                  <w:r>
                    <w:rPr>
                      <w:color w:val="000000"/>
                      <w:highlight w:val="none"/>
                    </w:rPr>
                    <w:t>固废</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25EB2D8C">
                  <w:pPr>
                    <w:pStyle w:val="25"/>
                    <w:rPr>
                      <w:color w:val="000000"/>
                      <w:highlight w:val="none"/>
                    </w:rPr>
                  </w:pPr>
                  <w:r>
                    <w:rPr>
                      <w:color w:val="000000"/>
                      <w:highlight w:val="none"/>
                    </w:rPr>
                    <w:t>井下作业</w:t>
                  </w:r>
                </w:p>
              </w:tc>
              <w:tc>
                <w:tcPr>
                  <w:tcW w:w="2032" w:type="pct"/>
                  <w:tcBorders>
                    <w:top w:val="single" w:color="auto" w:sz="4" w:space="0"/>
                    <w:left w:val="single" w:color="auto" w:sz="4" w:space="0"/>
                    <w:bottom w:val="single" w:color="auto" w:sz="4" w:space="0"/>
                    <w:right w:val="single" w:color="auto" w:sz="4" w:space="0"/>
                  </w:tcBorders>
                  <w:noWrap w:val="0"/>
                  <w:vAlign w:val="center"/>
                </w:tcPr>
                <w:p w14:paraId="2D3B5F35">
                  <w:pPr>
                    <w:pStyle w:val="25"/>
                    <w:rPr>
                      <w:color w:val="000000"/>
                      <w:highlight w:val="none"/>
                    </w:rPr>
                  </w:pPr>
                  <w:r>
                    <w:rPr>
                      <w:color w:val="000000"/>
                      <w:highlight w:val="none"/>
                    </w:rPr>
                    <w:t>废弃防渗膜</w:t>
                  </w:r>
                </w:p>
              </w:tc>
            </w:tr>
          </w:tbl>
          <w:p w14:paraId="5A80F700">
            <w:pPr>
              <w:pStyle w:val="3"/>
              <w:rPr>
                <w:color w:val="000000"/>
                <w:szCs w:val="24"/>
                <w:highlight w:val="none"/>
              </w:rPr>
            </w:pPr>
            <w:r>
              <w:rPr>
                <w:color w:val="000000"/>
                <w:szCs w:val="24"/>
                <w:highlight w:val="none"/>
              </w:rPr>
              <w:t>1 施工期废气影响分析</w:t>
            </w:r>
          </w:p>
          <w:p w14:paraId="5F650B5E">
            <w:pPr>
              <w:pStyle w:val="24"/>
              <w:rPr>
                <w:color w:val="000000"/>
                <w:sz w:val="24"/>
                <w:szCs w:val="24"/>
                <w:highlight w:val="none"/>
              </w:rPr>
            </w:pPr>
            <w:bookmarkStart w:id="15" w:name="_Hlk67915911"/>
            <w:bookmarkStart w:id="16" w:name="_Hlk27231092"/>
            <w:bookmarkStart w:id="17" w:name="_Hlk2526104"/>
            <w:r>
              <w:rPr>
                <w:color w:val="000000"/>
                <w:sz w:val="24"/>
                <w:szCs w:val="24"/>
                <w:highlight w:val="none"/>
              </w:rPr>
              <w:t>本项目施工期废气主要来源于钻井期的柴油机组燃烧废气、施工扬尘、机械排放废气和运输车辆尾气，试油期的柴油机组燃烧废气、伴生气燃烧废气、临时储罐废气和采出液装卸废气。</w:t>
            </w:r>
          </w:p>
          <w:p w14:paraId="3E8CE4C7">
            <w:pPr>
              <w:pStyle w:val="24"/>
              <w:rPr>
                <w:color w:val="000000"/>
                <w:sz w:val="24"/>
                <w:szCs w:val="24"/>
                <w:highlight w:val="none"/>
              </w:rPr>
            </w:pPr>
            <w:r>
              <w:rPr>
                <w:color w:val="000000"/>
                <w:sz w:val="24"/>
                <w:szCs w:val="24"/>
                <w:highlight w:val="none"/>
              </w:rPr>
              <w:t>（1）柴油机组燃烧废气</w:t>
            </w:r>
          </w:p>
          <w:p w14:paraId="25157F91">
            <w:pPr>
              <w:pStyle w:val="24"/>
              <w:jc w:val="both"/>
              <w:rPr>
                <w:rFonts w:ascii="Times New Roman" w:hAnsi="Times New Roman"/>
                <w:color w:val="000000"/>
                <w:highlight w:val="none"/>
              </w:rPr>
            </w:pPr>
            <w:r>
              <w:rPr>
                <w:rFonts w:ascii="Times New Roman" w:hAnsi="Times New Roman"/>
                <w:color w:val="000000"/>
                <w:sz w:val="24"/>
                <w:szCs w:val="24"/>
                <w:highlight w:val="none"/>
              </w:rPr>
              <w:t>本项目钻井期及试油期柴油耗量，见表4-2。根据《非道路移动污染源排放清单编制技术指南》，柴油机污染物排放系数，柴油机组燃烧废气中各污染物产生情况，见表4-3。</w:t>
            </w:r>
          </w:p>
          <w:p w14:paraId="6C85DFBB">
            <w:pPr>
              <w:pStyle w:val="24"/>
              <w:spacing w:line="240" w:lineRule="auto"/>
              <w:ind w:firstLine="422"/>
              <w:jc w:val="center"/>
              <w:rPr>
                <w:b/>
                <w:bCs/>
                <w:color w:val="000000"/>
                <w:sz w:val="21"/>
                <w:szCs w:val="21"/>
                <w:highlight w:val="none"/>
              </w:rPr>
            </w:pPr>
            <w:r>
              <w:rPr>
                <w:rStyle w:val="18"/>
                <w:b/>
                <w:bCs/>
                <w:color w:val="000000"/>
                <w:kern w:val="0"/>
                <w:szCs w:val="21"/>
                <w:highlight w:val="none"/>
              </w:rPr>
              <w:t>表</w:t>
            </w:r>
            <w:r>
              <w:rPr>
                <w:rStyle w:val="18"/>
                <w:rFonts w:hint="default" w:ascii="Times New Roman" w:hAnsi="Times New Roman" w:cs="Times New Roman"/>
                <w:b/>
                <w:bCs/>
                <w:color w:val="000000"/>
                <w:kern w:val="0"/>
                <w:szCs w:val="21"/>
                <w:highlight w:val="none"/>
              </w:rPr>
              <w:t>4-2</w:t>
            </w:r>
            <w:r>
              <w:rPr>
                <w:rStyle w:val="18"/>
                <w:b/>
                <w:bCs/>
                <w:color w:val="000000"/>
                <w:kern w:val="0"/>
                <w:szCs w:val="21"/>
                <w:highlight w:val="none"/>
              </w:rPr>
              <w:t xml:space="preserve">    </w:t>
            </w:r>
            <w:r>
              <w:rPr>
                <w:b/>
                <w:bCs/>
                <w:color w:val="000000"/>
                <w:sz w:val="21"/>
                <w:szCs w:val="21"/>
                <w:highlight w:val="none"/>
              </w:rPr>
              <w:t>钻井期和油气测试期消耗柴油量</w:t>
            </w:r>
          </w:p>
          <w:tbl>
            <w:tblPr>
              <w:tblStyle w:val="16"/>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1273"/>
              <w:gridCol w:w="2114"/>
              <w:gridCol w:w="2256"/>
            </w:tblGrid>
            <w:tr w14:paraId="2898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839" w:type="dxa"/>
                  <w:noWrap/>
                  <w:vAlign w:val="center"/>
                </w:tcPr>
                <w:p w14:paraId="4900DFD2">
                  <w:pPr>
                    <w:pStyle w:val="25"/>
                    <w:rPr>
                      <w:b/>
                      <w:bCs/>
                      <w:color w:val="000000"/>
                      <w:highlight w:val="none"/>
                    </w:rPr>
                  </w:pPr>
                  <w:r>
                    <w:rPr>
                      <w:b/>
                      <w:bCs/>
                      <w:color w:val="000000"/>
                      <w:highlight w:val="none"/>
                    </w:rPr>
                    <w:t>阶段</w:t>
                  </w:r>
                </w:p>
              </w:tc>
              <w:tc>
                <w:tcPr>
                  <w:tcW w:w="1273" w:type="dxa"/>
                  <w:noWrap/>
                  <w:vAlign w:val="center"/>
                </w:tcPr>
                <w:p w14:paraId="66919F7E">
                  <w:pPr>
                    <w:pStyle w:val="25"/>
                    <w:rPr>
                      <w:b/>
                      <w:bCs/>
                      <w:color w:val="000000"/>
                      <w:highlight w:val="none"/>
                    </w:rPr>
                  </w:pPr>
                  <w:r>
                    <w:rPr>
                      <w:b/>
                      <w:bCs/>
                      <w:color w:val="000000"/>
                      <w:highlight w:val="none"/>
                    </w:rPr>
                    <w:t>周期（d）</w:t>
                  </w:r>
                </w:p>
              </w:tc>
              <w:tc>
                <w:tcPr>
                  <w:tcW w:w="2114" w:type="dxa"/>
                  <w:noWrap/>
                  <w:vAlign w:val="center"/>
                </w:tcPr>
                <w:p w14:paraId="4A21F7F7">
                  <w:pPr>
                    <w:pStyle w:val="25"/>
                    <w:rPr>
                      <w:b/>
                      <w:bCs/>
                      <w:color w:val="000000"/>
                      <w:highlight w:val="none"/>
                    </w:rPr>
                  </w:pPr>
                  <w:r>
                    <w:rPr>
                      <w:b/>
                      <w:bCs/>
                      <w:color w:val="000000"/>
                      <w:highlight w:val="none"/>
                    </w:rPr>
                    <w:t>柴油消耗量（t/d）</w:t>
                  </w:r>
                </w:p>
              </w:tc>
              <w:tc>
                <w:tcPr>
                  <w:tcW w:w="2256" w:type="dxa"/>
                  <w:noWrap w:val="0"/>
                  <w:vAlign w:val="center"/>
                </w:tcPr>
                <w:p w14:paraId="4FD630B8">
                  <w:pPr>
                    <w:pStyle w:val="25"/>
                    <w:rPr>
                      <w:b/>
                      <w:bCs/>
                      <w:color w:val="000000"/>
                      <w:highlight w:val="none"/>
                    </w:rPr>
                  </w:pPr>
                  <w:r>
                    <w:rPr>
                      <w:b/>
                      <w:bCs/>
                      <w:color w:val="000000"/>
                      <w:highlight w:val="none"/>
                    </w:rPr>
                    <w:t>柴油消耗总量（t）</w:t>
                  </w:r>
                </w:p>
              </w:tc>
            </w:tr>
            <w:tr w14:paraId="0E14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839" w:type="dxa"/>
                  <w:noWrap/>
                  <w:vAlign w:val="center"/>
                </w:tcPr>
                <w:p w14:paraId="4837FAA4">
                  <w:pPr>
                    <w:pStyle w:val="25"/>
                    <w:rPr>
                      <w:color w:val="000000"/>
                      <w:highlight w:val="none"/>
                    </w:rPr>
                  </w:pPr>
                  <w:r>
                    <w:rPr>
                      <w:color w:val="000000"/>
                      <w:highlight w:val="none"/>
                    </w:rPr>
                    <w:t>钻井期</w:t>
                  </w:r>
                </w:p>
              </w:tc>
              <w:tc>
                <w:tcPr>
                  <w:tcW w:w="1273" w:type="dxa"/>
                  <w:noWrap/>
                  <w:vAlign w:val="center"/>
                </w:tcPr>
                <w:p w14:paraId="402A6361">
                  <w:pPr>
                    <w:pStyle w:val="25"/>
                    <w:rPr>
                      <w:color w:val="000000"/>
                      <w:highlight w:val="none"/>
                    </w:rPr>
                  </w:pPr>
                  <w:r>
                    <w:rPr>
                      <w:rFonts w:hint="eastAsia"/>
                      <w:color w:val="000000"/>
                      <w:highlight w:val="none"/>
                    </w:rPr>
                    <w:t>125</w:t>
                  </w:r>
                </w:p>
              </w:tc>
              <w:tc>
                <w:tcPr>
                  <w:tcW w:w="2114" w:type="dxa"/>
                  <w:noWrap/>
                  <w:vAlign w:val="center"/>
                </w:tcPr>
                <w:p w14:paraId="3D359506">
                  <w:pPr>
                    <w:pStyle w:val="25"/>
                    <w:rPr>
                      <w:rFonts w:hint="eastAsia"/>
                      <w:color w:val="000000"/>
                      <w:highlight w:val="none"/>
                    </w:rPr>
                  </w:pPr>
                  <w:r>
                    <w:rPr>
                      <w:rFonts w:hint="eastAsia"/>
                      <w:color w:val="000000"/>
                      <w:highlight w:val="none"/>
                    </w:rPr>
                    <w:t>2</w:t>
                  </w:r>
                </w:p>
              </w:tc>
              <w:tc>
                <w:tcPr>
                  <w:tcW w:w="2256" w:type="dxa"/>
                  <w:noWrap w:val="0"/>
                  <w:vAlign w:val="center"/>
                </w:tcPr>
                <w:p w14:paraId="73F341D8">
                  <w:pPr>
                    <w:widowControl/>
                    <w:adjustRightInd/>
                    <w:snapToGrid/>
                    <w:rPr>
                      <w:color w:val="000000"/>
                      <w:kern w:val="0"/>
                      <w:sz w:val="21"/>
                      <w:szCs w:val="21"/>
                      <w:highlight w:val="none"/>
                    </w:rPr>
                  </w:pPr>
                  <w:r>
                    <w:rPr>
                      <w:rFonts w:hint="eastAsia"/>
                      <w:color w:val="000000"/>
                      <w:kern w:val="0"/>
                      <w:sz w:val="21"/>
                      <w:szCs w:val="21"/>
                      <w:highlight w:val="none"/>
                    </w:rPr>
                    <w:t>250</w:t>
                  </w:r>
                </w:p>
              </w:tc>
            </w:tr>
            <w:tr w14:paraId="10A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839" w:type="dxa"/>
                  <w:noWrap/>
                  <w:vAlign w:val="center"/>
                </w:tcPr>
                <w:p w14:paraId="0BE2CE90">
                  <w:pPr>
                    <w:pStyle w:val="25"/>
                    <w:rPr>
                      <w:color w:val="000000"/>
                      <w:highlight w:val="none"/>
                    </w:rPr>
                  </w:pPr>
                  <w:r>
                    <w:rPr>
                      <w:color w:val="000000"/>
                      <w:highlight w:val="none"/>
                    </w:rPr>
                    <w:t>试油期</w:t>
                  </w:r>
                </w:p>
              </w:tc>
              <w:tc>
                <w:tcPr>
                  <w:tcW w:w="1273" w:type="dxa"/>
                  <w:noWrap/>
                  <w:vAlign w:val="center"/>
                </w:tcPr>
                <w:p w14:paraId="5B931B10">
                  <w:pPr>
                    <w:pStyle w:val="25"/>
                    <w:rPr>
                      <w:color w:val="000000"/>
                      <w:highlight w:val="none"/>
                    </w:rPr>
                  </w:pPr>
                  <w:r>
                    <w:rPr>
                      <w:rFonts w:hint="eastAsia"/>
                      <w:color w:val="000000"/>
                      <w:highlight w:val="none"/>
                    </w:rPr>
                    <w:t>180</w:t>
                  </w:r>
                </w:p>
              </w:tc>
              <w:tc>
                <w:tcPr>
                  <w:tcW w:w="2114" w:type="dxa"/>
                  <w:noWrap/>
                  <w:vAlign w:val="center"/>
                </w:tcPr>
                <w:p w14:paraId="741DBA8E">
                  <w:pPr>
                    <w:pStyle w:val="25"/>
                    <w:rPr>
                      <w:color w:val="000000"/>
                      <w:highlight w:val="none"/>
                    </w:rPr>
                  </w:pPr>
                  <w:r>
                    <w:rPr>
                      <w:color w:val="000000"/>
                      <w:highlight w:val="none"/>
                    </w:rPr>
                    <w:t>0.16</w:t>
                  </w:r>
                </w:p>
              </w:tc>
              <w:tc>
                <w:tcPr>
                  <w:tcW w:w="2256" w:type="dxa"/>
                  <w:noWrap w:val="0"/>
                  <w:vAlign w:val="center"/>
                </w:tcPr>
                <w:p w14:paraId="43AB238E">
                  <w:pPr>
                    <w:rPr>
                      <w:color w:val="000000"/>
                      <w:sz w:val="21"/>
                      <w:szCs w:val="21"/>
                      <w:highlight w:val="none"/>
                    </w:rPr>
                  </w:pPr>
                  <w:r>
                    <w:rPr>
                      <w:rFonts w:hint="eastAsia"/>
                      <w:color w:val="000000"/>
                      <w:sz w:val="21"/>
                      <w:szCs w:val="21"/>
                      <w:highlight w:val="none"/>
                    </w:rPr>
                    <w:t>28.8</w:t>
                  </w:r>
                </w:p>
              </w:tc>
            </w:tr>
            <w:tr w14:paraId="1C8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26" w:type="dxa"/>
                  <w:gridSpan w:val="3"/>
                  <w:noWrap/>
                  <w:vAlign w:val="center"/>
                </w:tcPr>
                <w:p w14:paraId="1EA9245E">
                  <w:pPr>
                    <w:pStyle w:val="25"/>
                    <w:rPr>
                      <w:color w:val="000000"/>
                      <w:highlight w:val="none"/>
                    </w:rPr>
                  </w:pPr>
                  <w:r>
                    <w:rPr>
                      <w:color w:val="000000"/>
                      <w:highlight w:val="none"/>
                    </w:rPr>
                    <w:t>总计</w:t>
                  </w:r>
                </w:p>
              </w:tc>
              <w:tc>
                <w:tcPr>
                  <w:tcW w:w="2256" w:type="dxa"/>
                  <w:noWrap w:val="0"/>
                  <w:vAlign w:val="center"/>
                </w:tcPr>
                <w:p w14:paraId="216DBDC1">
                  <w:pPr>
                    <w:pStyle w:val="25"/>
                    <w:rPr>
                      <w:color w:val="000000"/>
                      <w:highlight w:val="none"/>
                    </w:rPr>
                  </w:pPr>
                  <w:r>
                    <w:rPr>
                      <w:rFonts w:hint="eastAsia"/>
                      <w:color w:val="000000"/>
                      <w:highlight w:val="none"/>
                    </w:rPr>
                    <w:t>278.8</w:t>
                  </w:r>
                </w:p>
              </w:tc>
            </w:tr>
          </w:tbl>
          <w:p w14:paraId="0C3C8383">
            <w:pPr>
              <w:pStyle w:val="24"/>
              <w:spacing w:line="240" w:lineRule="auto"/>
              <w:ind w:firstLine="422"/>
              <w:jc w:val="center"/>
              <w:rPr>
                <w:b/>
                <w:bCs/>
                <w:color w:val="000000"/>
                <w:sz w:val="21"/>
                <w:szCs w:val="21"/>
                <w:highlight w:val="none"/>
              </w:rPr>
            </w:pPr>
            <w:r>
              <w:rPr>
                <w:rFonts w:hint="default" w:ascii="Times New Roman" w:hAnsi="Times New Roman" w:cs="Times New Roman"/>
                <w:b/>
                <w:bCs/>
                <w:color w:val="000000"/>
                <w:sz w:val="21"/>
                <w:szCs w:val="21"/>
                <w:highlight w:val="none"/>
              </w:rPr>
              <w:t xml:space="preserve">表4-3 </w:t>
            </w:r>
            <w:r>
              <w:rPr>
                <w:b/>
                <w:bCs/>
                <w:color w:val="000000"/>
                <w:sz w:val="21"/>
                <w:szCs w:val="21"/>
                <w:highlight w:val="none"/>
              </w:rPr>
              <w:t xml:space="preserve">   柴油机污染物排放量</w:t>
            </w:r>
          </w:p>
          <w:tbl>
            <w:tblPr>
              <w:tblStyle w:val="16"/>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715"/>
              <w:gridCol w:w="2316"/>
              <w:gridCol w:w="1917"/>
            </w:tblGrid>
            <w:tr w14:paraId="557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9" w:type="dxa"/>
                  <w:noWrap/>
                  <w:vAlign w:val="center"/>
                </w:tcPr>
                <w:p w14:paraId="72945C7A">
                  <w:pPr>
                    <w:pStyle w:val="25"/>
                    <w:rPr>
                      <w:color w:val="000000"/>
                      <w:highlight w:val="none"/>
                    </w:rPr>
                  </w:pPr>
                  <w:r>
                    <w:rPr>
                      <w:color w:val="000000"/>
                      <w:highlight w:val="none"/>
                    </w:rPr>
                    <w:t>污染物</w:t>
                  </w:r>
                </w:p>
              </w:tc>
              <w:tc>
                <w:tcPr>
                  <w:tcW w:w="2715" w:type="dxa"/>
                  <w:noWrap/>
                  <w:vAlign w:val="center"/>
                </w:tcPr>
                <w:p w14:paraId="234214D9">
                  <w:pPr>
                    <w:pStyle w:val="25"/>
                    <w:rPr>
                      <w:color w:val="000000"/>
                      <w:highlight w:val="none"/>
                    </w:rPr>
                  </w:pPr>
                  <w:r>
                    <w:rPr>
                      <w:color w:val="000000"/>
                      <w:highlight w:val="none"/>
                    </w:rPr>
                    <w:t>排污系数kg/t</w:t>
                  </w:r>
                </w:p>
              </w:tc>
              <w:tc>
                <w:tcPr>
                  <w:tcW w:w="2316" w:type="dxa"/>
                  <w:noWrap/>
                  <w:vAlign w:val="center"/>
                </w:tcPr>
                <w:p w14:paraId="0D853532">
                  <w:pPr>
                    <w:pStyle w:val="25"/>
                    <w:rPr>
                      <w:color w:val="000000"/>
                      <w:highlight w:val="none"/>
                    </w:rPr>
                  </w:pPr>
                  <w:r>
                    <w:rPr>
                      <w:color w:val="000000"/>
                      <w:highlight w:val="none"/>
                    </w:rPr>
                    <w:t xml:space="preserve">柴油用量t </w:t>
                  </w:r>
                </w:p>
              </w:tc>
              <w:tc>
                <w:tcPr>
                  <w:tcW w:w="1917" w:type="dxa"/>
                  <w:noWrap/>
                  <w:vAlign w:val="center"/>
                </w:tcPr>
                <w:p w14:paraId="668BDEB7">
                  <w:pPr>
                    <w:pStyle w:val="25"/>
                    <w:rPr>
                      <w:color w:val="000000"/>
                      <w:highlight w:val="none"/>
                    </w:rPr>
                  </w:pPr>
                  <w:r>
                    <w:rPr>
                      <w:color w:val="000000"/>
                      <w:highlight w:val="none"/>
                    </w:rPr>
                    <w:t>排放量t</w:t>
                  </w:r>
                </w:p>
              </w:tc>
            </w:tr>
            <w:tr w14:paraId="18A2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39" w:type="dxa"/>
                  <w:noWrap w:val="0"/>
                  <w:vAlign w:val="center"/>
                </w:tcPr>
                <w:p w14:paraId="3F04A22C">
                  <w:pPr>
                    <w:pStyle w:val="25"/>
                    <w:rPr>
                      <w:color w:val="000000"/>
                      <w:highlight w:val="none"/>
                    </w:rPr>
                  </w:pPr>
                  <w:r>
                    <w:rPr>
                      <w:color w:val="000000"/>
                      <w:highlight w:val="none"/>
                    </w:rPr>
                    <w:t>CO</w:t>
                  </w:r>
                </w:p>
              </w:tc>
              <w:tc>
                <w:tcPr>
                  <w:tcW w:w="2715" w:type="dxa"/>
                  <w:noWrap/>
                  <w:vAlign w:val="center"/>
                </w:tcPr>
                <w:p w14:paraId="150C7828">
                  <w:pPr>
                    <w:pStyle w:val="25"/>
                    <w:rPr>
                      <w:color w:val="000000"/>
                      <w:highlight w:val="none"/>
                    </w:rPr>
                  </w:pPr>
                  <w:r>
                    <w:rPr>
                      <w:color w:val="000000"/>
                      <w:highlight w:val="none"/>
                    </w:rPr>
                    <w:t>10.72</w:t>
                  </w:r>
                </w:p>
              </w:tc>
              <w:tc>
                <w:tcPr>
                  <w:tcW w:w="2316" w:type="dxa"/>
                  <w:vMerge w:val="restart"/>
                  <w:noWrap/>
                  <w:vAlign w:val="center"/>
                </w:tcPr>
                <w:p w14:paraId="3FA6031B">
                  <w:pPr>
                    <w:pStyle w:val="25"/>
                    <w:rPr>
                      <w:color w:val="000000"/>
                      <w:highlight w:val="none"/>
                    </w:rPr>
                  </w:pPr>
                  <w:r>
                    <w:rPr>
                      <w:rFonts w:hint="eastAsia"/>
                      <w:color w:val="000000"/>
                      <w:highlight w:val="none"/>
                    </w:rPr>
                    <w:t>278.8</w:t>
                  </w:r>
                </w:p>
              </w:tc>
              <w:tc>
                <w:tcPr>
                  <w:tcW w:w="1917" w:type="dxa"/>
                  <w:noWrap/>
                  <w:vAlign w:val="center"/>
                </w:tcPr>
                <w:p w14:paraId="543D9F42">
                  <w:pPr>
                    <w:widowControl/>
                    <w:textAlignment w:val="center"/>
                    <w:rPr>
                      <w:color w:val="000000"/>
                      <w:kern w:val="0"/>
                      <w:sz w:val="21"/>
                      <w:szCs w:val="21"/>
                      <w:highlight w:val="none"/>
                    </w:rPr>
                  </w:pPr>
                  <w:r>
                    <w:rPr>
                      <w:rFonts w:hint="eastAsia"/>
                      <w:color w:val="000000"/>
                      <w:kern w:val="0"/>
                      <w:sz w:val="21"/>
                      <w:szCs w:val="21"/>
                      <w:highlight w:val="none"/>
                      <w:lang w:bidi="ar"/>
                    </w:rPr>
                    <w:t>2.989</w:t>
                  </w:r>
                </w:p>
              </w:tc>
            </w:tr>
            <w:tr w14:paraId="7B27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39" w:type="dxa"/>
                  <w:noWrap w:val="0"/>
                  <w:vAlign w:val="center"/>
                </w:tcPr>
                <w:p w14:paraId="4D8FA0B7">
                  <w:pPr>
                    <w:pStyle w:val="25"/>
                    <w:rPr>
                      <w:color w:val="000000"/>
                      <w:highlight w:val="none"/>
                    </w:rPr>
                  </w:pPr>
                  <w:r>
                    <w:rPr>
                      <w:color w:val="000000"/>
                      <w:highlight w:val="none"/>
                    </w:rPr>
                    <w:t>NO</w:t>
                  </w:r>
                  <w:r>
                    <w:rPr>
                      <w:color w:val="000000"/>
                      <w:highlight w:val="none"/>
                      <w:vertAlign w:val="subscript"/>
                    </w:rPr>
                    <w:t>X</w:t>
                  </w:r>
                </w:p>
              </w:tc>
              <w:tc>
                <w:tcPr>
                  <w:tcW w:w="2715" w:type="dxa"/>
                  <w:noWrap/>
                  <w:vAlign w:val="center"/>
                </w:tcPr>
                <w:p w14:paraId="4A789DD4">
                  <w:pPr>
                    <w:pStyle w:val="25"/>
                    <w:rPr>
                      <w:color w:val="000000"/>
                      <w:highlight w:val="none"/>
                    </w:rPr>
                  </w:pPr>
                  <w:r>
                    <w:rPr>
                      <w:color w:val="000000"/>
                      <w:highlight w:val="none"/>
                    </w:rPr>
                    <w:t>32.79</w:t>
                  </w:r>
                </w:p>
              </w:tc>
              <w:tc>
                <w:tcPr>
                  <w:tcW w:w="2316" w:type="dxa"/>
                  <w:vMerge w:val="continue"/>
                  <w:noWrap/>
                  <w:vAlign w:val="center"/>
                </w:tcPr>
                <w:p w14:paraId="472815EB">
                  <w:pPr>
                    <w:pStyle w:val="25"/>
                    <w:rPr>
                      <w:color w:val="000000"/>
                      <w:highlight w:val="none"/>
                    </w:rPr>
                  </w:pPr>
                </w:p>
              </w:tc>
              <w:tc>
                <w:tcPr>
                  <w:tcW w:w="1917" w:type="dxa"/>
                  <w:noWrap/>
                  <w:vAlign w:val="center"/>
                </w:tcPr>
                <w:p w14:paraId="3841F023">
                  <w:pPr>
                    <w:widowControl/>
                    <w:textAlignment w:val="center"/>
                    <w:rPr>
                      <w:color w:val="000000"/>
                      <w:sz w:val="21"/>
                      <w:szCs w:val="21"/>
                      <w:highlight w:val="none"/>
                    </w:rPr>
                  </w:pPr>
                  <w:r>
                    <w:rPr>
                      <w:rFonts w:hint="eastAsia"/>
                      <w:color w:val="000000"/>
                      <w:sz w:val="21"/>
                      <w:szCs w:val="21"/>
                      <w:highlight w:val="none"/>
                    </w:rPr>
                    <w:t>9.141</w:t>
                  </w:r>
                </w:p>
              </w:tc>
            </w:tr>
            <w:tr w14:paraId="4538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9" w:type="dxa"/>
                  <w:noWrap w:val="0"/>
                  <w:vAlign w:val="center"/>
                </w:tcPr>
                <w:p w14:paraId="50FC0987">
                  <w:pPr>
                    <w:pStyle w:val="25"/>
                    <w:rPr>
                      <w:color w:val="000000"/>
                      <w:highlight w:val="none"/>
                    </w:rPr>
                  </w:pPr>
                  <w:r>
                    <w:rPr>
                      <w:color w:val="000000"/>
                      <w:highlight w:val="none"/>
                    </w:rPr>
                    <w:t>HC</w:t>
                  </w:r>
                </w:p>
              </w:tc>
              <w:tc>
                <w:tcPr>
                  <w:tcW w:w="2715" w:type="dxa"/>
                  <w:noWrap/>
                  <w:vAlign w:val="center"/>
                </w:tcPr>
                <w:p w14:paraId="654DDBAD">
                  <w:pPr>
                    <w:pStyle w:val="25"/>
                    <w:rPr>
                      <w:color w:val="000000"/>
                      <w:highlight w:val="none"/>
                    </w:rPr>
                  </w:pPr>
                  <w:r>
                    <w:rPr>
                      <w:color w:val="000000"/>
                      <w:highlight w:val="none"/>
                    </w:rPr>
                    <w:t>3.39</w:t>
                  </w:r>
                </w:p>
              </w:tc>
              <w:tc>
                <w:tcPr>
                  <w:tcW w:w="2316" w:type="dxa"/>
                  <w:vMerge w:val="continue"/>
                  <w:noWrap/>
                  <w:vAlign w:val="center"/>
                </w:tcPr>
                <w:p w14:paraId="60B8EB76">
                  <w:pPr>
                    <w:pStyle w:val="25"/>
                    <w:rPr>
                      <w:color w:val="000000"/>
                      <w:highlight w:val="none"/>
                    </w:rPr>
                  </w:pPr>
                </w:p>
              </w:tc>
              <w:tc>
                <w:tcPr>
                  <w:tcW w:w="1917" w:type="dxa"/>
                  <w:noWrap/>
                  <w:vAlign w:val="center"/>
                </w:tcPr>
                <w:p w14:paraId="6297F1E6">
                  <w:pPr>
                    <w:widowControl/>
                    <w:textAlignment w:val="center"/>
                    <w:rPr>
                      <w:color w:val="000000"/>
                      <w:sz w:val="21"/>
                      <w:szCs w:val="21"/>
                      <w:highlight w:val="none"/>
                    </w:rPr>
                  </w:pPr>
                  <w:r>
                    <w:rPr>
                      <w:rFonts w:hint="eastAsia"/>
                      <w:color w:val="000000"/>
                      <w:sz w:val="21"/>
                      <w:szCs w:val="21"/>
                      <w:highlight w:val="none"/>
                    </w:rPr>
                    <w:t>0.945</w:t>
                  </w:r>
                </w:p>
              </w:tc>
            </w:tr>
            <w:tr w14:paraId="4D84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9" w:type="dxa"/>
                  <w:noWrap w:val="0"/>
                  <w:vAlign w:val="center"/>
                </w:tcPr>
                <w:p w14:paraId="6276B1FD">
                  <w:pPr>
                    <w:pStyle w:val="25"/>
                    <w:rPr>
                      <w:color w:val="000000"/>
                      <w:highlight w:val="none"/>
                    </w:rPr>
                  </w:pPr>
                  <w:r>
                    <w:rPr>
                      <w:color w:val="000000"/>
                      <w:highlight w:val="none"/>
                    </w:rPr>
                    <w:t>SO</w:t>
                  </w:r>
                  <w:r>
                    <w:rPr>
                      <w:color w:val="000000"/>
                      <w:highlight w:val="none"/>
                      <w:vertAlign w:val="subscript"/>
                    </w:rPr>
                    <w:t>2</w:t>
                  </w:r>
                </w:p>
              </w:tc>
              <w:tc>
                <w:tcPr>
                  <w:tcW w:w="2715" w:type="dxa"/>
                  <w:noWrap/>
                  <w:vAlign w:val="center"/>
                </w:tcPr>
                <w:p w14:paraId="7B8C9420">
                  <w:pPr>
                    <w:pStyle w:val="25"/>
                    <w:rPr>
                      <w:color w:val="000000"/>
                      <w:highlight w:val="none"/>
                    </w:rPr>
                  </w:pPr>
                  <w:r>
                    <w:rPr>
                      <w:color w:val="000000"/>
                      <w:highlight w:val="none"/>
                    </w:rPr>
                    <w:t>0.02</w:t>
                  </w:r>
                </w:p>
              </w:tc>
              <w:tc>
                <w:tcPr>
                  <w:tcW w:w="2316" w:type="dxa"/>
                  <w:vMerge w:val="continue"/>
                  <w:noWrap/>
                  <w:vAlign w:val="center"/>
                </w:tcPr>
                <w:p w14:paraId="27C85CD7">
                  <w:pPr>
                    <w:pStyle w:val="25"/>
                    <w:rPr>
                      <w:color w:val="000000"/>
                      <w:highlight w:val="none"/>
                    </w:rPr>
                  </w:pPr>
                </w:p>
              </w:tc>
              <w:tc>
                <w:tcPr>
                  <w:tcW w:w="1917" w:type="dxa"/>
                  <w:noWrap/>
                  <w:vAlign w:val="center"/>
                </w:tcPr>
                <w:p w14:paraId="5FEE4CF5">
                  <w:pPr>
                    <w:widowControl/>
                    <w:textAlignment w:val="center"/>
                    <w:rPr>
                      <w:rFonts w:hint="eastAsia"/>
                      <w:color w:val="000000"/>
                      <w:sz w:val="21"/>
                      <w:szCs w:val="21"/>
                      <w:highlight w:val="none"/>
                    </w:rPr>
                  </w:pPr>
                  <w:r>
                    <w:rPr>
                      <w:rFonts w:hint="eastAsia"/>
                      <w:color w:val="000000"/>
                      <w:sz w:val="21"/>
                      <w:szCs w:val="21"/>
                      <w:highlight w:val="none"/>
                    </w:rPr>
                    <w:t>0.005</w:t>
                  </w:r>
                </w:p>
              </w:tc>
            </w:tr>
            <w:tr w14:paraId="00C0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9" w:type="dxa"/>
                  <w:noWrap w:val="0"/>
                  <w:vAlign w:val="center"/>
                </w:tcPr>
                <w:p w14:paraId="78000748">
                  <w:pPr>
                    <w:pStyle w:val="25"/>
                    <w:rPr>
                      <w:color w:val="000000"/>
                      <w:highlight w:val="none"/>
                    </w:rPr>
                  </w:pPr>
                  <w:r>
                    <w:rPr>
                      <w:color w:val="000000"/>
                      <w:highlight w:val="none"/>
                    </w:rPr>
                    <w:t>PM</w:t>
                  </w:r>
                  <w:r>
                    <w:rPr>
                      <w:color w:val="000000"/>
                      <w:highlight w:val="none"/>
                      <w:vertAlign w:val="subscript"/>
                    </w:rPr>
                    <w:t>10</w:t>
                  </w:r>
                </w:p>
              </w:tc>
              <w:tc>
                <w:tcPr>
                  <w:tcW w:w="2715" w:type="dxa"/>
                  <w:noWrap/>
                  <w:vAlign w:val="center"/>
                </w:tcPr>
                <w:p w14:paraId="7E07D397">
                  <w:pPr>
                    <w:pStyle w:val="25"/>
                    <w:rPr>
                      <w:color w:val="000000"/>
                      <w:highlight w:val="none"/>
                    </w:rPr>
                  </w:pPr>
                  <w:r>
                    <w:rPr>
                      <w:color w:val="000000"/>
                      <w:highlight w:val="none"/>
                    </w:rPr>
                    <w:t>2.09</w:t>
                  </w:r>
                </w:p>
              </w:tc>
              <w:tc>
                <w:tcPr>
                  <w:tcW w:w="2316" w:type="dxa"/>
                  <w:vMerge w:val="continue"/>
                  <w:noWrap/>
                  <w:vAlign w:val="center"/>
                </w:tcPr>
                <w:p w14:paraId="49767120">
                  <w:pPr>
                    <w:pStyle w:val="25"/>
                    <w:rPr>
                      <w:color w:val="000000"/>
                      <w:highlight w:val="none"/>
                    </w:rPr>
                  </w:pPr>
                </w:p>
              </w:tc>
              <w:tc>
                <w:tcPr>
                  <w:tcW w:w="1917" w:type="dxa"/>
                  <w:noWrap/>
                  <w:vAlign w:val="center"/>
                </w:tcPr>
                <w:p w14:paraId="3BF41485">
                  <w:pPr>
                    <w:widowControl/>
                    <w:textAlignment w:val="center"/>
                    <w:rPr>
                      <w:color w:val="000000"/>
                      <w:sz w:val="21"/>
                      <w:szCs w:val="21"/>
                      <w:highlight w:val="none"/>
                    </w:rPr>
                  </w:pPr>
                  <w:r>
                    <w:rPr>
                      <w:rFonts w:hint="eastAsia"/>
                      <w:color w:val="000000"/>
                      <w:sz w:val="21"/>
                      <w:szCs w:val="21"/>
                      <w:highlight w:val="none"/>
                    </w:rPr>
                    <w:t>0.582</w:t>
                  </w:r>
                </w:p>
              </w:tc>
            </w:tr>
            <w:tr w14:paraId="352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9" w:type="dxa"/>
                  <w:noWrap w:val="0"/>
                  <w:vAlign w:val="center"/>
                </w:tcPr>
                <w:p w14:paraId="01FC7001">
                  <w:pPr>
                    <w:pStyle w:val="25"/>
                    <w:rPr>
                      <w:color w:val="000000"/>
                      <w:highlight w:val="none"/>
                    </w:rPr>
                  </w:pPr>
                  <w:r>
                    <w:rPr>
                      <w:color w:val="000000"/>
                      <w:highlight w:val="none"/>
                    </w:rPr>
                    <w:t>PM</w:t>
                  </w:r>
                  <w:r>
                    <w:rPr>
                      <w:color w:val="000000"/>
                      <w:highlight w:val="none"/>
                      <w:vertAlign w:val="subscript"/>
                    </w:rPr>
                    <w:t>2.5</w:t>
                  </w:r>
                </w:p>
              </w:tc>
              <w:tc>
                <w:tcPr>
                  <w:tcW w:w="2715" w:type="dxa"/>
                  <w:noWrap/>
                  <w:vAlign w:val="center"/>
                </w:tcPr>
                <w:p w14:paraId="4AF5E4A1">
                  <w:pPr>
                    <w:pStyle w:val="25"/>
                    <w:rPr>
                      <w:color w:val="000000"/>
                      <w:highlight w:val="none"/>
                    </w:rPr>
                  </w:pPr>
                  <w:r>
                    <w:rPr>
                      <w:color w:val="000000"/>
                      <w:highlight w:val="none"/>
                    </w:rPr>
                    <w:t>2.09</w:t>
                  </w:r>
                </w:p>
              </w:tc>
              <w:tc>
                <w:tcPr>
                  <w:tcW w:w="2316" w:type="dxa"/>
                  <w:vMerge w:val="continue"/>
                  <w:noWrap/>
                  <w:vAlign w:val="center"/>
                </w:tcPr>
                <w:p w14:paraId="34C6BE67">
                  <w:pPr>
                    <w:pStyle w:val="25"/>
                    <w:rPr>
                      <w:color w:val="000000"/>
                      <w:highlight w:val="none"/>
                    </w:rPr>
                  </w:pPr>
                </w:p>
              </w:tc>
              <w:tc>
                <w:tcPr>
                  <w:tcW w:w="1917" w:type="dxa"/>
                  <w:noWrap/>
                  <w:vAlign w:val="center"/>
                </w:tcPr>
                <w:p w14:paraId="5D91257C">
                  <w:pPr>
                    <w:widowControl/>
                    <w:textAlignment w:val="center"/>
                    <w:rPr>
                      <w:color w:val="000000"/>
                      <w:sz w:val="21"/>
                      <w:szCs w:val="21"/>
                      <w:highlight w:val="none"/>
                    </w:rPr>
                  </w:pPr>
                  <w:r>
                    <w:rPr>
                      <w:rFonts w:hint="eastAsia"/>
                      <w:color w:val="000000"/>
                      <w:sz w:val="21"/>
                      <w:szCs w:val="21"/>
                      <w:highlight w:val="none"/>
                    </w:rPr>
                    <w:t>0.582</w:t>
                  </w:r>
                </w:p>
              </w:tc>
            </w:tr>
          </w:tbl>
          <w:p w14:paraId="5CC79CD3">
            <w:pPr>
              <w:pStyle w:val="24"/>
              <w:adjustRightInd/>
              <w:snapToGrid/>
              <w:ind w:firstLine="0" w:firstLineChars="0"/>
              <w:rPr>
                <w:rStyle w:val="18"/>
                <w:rFonts w:hint="default" w:ascii="Times New Roman" w:hAnsi="Times New Roman" w:cs="Times New Roman"/>
                <w:color w:val="000000"/>
                <w:kern w:val="0"/>
                <w:szCs w:val="21"/>
                <w:highlight w:val="none"/>
              </w:rPr>
            </w:pPr>
            <w:r>
              <w:rPr>
                <w:rFonts w:hint="default" w:ascii="Times New Roman" w:hAnsi="Times New Roman" w:cs="Times New Roman"/>
                <w:color w:val="000000"/>
                <w:sz w:val="21"/>
                <w:szCs w:val="21"/>
                <w:highlight w:val="none"/>
              </w:rPr>
              <w:t>注：据《车用柴油》（GB19147-2016）表3要求，车用柴油（</w:t>
            </w:r>
            <w:r>
              <w:rPr>
                <w:rFonts w:hint="default" w:ascii="Times New Roman" w:hAnsi="Times New Roman" w:cs="Times New Roman"/>
                <w:color w:val="000000"/>
                <w:sz w:val="21"/>
                <w:szCs w:val="21"/>
                <w:highlight w:val="none"/>
              </w:rPr>
              <w:fldChar w:fldCharType="begin"/>
            </w:r>
            <w:r>
              <w:rPr>
                <w:rFonts w:hint="default" w:ascii="Times New Roman" w:hAnsi="Times New Roman" w:cs="Times New Roman"/>
                <w:color w:val="000000"/>
                <w:sz w:val="21"/>
                <w:szCs w:val="21"/>
                <w:highlight w:val="none"/>
              </w:rPr>
              <w:instrText xml:space="preserve"> = 6 \* ROMAN \* MERGEFORMAT </w:instrText>
            </w:r>
            <w:r>
              <w:rPr>
                <w:rFonts w:hint="default" w:ascii="Times New Roman" w:hAnsi="Times New Roman" w:cs="Times New Roman"/>
                <w:color w:val="000000"/>
                <w:sz w:val="21"/>
                <w:szCs w:val="21"/>
                <w:highlight w:val="none"/>
              </w:rPr>
              <w:fldChar w:fldCharType="separate"/>
            </w:r>
            <w:r>
              <w:rPr>
                <w:rFonts w:hint="default" w:ascii="Times New Roman" w:hAnsi="Times New Roman" w:cs="Times New Roman"/>
                <w:color w:val="000000"/>
                <w:sz w:val="21"/>
                <w:szCs w:val="21"/>
                <w:highlight w:val="none"/>
              </w:rPr>
              <w:t>VI</w:t>
            </w:r>
            <w:r>
              <w:rPr>
                <w:rFonts w:hint="default" w:ascii="Times New Roman" w:hAnsi="Times New Roman" w:cs="Times New Roman"/>
                <w:color w:val="000000"/>
                <w:sz w:val="21"/>
                <w:szCs w:val="21"/>
                <w:highlight w:val="none"/>
              </w:rPr>
              <w:fldChar w:fldCharType="end"/>
            </w:r>
            <w:r>
              <w:rPr>
                <w:rFonts w:hint="default" w:ascii="Times New Roman" w:hAnsi="Times New Roman" w:cs="Times New Roman"/>
                <w:color w:val="000000"/>
                <w:sz w:val="21"/>
                <w:szCs w:val="21"/>
                <w:highlight w:val="none"/>
              </w:rPr>
              <w:t>）中硫的含量≤10mg/kg，燃烧1t柴油产生的SO</w:t>
            </w:r>
            <w:r>
              <w:rPr>
                <w:rFonts w:hint="default" w:ascii="Times New Roman" w:hAnsi="Times New Roman" w:cs="Times New Roman"/>
                <w:color w:val="000000"/>
                <w:sz w:val="21"/>
                <w:szCs w:val="21"/>
                <w:highlight w:val="none"/>
                <w:vertAlign w:val="subscript"/>
              </w:rPr>
              <w:t>2</w:t>
            </w:r>
            <w:r>
              <w:rPr>
                <w:rFonts w:hint="default" w:ascii="Times New Roman" w:hAnsi="Times New Roman" w:cs="Times New Roman"/>
                <w:color w:val="000000"/>
                <w:sz w:val="21"/>
                <w:szCs w:val="21"/>
                <w:highlight w:val="none"/>
              </w:rPr>
              <w:t>为0.02kg。</w:t>
            </w:r>
          </w:p>
          <w:p w14:paraId="5DCA1135">
            <w:pPr>
              <w:pStyle w:val="24"/>
              <w:rPr>
                <w:color w:val="000000"/>
                <w:sz w:val="24"/>
                <w:szCs w:val="24"/>
                <w:highlight w:val="none"/>
              </w:rPr>
            </w:pPr>
            <w:r>
              <w:rPr>
                <w:color w:val="000000"/>
                <w:sz w:val="24"/>
                <w:szCs w:val="24"/>
                <w:highlight w:val="none"/>
              </w:rPr>
              <w:t>钻井期及试油期定期对柴油机、柴油发电机等设备进行维护，并且采用高品质的柴油、添加柴油助燃剂等措施，在很大程度上可降低柴油燃烧污染物的排放，减轻对大气环境的影响。钻井期间排放的大气污染物将随钻井工程的结束而消失。</w:t>
            </w:r>
          </w:p>
          <w:p w14:paraId="6CF2E581">
            <w:pPr>
              <w:pStyle w:val="24"/>
              <w:rPr>
                <w:color w:val="000000"/>
                <w:sz w:val="24"/>
                <w:szCs w:val="24"/>
                <w:highlight w:val="none"/>
              </w:rPr>
            </w:pPr>
            <w:r>
              <w:rPr>
                <w:color w:val="000000"/>
                <w:sz w:val="24"/>
                <w:szCs w:val="24"/>
                <w:highlight w:val="none"/>
              </w:rPr>
              <w:t>（2）扬尘</w:t>
            </w:r>
          </w:p>
          <w:bookmarkEnd w:id="15"/>
          <w:p w14:paraId="29EF913A">
            <w:pPr>
              <w:pStyle w:val="24"/>
              <w:jc w:val="both"/>
              <w:rPr>
                <w:color w:val="000000"/>
                <w:sz w:val="24"/>
                <w:szCs w:val="24"/>
                <w:highlight w:val="none"/>
              </w:rPr>
            </w:pPr>
            <w:r>
              <w:rPr>
                <w:color w:val="000000"/>
                <w:sz w:val="24"/>
                <w:szCs w:val="24"/>
                <w:highlight w:val="none"/>
              </w:rPr>
              <w:t>施工期扬尘污染主要造成大气</w:t>
            </w:r>
            <w:r>
              <w:rPr>
                <w:rFonts w:hint="default" w:ascii="Times New Roman" w:hAnsi="Times New Roman" w:cs="Times New Roman"/>
                <w:color w:val="000000"/>
                <w:sz w:val="24"/>
                <w:szCs w:val="24"/>
                <w:highlight w:val="none"/>
              </w:rPr>
              <w:t>中TSP值增</w:t>
            </w:r>
            <w:r>
              <w:rPr>
                <w:color w:val="000000"/>
                <w:sz w:val="24"/>
                <w:szCs w:val="24"/>
                <w:highlight w:val="none"/>
              </w:rPr>
              <w:t>高，建设期进场道路修建、施工营地及井场场地平整、运输车辆行驶均会产生扬尘，采用洒水降尘，在施工场地实施每天洒水抑尘作业1次，大风天气增加洒水次数，其扬尘造成的污染距离可缩小</w:t>
            </w:r>
            <w:r>
              <w:rPr>
                <w:rFonts w:ascii="Times New Roman" w:hAnsi="Times New Roman"/>
                <w:color w:val="000000"/>
                <w:sz w:val="24"/>
                <w:szCs w:val="24"/>
                <w:highlight w:val="none"/>
              </w:rPr>
              <w:t>到20～50m</w:t>
            </w:r>
            <w:r>
              <w:rPr>
                <w:color w:val="000000"/>
                <w:sz w:val="24"/>
                <w:szCs w:val="24"/>
                <w:highlight w:val="none"/>
              </w:rPr>
              <w:t>范围，由此施工扬尘对周围环境影响较小。从影响时间、范围和程度来看，钻井施工扬尘对周围大气环境质量影响是有限的。</w:t>
            </w:r>
          </w:p>
          <w:p w14:paraId="09E716EE">
            <w:pPr>
              <w:pStyle w:val="24"/>
              <w:jc w:val="both"/>
              <w:rPr>
                <w:color w:val="000000"/>
                <w:sz w:val="24"/>
                <w:szCs w:val="24"/>
                <w:highlight w:val="none"/>
              </w:rPr>
            </w:pPr>
            <w:r>
              <w:rPr>
                <w:color w:val="000000"/>
                <w:sz w:val="24"/>
                <w:szCs w:val="24"/>
                <w:highlight w:val="none"/>
              </w:rPr>
              <w:t>项目施工期大量中型车辆出入，因此项目区内道路铺垫简易砂石路面，合理规划、选择最短的工区道路运输路线，对使用频繁的道路路面进行洒水处理，减少路面沙尘的扬起和对公路两旁土地的扰动。</w:t>
            </w:r>
          </w:p>
          <w:p w14:paraId="6CD51565">
            <w:pPr>
              <w:pStyle w:val="24"/>
              <w:jc w:val="both"/>
              <w:rPr>
                <w:color w:val="000000"/>
                <w:sz w:val="24"/>
                <w:szCs w:val="24"/>
                <w:highlight w:val="none"/>
              </w:rPr>
            </w:pPr>
            <w:r>
              <w:rPr>
                <w:color w:val="000000"/>
                <w:sz w:val="24"/>
                <w:szCs w:val="24"/>
                <w:highlight w:val="none"/>
              </w:rPr>
              <w:t>（3）伴生气燃烧废气</w:t>
            </w:r>
          </w:p>
          <w:p w14:paraId="1D7F6686">
            <w:pPr>
              <w:spacing w:line="360" w:lineRule="auto"/>
              <w:ind w:firstLine="480"/>
              <w:jc w:val="both"/>
              <w:rPr>
                <w:color w:val="000000"/>
                <w:highlight w:val="none"/>
              </w:rPr>
            </w:pPr>
            <w:r>
              <w:rPr>
                <w:color w:val="000000"/>
                <w:highlight w:val="none"/>
              </w:rPr>
              <w:t>钻井和试油过程中可能会出现伴生气排出地面的情况。伴生气通过气液分离器进行分离，并经放散管线燃放。由于勘探前油藏情况未明，伴生气产生量无法确定，伴生气放空燃烧属短期排放且产生量较少，因此，本评价不对伴生气燃烧排放的NOx和颗粒物进行量化分析。</w:t>
            </w:r>
          </w:p>
          <w:p w14:paraId="597876B8">
            <w:pPr>
              <w:spacing w:line="360" w:lineRule="auto"/>
              <w:ind w:firstLine="480"/>
              <w:jc w:val="both"/>
              <w:rPr>
                <w:color w:val="000000"/>
                <w:highlight w:val="none"/>
              </w:rPr>
            </w:pPr>
            <w:r>
              <w:rPr>
                <w:color w:val="000000"/>
                <w:highlight w:val="none"/>
              </w:rPr>
              <w:t>根据邻井组分检测结果，伴生气主要成分为甲烷，基本不含硫，燃烧后排放污染物主要为NOx和颗粒物，伴生气燃烧废气排放集中在试油期，施工期产生的污染是暂时性的，随着试油的结束而停止排放，因此，伴生气燃烧废气排放对周围环境影响较小。</w:t>
            </w:r>
          </w:p>
          <w:p w14:paraId="21F7B542">
            <w:pPr>
              <w:pStyle w:val="24"/>
              <w:rPr>
                <w:color w:val="000000"/>
                <w:sz w:val="24"/>
                <w:szCs w:val="21"/>
                <w:highlight w:val="none"/>
              </w:rPr>
            </w:pPr>
            <w:r>
              <w:rPr>
                <w:color w:val="000000"/>
                <w:sz w:val="24"/>
                <w:szCs w:val="21"/>
                <w:highlight w:val="none"/>
              </w:rPr>
              <w:t>（4）临时储罐无组织排放废气</w:t>
            </w:r>
          </w:p>
          <w:p w14:paraId="0063034B">
            <w:pPr>
              <w:spacing w:line="360" w:lineRule="auto"/>
              <w:ind w:firstLine="480"/>
              <w:jc w:val="both"/>
              <w:rPr>
                <w:color w:val="000000"/>
                <w:highlight w:val="none"/>
              </w:rPr>
            </w:pPr>
            <w:r>
              <w:rPr>
                <w:color w:val="000000"/>
                <w:highlight w:val="none"/>
              </w:rPr>
              <w:t>本项目试油期采出液暂存于井场4个20m</w:t>
            </w:r>
            <w:r>
              <w:rPr>
                <w:color w:val="000000"/>
                <w:highlight w:val="none"/>
                <w:vertAlign w:val="superscript"/>
              </w:rPr>
              <w:t>3</w:t>
            </w:r>
            <w:r>
              <w:rPr>
                <w:color w:val="000000"/>
                <w:highlight w:val="none"/>
              </w:rPr>
              <w:t>采出液储罐中，由罐车定期拉运至</w:t>
            </w:r>
            <w:r>
              <w:rPr>
                <w:rFonts w:hint="eastAsia"/>
                <w:color w:val="000000"/>
                <w:highlight w:val="none"/>
              </w:rPr>
              <w:t>石西集中处理站</w:t>
            </w:r>
            <w:r>
              <w:rPr>
                <w:color w:val="000000"/>
                <w:highlight w:val="none"/>
              </w:rPr>
              <w:t>处理，原油装车过程中会产生VOCs，根据《石化行业VOC</w:t>
            </w:r>
            <w:r>
              <w:rPr>
                <w:color w:val="000000"/>
                <w:highlight w:val="none"/>
                <w:vertAlign w:val="subscript"/>
              </w:rPr>
              <w:t>S</w:t>
            </w:r>
            <w:r>
              <w:rPr>
                <w:color w:val="000000"/>
                <w:highlight w:val="none"/>
              </w:rPr>
              <w:t>污染源排查工作指南》，装载过程VOCs排放量与物料年周转量、装载温度、装载物料的真实蒸气压等因素有关。由于试油过程具有很大的不确定性，无法确定试油阶段原油产能情况，因此本评价仅对装载过程产生的VOCs进行定性分析，不进行定量计算。本环评要求建设单位在试油阶段原油装载应符合《陆上石油天然气开采工业大气污染物排放标准》（GB39728-2020）要求，采用底部装载或顶部浸没式装载方式，采用顶部浸没式装载的，出口管口距离罐底部高度应小于200mm。原油装载仅在试油期进行，随试油期结束而终止。</w:t>
            </w:r>
          </w:p>
          <w:p w14:paraId="3432E3BD">
            <w:pPr>
              <w:pStyle w:val="3"/>
              <w:rPr>
                <w:color w:val="000000"/>
                <w:szCs w:val="24"/>
                <w:highlight w:val="none"/>
              </w:rPr>
            </w:pPr>
            <w:r>
              <w:rPr>
                <w:color w:val="000000"/>
                <w:szCs w:val="24"/>
                <w:highlight w:val="none"/>
              </w:rPr>
              <w:t>2 施工期废水影响分析</w:t>
            </w:r>
          </w:p>
          <w:p w14:paraId="62EE4BD0">
            <w:pPr>
              <w:pStyle w:val="24"/>
              <w:rPr>
                <w:rFonts w:ascii="Times New Roman" w:hAnsi="Times New Roman"/>
                <w:color w:val="000000"/>
                <w:sz w:val="24"/>
                <w:szCs w:val="21"/>
                <w:highlight w:val="none"/>
              </w:rPr>
            </w:pPr>
            <w:bookmarkStart w:id="18" w:name="_Hlk47368712"/>
            <w:r>
              <w:rPr>
                <w:rFonts w:ascii="Times New Roman" w:hAnsi="Times New Roman"/>
                <w:color w:val="000000"/>
                <w:sz w:val="24"/>
                <w:szCs w:val="21"/>
                <w:highlight w:val="none"/>
              </w:rPr>
              <w:t>本项目在钻井施工过程中采用“钻井泥浆不落地技术”，分离出的液相循环使用，无钻井废水产生。本项目废水主要为井下作业废水（洗井废水、压裂返排液）和生活污水。</w:t>
            </w:r>
          </w:p>
          <w:bookmarkEnd w:id="18"/>
          <w:p w14:paraId="18A2772F">
            <w:pPr>
              <w:pStyle w:val="24"/>
              <w:rPr>
                <w:rFonts w:ascii="Times New Roman" w:hAnsi="Times New Roman"/>
                <w:color w:val="000000"/>
                <w:sz w:val="24"/>
                <w:szCs w:val="21"/>
                <w:highlight w:val="none"/>
              </w:rPr>
            </w:pPr>
            <w:bookmarkStart w:id="19" w:name="_Hlk44517595"/>
            <w:r>
              <w:rPr>
                <w:rFonts w:ascii="Times New Roman" w:hAnsi="Times New Roman"/>
                <w:color w:val="000000"/>
                <w:sz w:val="24"/>
                <w:szCs w:val="21"/>
                <w:highlight w:val="none"/>
              </w:rPr>
              <w:t>（1）洗井废水</w:t>
            </w:r>
          </w:p>
          <w:p w14:paraId="32EE2949">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参照《排放源统计调查产排污核算方法和系数手册》（公告2021年第24号）中与石油和天然气开采有关的服务活动产排污系数计算洗井废水的产生量，见表4-4。</w:t>
            </w:r>
            <w:bookmarkStart w:id="20" w:name="_Hlk5211222"/>
          </w:p>
          <w:bookmarkEnd w:id="20"/>
          <w:p w14:paraId="074E7096">
            <w:pPr>
              <w:pStyle w:val="19"/>
              <w:rPr>
                <w:color w:val="000000"/>
                <w:szCs w:val="21"/>
                <w:highlight w:val="none"/>
                <w:lang w:bidi="ar"/>
              </w:rPr>
            </w:pPr>
            <w:r>
              <w:rPr>
                <w:color w:val="000000"/>
                <w:szCs w:val="21"/>
                <w:highlight w:val="none"/>
                <w:lang w:bidi="ar"/>
              </w:rPr>
              <w:t>表</w:t>
            </w:r>
            <w:r>
              <w:rPr>
                <w:color w:val="000000"/>
                <w:szCs w:val="21"/>
                <w:highlight w:val="none"/>
              </w:rPr>
              <w:t>4-4</w:t>
            </w:r>
            <w:r>
              <w:rPr>
                <w:color w:val="000000"/>
                <w:szCs w:val="21"/>
                <w:highlight w:val="none"/>
                <w:lang w:bidi="ar"/>
              </w:rPr>
              <w:t xml:space="preserve">    与石油和天然气开采有关的服务活动产排污系数一览表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846"/>
              <w:gridCol w:w="1184"/>
              <w:gridCol w:w="1014"/>
              <w:gridCol w:w="1660"/>
              <w:gridCol w:w="1675"/>
              <w:gridCol w:w="1312"/>
            </w:tblGrid>
            <w:tr w14:paraId="18F7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2" w:type="pct"/>
                  <w:noWrap w:val="0"/>
                  <w:vAlign w:val="center"/>
                </w:tcPr>
                <w:p w14:paraId="3328A86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产品</w:t>
                  </w:r>
                </w:p>
                <w:p w14:paraId="4A0F402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名称</w:t>
                  </w:r>
                </w:p>
              </w:tc>
              <w:tc>
                <w:tcPr>
                  <w:tcW w:w="465" w:type="pct"/>
                  <w:noWrap w:val="0"/>
                  <w:vAlign w:val="center"/>
                </w:tcPr>
                <w:p w14:paraId="51591920">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原料</w:t>
                  </w:r>
                </w:p>
                <w:p w14:paraId="53BC7778">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名称</w:t>
                  </w:r>
                </w:p>
              </w:tc>
              <w:tc>
                <w:tcPr>
                  <w:tcW w:w="703" w:type="pct"/>
                  <w:noWrap w:val="0"/>
                  <w:vAlign w:val="center"/>
                </w:tcPr>
                <w:p w14:paraId="682D2AC0">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工艺名称</w:t>
                  </w:r>
                </w:p>
              </w:tc>
              <w:tc>
                <w:tcPr>
                  <w:tcW w:w="603" w:type="pct"/>
                  <w:noWrap w:val="0"/>
                  <w:vAlign w:val="center"/>
                </w:tcPr>
                <w:p w14:paraId="7892D4C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规模等级</w:t>
                  </w:r>
                </w:p>
              </w:tc>
              <w:tc>
                <w:tcPr>
                  <w:tcW w:w="983" w:type="pct"/>
                  <w:noWrap w:val="0"/>
                  <w:vAlign w:val="center"/>
                </w:tcPr>
                <w:p w14:paraId="4C219BC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污染物指标</w:t>
                  </w:r>
                </w:p>
              </w:tc>
              <w:tc>
                <w:tcPr>
                  <w:tcW w:w="992" w:type="pct"/>
                  <w:noWrap w:val="0"/>
                  <w:vAlign w:val="center"/>
                </w:tcPr>
                <w:p w14:paraId="0FF2D6BF">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单位</w:t>
                  </w:r>
                </w:p>
              </w:tc>
              <w:tc>
                <w:tcPr>
                  <w:tcW w:w="778" w:type="pct"/>
                  <w:noWrap w:val="0"/>
                  <w:vAlign w:val="center"/>
                </w:tcPr>
                <w:p w14:paraId="617D46E5">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产排污</w:t>
                  </w:r>
                </w:p>
                <w:p w14:paraId="5628D87C">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系数</w:t>
                  </w:r>
                </w:p>
              </w:tc>
            </w:tr>
            <w:tr w14:paraId="4263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2" w:type="pct"/>
                  <w:vMerge w:val="restart"/>
                  <w:noWrap w:val="0"/>
                  <w:vAlign w:val="center"/>
                </w:tcPr>
                <w:p w14:paraId="04C8502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井下作业</w:t>
                  </w:r>
                </w:p>
              </w:tc>
              <w:tc>
                <w:tcPr>
                  <w:tcW w:w="465" w:type="pct"/>
                  <w:vMerge w:val="restart"/>
                  <w:noWrap w:val="0"/>
                  <w:vAlign w:val="center"/>
                </w:tcPr>
                <w:p w14:paraId="02BD5169">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洗井液（水）</w:t>
                  </w:r>
                </w:p>
              </w:tc>
              <w:tc>
                <w:tcPr>
                  <w:tcW w:w="703" w:type="pct"/>
                  <w:vMerge w:val="restart"/>
                  <w:noWrap w:val="0"/>
                  <w:vAlign w:val="center"/>
                </w:tcPr>
                <w:p w14:paraId="6EC446DA">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低渗透油井洗井作业</w:t>
                  </w:r>
                </w:p>
              </w:tc>
              <w:tc>
                <w:tcPr>
                  <w:tcW w:w="603" w:type="pct"/>
                  <w:vMerge w:val="restart"/>
                  <w:noWrap w:val="0"/>
                  <w:vAlign w:val="center"/>
                </w:tcPr>
                <w:p w14:paraId="08F16369">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所有</w:t>
                  </w:r>
                </w:p>
                <w:p w14:paraId="4486319E">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规模</w:t>
                  </w:r>
                </w:p>
              </w:tc>
              <w:tc>
                <w:tcPr>
                  <w:tcW w:w="983" w:type="pct"/>
                  <w:noWrap w:val="0"/>
                  <w:vAlign w:val="center"/>
                </w:tcPr>
                <w:p w14:paraId="3F01E0C4">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工业废水量</w:t>
                  </w:r>
                </w:p>
              </w:tc>
              <w:tc>
                <w:tcPr>
                  <w:tcW w:w="992" w:type="pct"/>
                  <w:noWrap w:val="0"/>
                  <w:vAlign w:val="center"/>
                </w:tcPr>
                <w:p w14:paraId="23F6B7C9">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hint="eastAsia" w:ascii="Times New Roman" w:hAnsi="Times New Roman"/>
                      <w:color w:val="000000"/>
                      <w:sz w:val="21"/>
                      <w:szCs w:val="21"/>
                      <w:highlight w:val="none"/>
                      <w:lang w:bidi="ar"/>
                    </w:rPr>
                    <w:t>吨</w:t>
                  </w:r>
                  <w:r>
                    <w:rPr>
                      <w:rFonts w:ascii="Times New Roman" w:hAnsi="Times New Roman"/>
                      <w:color w:val="000000"/>
                      <w:sz w:val="21"/>
                      <w:szCs w:val="21"/>
                      <w:highlight w:val="none"/>
                      <w:lang w:bidi="ar"/>
                    </w:rPr>
                    <w:t>/井次-产品</w:t>
                  </w:r>
                </w:p>
              </w:tc>
              <w:tc>
                <w:tcPr>
                  <w:tcW w:w="778" w:type="pct"/>
                  <w:noWrap w:val="0"/>
                  <w:vAlign w:val="center"/>
                </w:tcPr>
                <w:p w14:paraId="3BD76D4F">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kern w:val="2"/>
                      <w:sz w:val="21"/>
                      <w:szCs w:val="21"/>
                      <w:highlight w:val="none"/>
                      <w:lang w:bidi="ar"/>
                    </w:rPr>
                    <w:t>27.13</w:t>
                  </w:r>
                </w:p>
              </w:tc>
            </w:tr>
            <w:tr w14:paraId="77F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2" w:type="pct"/>
                  <w:vMerge w:val="continue"/>
                  <w:noWrap w:val="0"/>
                  <w:vAlign w:val="center"/>
                </w:tcPr>
                <w:p w14:paraId="2C0814EE">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465" w:type="pct"/>
                  <w:vMerge w:val="continue"/>
                  <w:noWrap w:val="0"/>
                  <w:vAlign w:val="center"/>
                </w:tcPr>
                <w:p w14:paraId="3211AA7C">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703" w:type="pct"/>
                  <w:vMerge w:val="continue"/>
                  <w:noWrap w:val="0"/>
                  <w:vAlign w:val="center"/>
                </w:tcPr>
                <w:p w14:paraId="0FB01EA2">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603" w:type="pct"/>
                  <w:vMerge w:val="continue"/>
                  <w:noWrap w:val="0"/>
                  <w:vAlign w:val="center"/>
                </w:tcPr>
                <w:p w14:paraId="2E93338B">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983" w:type="pct"/>
                  <w:noWrap w:val="0"/>
                  <w:vAlign w:val="center"/>
                </w:tcPr>
                <w:p w14:paraId="43EE4F53">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化学需氧量</w:t>
                  </w:r>
                </w:p>
              </w:tc>
              <w:tc>
                <w:tcPr>
                  <w:tcW w:w="992" w:type="pct"/>
                  <w:noWrap w:val="0"/>
                  <w:vAlign w:val="center"/>
                </w:tcPr>
                <w:p w14:paraId="030DE311">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hint="eastAsia" w:ascii="Times New Roman" w:hAnsi="Times New Roman"/>
                      <w:color w:val="000000"/>
                      <w:sz w:val="21"/>
                      <w:szCs w:val="21"/>
                      <w:highlight w:val="none"/>
                      <w:lang w:bidi="ar"/>
                    </w:rPr>
                    <w:t>克</w:t>
                  </w:r>
                  <w:r>
                    <w:rPr>
                      <w:rFonts w:ascii="Times New Roman" w:hAnsi="Times New Roman"/>
                      <w:color w:val="000000"/>
                      <w:sz w:val="21"/>
                      <w:szCs w:val="21"/>
                      <w:highlight w:val="none"/>
                      <w:lang w:bidi="ar"/>
                    </w:rPr>
                    <w:t>/井次-产品</w:t>
                  </w:r>
                </w:p>
              </w:tc>
              <w:tc>
                <w:tcPr>
                  <w:tcW w:w="778" w:type="pct"/>
                  <w:noWrap w:val="0"/>
                  <w:vAlign w:val="center"/>
                </w:tcPr>
                <w:p w14:paraId="3688054B">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kern w:val="2"/>
                      <w:sz w:val="21"/>
                      <w:szCs w:val="21"/>
                      <w:highlight w:val="none"/>
                      <w:lang w:bidi="ar"/>
                    </w:rPr>
                    <w:t>34679</w:t>
                  </w:r>
                </w:p>
              </w:tc>
            </w:tr>
            <w:tr w14:paraId="6EC7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2" w:type="pct"/>
                  <w:vMerge w:val="continue"/>
                  <w:noWrap w:val="0"/>
                  <w:vAlign w:val="center"/>
                </w:tcPr>
                <w:p w14:paraId="0A071EF9">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465" w:type="pct"/>
                  <w:vMerge w:val="continue"/>
                  <w:noWrap w:val="0"/>
                  <w:vAlign w:val="center"/>
                </w:tcPr>
                <w:p w14:paraId="4EA32740">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703" w:type="pct"/>
                  <w:vMerge w:val="continue"/>
                  <w:noWrap w:val="0"/>
                  <w:vAlign w:val="center"/>
                </w:tcPr>
                <w:p w14:paraId="39320C13">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603" w:type="pct"/>
                  <w:vMerge w:val="continue"/>
                  <w:noWrap w:val="0"/>
                  <w:vAlign w:val="center"/>
                </w:tcPr>
                <w:p w14:paraId="6BB69990">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p>
              </w:tc>
              <w:tc>
                <w:tcPr>
                  <w:tcW w:w="983" w:type="pct"/>
                  <w:noWrap w:val="0"/>
                  <w:vAlign w:val="center"/>
                </w:tcPr>
                <w:p w14:paraId="6F176858">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sz w:val="21"/>
                      <w:szCs w:val="21"/>
                      <w:highlight w:val="none"/>
                      <w:lang w:bidi="ar"/>
                    </w:rPr>
                    <w:t>石油类</w:t>
                  </w:r>
                </w:p>
              </w:tc>
              <w:tc>
                <w:tcPr>
                  <w:tcW w:w="992" w:type="pct"/>
                  <w:noWrap w:val="0"/>
                  <w:vAlign w:val="center"/>
                </w:tcPr>
                <w:p w14:paraId="59876267">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hint="eastAsia" w:ascii="Times New Roman" w:hAnsi="Times New Roman"/>
                      <w:color w:val="000000"/>
                      <w:sz w:val="21"/>
                      <w:szCs w:val="21"/>
                      <w:highlight w:val="none"/>
                      <w:lang w:bidi="ar"/>
                    </w:rPr>
                    <w:t>克</w:t>
                  </w:r>
                  <w:r>
                    <w:rPr>
                      <w:rFonts w:ascii="Times New Roman" w:hAnsi="Times New Roman"/>
                      <w:color w:val="000000"/>
                      <w:sz w:val="21"/>
                      <w:szCs w:val="21"/>
                      <w:highlight w:val="none"/>
                      <w:lang w:bidi="ar"/>
                    </w:rPr>
                    <w:t>/井次-产品</w:t>
                  </w:r>
                </w:p>
              </w:tc>
              <w:tc>
                <w:tcPr>
                  <w:tcW w:w="778" w:type="pct"/>
                  <w:noWrap w:val="0"/>
                  <w:vAlign w:val="center"/>
                </w:tcPr>
                <w:p w14:paraId="6D05305B">
                  <w:pPr>
                    <w:pStyle w:val="14"/>
                    <w:widowControl w:val="0"/>
                    <w:spacing w:before="0" w:beforeAutospacing="0" w:after="0" w:afterAutospacing="0"/>
                    <w:contextualSpacing/>
                    <w:jc w:val="center"/>
                    <w:rPr>
                      <w:rFonts w:ascii="Times New Roman" w:hAnsi="Times New Roman"/>
                      <w:color w:val="000000"/>
                      <w:sz w:val="21"/>
                      <w:szCs w:val="21"/>
                      <w:highlight w:val="none"/>
                      <w:lang w:bidi="ar"/>
                    </w:rPr>
                  </w:pPr>
                  <w:r>
                    <w:rPr>
                      <w:rFonts w:ascii="Times New Roman" w:hAnsi="Times New Roman"/>
                      <w:color w:val="000000"/>
                      <w:kern w:val="2"/>
                      <w:sz w:val="21"/>
                      <w:szCs w:val="21"/>
                      <w:highlight w:val="none"/>
                      <w:lang w:bidi="ar"/>
                    </w:rPr>
                    <w:t>6122</w:t>
                  </w:r>
                </w:p>
              </w:tc>
            </w:tr>
          </w:tbl>
          <w:p w14:paraId="6B9A3138">
            <w:pPr>
              <w:spacing w:line="360" w:lineRule="auto"/>
              <w:ind w:firstLine="480" w:firstLineChars="200"/>
              <w:jc w:val="both"/>
              <w:textAlignment w:val="baseline"/>
              <w:rPr>
                <w:color w:val="000000"/>
                <w:highlight w:val="none"/>
              </w:rPr>
            </w:pPr>
            <w:r>
              <w:rPr>
                <w:color w:val="000000"/>
                <w:highlight w:val="none"/>
              </w:rPr>
              <w:t>本项目</w:t>
            </w:r>
            <w:r>
              <w:rPr>
                <w:rFonts w:hint="eastAsia"/>
                <w:color w:val="000000"/>
                <w:highlight w:val="none"/>
              </w:rPr>
              <w:t>2</w:t>
            </w:r>
            <w:r>
              <w:rPr>
                <w:color w:val="000000"/>
                <w:highlight w:val="none"/>
              </w:rPr>
              <w:t>口评价井探勘期间洗井废水产生量为</w:t>
            </w:r>
            <w:r>
              <w:rPr>
                <w:rFonts w:hint="eastAsia"/>
                <w:color w:val="000000"/>
                <w:highlight w:val="none"/>
              </w:rPr>
              <w:t>54.26t</w:t>
            </w:r>
            <w:r>
              <w:rPr>
                <w:color w:val="000000"/>
                <w:highlight w:val="none"/>
              </w:rPr>
              <w:t>。化学需氧量产生量为</w:t>
            </w:r>
            <w:r>
              <w:rPr>
                <w:snapToGrid w:val="0"/>
                <w:color w:val="000000"/>
                <w:highlight w:val="none"/>
              </w:rPr>
              <w:t>0.0</w:t>
            </w:r>
            <w:r>
              <w:rPr>
                <w:rFonts w:hint="eastAsia"/>
                <w:snapToGrid w:val="0"/>
                <w:color w:val="000000"/>
                <w:highlight w:val="none"/>
              </w:rPr>
              <w:t>7t</w:t>
            </w:r>
            <w:r>
              <w:rPr>
                <w:color w:val="000000"/>
                <w:highlight w:val="none"/>
              </w:rPr>
              <w:t>，产生浓度</w:t>
            </w:r>
            <w:r>
              <w:rPr>
                <w:snapToGrid w:val="0"/>
                <w:color w:val="000000"/>
                <w:highlight w:val="none"/>
              </w:rPr>
              <w:t>1278</w:t>
            </w:r>
            <w:r>
              <w:rPr>
                <w:rFonts w:hint="eastAsia"/>
                <w:color w:val="000000"/>
                <w:highlight w:val="none"/>
              </w:rPr>
              <w:t>mg</w:t>
            </w:r>
            <w:r>
              <w:rPr>
                <w:color w:val="000000"/>
                <w:highlight w:val="none"/>
              </w:rPr>
              <w:t>/</w:t>
            </w:r>
            <w:r>
              <w:rPr>
                <w:rFonts w:hint="eastAsia"/>
                <w:color w:val="000000"/>
                <w:highlight w:val="none"/>
              </w:rPr>
              <w:t>L</w:t>
            </w:r>
            <w:r>
              <w:rPr>
                <w:color w:val="000000"/>
                <w:highlight w:val="none"/>
              </w:rPr>
              <w:t>；石油类产生量为</w:t>
            </w:r>
            <w:r>
              <w:rPr>
                <w:snapToGrid w:val="0"/>
                <w:color w:val="000000"/>
                <w:highlight w:val="none"/>
              </w:rPr>
              <w:t>0.0</w:t>
            </w:r>
            <w:r>
              <w:rPr>
                <w:rFonts w:hint="eastAsia"/>
                <w:snapToGrid w:val="0"/>
                <w:color w:val="000000"/>
                <w:highlight w:val="none"/>
              </w:rPr>
              <w:t>12t</w:t>
            </w:r>
            <w:r>
              <w:rPr>
                <w:color w:val="000000"/>
                <w:highlight w:val="none"/>
              </w:rPr>
              <w:t>，产生浓度226</w:t>
            </w:r>
            <w:r>
              <w:rPr>
                <w:rFonts w:hint="eastAsia"/>
                <w:color w:val="000000"/>
                <w:highlight w:val="none"/>
              </w:rPr>
              <w:t>mg</w:t>
            </w:r>
            <w:r>
              <w:rPr>
                <w:color w:val="000000"/>
                <w:highlight w:val="none"/>
              </w:rPr>
              <w:t>/</w:t>
            </w:r>
            <w:r>
              <w:rPr>
                <w:rFonts w:hint="eastAsia"/>
                <w:color w:val="000000"/>
                <w:highlight w:val="none"/>
              </w:rPr>
              <w:t>L</w:t>
            </w:r>
            <w:r>
              <w:rPr>
                <w:color w:val="000000"/>
                <w:highlight w:val="none"/>
              </w:rPr>
              <w:t>。</w:t>
            </w:r>
          </w:p>
          <w:p w14:paraId="452317AE">
            <w:pPr>
              <w:pStyle w:val="24"/>
              <w:adjustRightInd/>
              <w:snapToGrid/>
              <w:ind w:firstLine="496"/>
              <w:jc w:val="both"/>
              <w:rPr>
                <w:color w:val="000000"/>
                <w:spacing w:val="4"/>
                <w:sz w:val="24"/>
                <w:szCs w:val="21"/>
                <w:highlight w:val="none"/>
              </w:rPr>
            </w:pPr>
            <w:r>
              <w:rPr>
                <w:color w:val="000000"/>
                <w:spacing w:val="4"/>
                <w:sz w:val="24"/>
                <w:szCs w:val="21"/>
                <w:highlight w:val="none"/>
              </w:rPr>
              <w:t>试油期井下作业废水进入井口方罐</w:t>
            </w:r>
            <w:r>
              <w:rPr>
                <w:rFonts w:hint="eastAsia"/>
                <w:color w:val="000000"/>
                <w:spacing w:val="4"/>
                <w:sz w:val="24"/>
                <w:szCs w:val="21"/>
                <w:highlight w:val="none"/>
              </w:rPr>
              <w:t>拉</w:t>
            </w:r>
            <w:r>
              <w:rPr>
                <w:rFonts w:hint="eastAsia"/>
                <w:color w:val="000000"/>
                <w:sz w:val="24"/>
                <w:szCs w:val="21"/>
                <w:highlight w:val="none"/>
              </w:rPr>
              <w:t>运至石西集中处理站</w:t>
            </w:r>
            <w:r>
              <w:rPr>
                <w:color w:val="000000"/>
                <w:sz w:val="24"/>
                <w:szCs w:val="21"/>
                <w:highlight w:val="none"/>
              </w:rPr>
              <w:t>修井废液池中后再回收至石西</w:t>
            </w:r>
            <w:r>
              <w:rPr>
                <w:rFonts w:hint="eastAsia"/>
                <w:color w:val="000000"/>
                <w:sz w:val="24"/>
                <w:szCs w:val="21"/>
                <w:highlight w:val="none"/>
              </w:rPr>
              <w:t>采出水处理</w:t>
            </w:r>
            <w:r>
              <w:rPr>
                <w:color w:val="000000"/>
                <w:sz w:val="24"/>
                <w:szCs w:val="21"/>
                <w:highlight w:val="none"/>
              </w:rPr>
              <w:t>系统</w:t>
            </w:r>
            <w:r>
              <w:rPr>
                <w:rFonts w:hint="eastAsia"/>
                <w:color w:val="000000"/>
                <w:sz w:val="24"/>
                <w:szCs w:val="21"/>
                <w:highlight w:val="none"/>
              </w:rPr>
              <w:t>处理，处理后用于回注油藏。</w:t>
            </w:r>
          </w:p>
          <w:p w14:paraId="60D4D99A">
            <w:pPr>
              <w:pStyle w:val="24"/>
              <w:adjustRightInd/>
              <w:snapToGrid/>
              <w:ind w:firstLine="496"/>
              <w:jc w:val="both"/>
              <w:rPr>
                <w:color w:val="000000"/>
                <w:spacing w:val="4"/>
                <w:sz w:val="24"/>
                <w:szCs w:val="21"/>
                <w:highlight w:val="none"/>
              </w:rPr>
            </w:pPr>
            <w:r>
              <w:rPr>
                <w:color w:val="000000"/>
                <w:spacing w:val="4"/>
                <w:sz w:val="24"/>
                <w:szCs w:val="21"/>
                <w:highlight w:val="none"/>
              </w:rPr>
              <w:t>（2）压裂返排液</w:t>
            </w:r>
          </w:p>
          <w:p w14:paraId="76F8D3B8">
            <w:pPr>
              <w:pStyle w:val="24"/>
              <w:adjustRightInd/>
              <w:snapToGrid/>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本项目新井完钻后须进行1次压裂作业，根据《排放源统计调查产排污核算方法和系数手册》（公告2021年第24号）结果，油井加砂压裂其压裂返排液约153.21m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/井，本项目2口井，产生压裂返排液306.42m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。参考同地区压裂返排液污染物浓度调查，COD浓度1000～5000mg/L，石油类浓度200～500mg/L。</w:t>
            </w:r>
          </w:p>
          <w:p w14:paraId="490DD7A3">
            <w:pPr>
              <w:pStyle w:val="24"/>
              <w:adjustRightInd/>
              <w:snapToGrid/>
              <w:jc w:val="both"/>
              <w:rPr>
                <w:rFonts w:ascii="Times New Roman" w:hAnsi="Times New Roman"/>
                <w:color w:val="000000"/>
                <w:sz w:val="24"/>
                <w:szCs w:val="21"/>
                <w:highlight w:val="none"/>
              </w:rPr>
            </w:pPr>
            <w:r>
              <w:rPr>
                <w:rFonts w:ascii="Times New Roman" w:hAnsi="Times New Roman"/>
                <w:color w:val="000000"/>
                <w:sz w:val="24"/>
                <w:szCs w:val="21"/>
                <w:highlight w:val="none"/>
              </w:rPr>
              <w:t>压裂返排液进入罐车拉运至</w:t>
            </w:r>
            <w:r>
              <w:rPr>
                <w:rFonts w:ascii="Times New Roman" w:hAnsi="Times New Roman"/>
                <w:color w:val="000000"/>
                <w:spacing w:val="4"/>
                <w:sz w:val="24"/>
                <w:szCs w:val="21"/>
                <w:highlight w:val="none"/>
              </w:rPr>
              <w:t>石西集中处理站</w:t>
            </w:r>
            <w:r>
              <w:rPr>
                <w:rFonts w:ascii="Times New Roman" w:hAnsi="Times New Roman"/>
                <w:color w:val="000000"/>
                <w:sz w:val="24"/>
                <w:szCs w:val="21"/>
                <w:highlight w:val="none"/>
              </w:rPr>
              <w:t>，处理达到《碎屑岩油藏注水水质指标技术要求及分析方法》（SY/T5329-2022）中标准后回注油藏。</w:t>
            </w:r>
          </w:p>
          <w:bookmarkEnd w:id="19"/>
          <w:p w14:paraId="7D9C0E0F">
            <w:pPr>
              <w:pStyle w:val="24"/>
              <w:jc w:val="both"/>
              <w:rPr>
                <w:rFonts w:ascii="Times New Roman" w:hAnsi="Times New Roman"/>
                <w:color w:val="000000"/>
                <w:sz w:val="24"/>
                <w:szCs w:val="21"/>
                <w:highlight w:val="none"/>
              </w:rPr>
            </w:pPr>
            <w:bookmarkStart w:id="21" w:name="_Hlk47545961"/>
            <w:r>
              <w:rPr>
                <w:rFonts w:ascii="Times New Roman" w:hAnsi="Times New Roman"/>
                <w:color w:val="000000"/>
                <w:sz w:val="24"/>
                <w:szCs w:val="21"/>
                <w:highlight w:val="none"/>
              </w:rPr>
              <w:t>（3）生活污水</w:t>
            </w:r>
          </w:p>
          <w:p w14:paraId="35AF71B4">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本项目施工期设置施工营地，钻井期钻井人数35人，钻井周期125天，单人消耗水量80L（参考《新疆用水定额》），钻井期间生活用水量为350m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，排水系数0.8，则钻井期生活污水产生量为280m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，其排水水质与居民生活污水相近似，其中COD</w:t>
            </w:r>
            <w:r>
              <w:rPr>
                <w:rFonts w:ascii="Times New Roman" w:hAnsi="Times New Roman"/>
                <w:color w:val="000000"/>
                <w:sz w:val="24"/>
                <w:szCs w:val="21"/>
                <w:highlight w:val="none"/>
                <w:vertAlign w:val="subscript"/>
              </w:rPr>
              <w:t>Cr</w:t>
            </w:r>
            <w:r>
              <w:rPr>
                <w:rFonts w:ascii="Times New Roman" w:hAnsi="Times New Roman"/>
                <w:color w:val="000000"/>
                <w:sz w:val="24"/>
                <w:szCs w:val="21"/>
                <w:highlight w:val="none"/>
              </w:rPr>
              <w:t>产生浓度350mg/L，产生量0.098t；BOD</w:t>
            </w:r>
            <w:r>
              <w:rPr>
                <w:rFonts w:ascii="Times New Roman" w:hAnsi="Times New Roman"/>
                <w:color w:val="000000"/>
                <w:sz w:val="24"/>
                <w:szCs w:val="21"/>
                <w:highlight w:val="none"/>
                <w:vertAlign w:val="subscript"/>
              </w:rPr>
              <w:t>5</w:t>
            </w:r>
            <w:r>
              <w:rPr>
                <w:rFonts w:ascii="Times New Roman" w:hAnsi="Times New Roman"/>
                <w:color w:val="000000"/>
                <w:sz w:val="24"/>
                <w:szCs w:val="21"/>
                <w:highlight w:val="none"/>
              </w:rPr>
              <w:t>产生浓度300mg/L，产生量0.084t，SS产生浓度200mg/L，产生量0.056t，NH</w:t>
            </w:r>
            <w:r>
              <w:rPr>
                <w:rFonts w:ascii="Times New Roman" w:hAnsi="Times New Roman"/>
                <w:color w:val="000000"/>
                <w:sz w:val="24"/>
                <w:szCs w:val="21"/>
                <w:highlight w:val="none"/>
                <w:vertAlign w:val="subscript"/>
              </w:rPr>
              <w:t>3</w:t>
            </w:r>
            <w:r>
              <w:rPr>
                <w:rFonts w:ascii="Times New Roman" w:hAnsi="Times New Roman"/>
                <w:color w:val="000000"/>
                <w:sz w:val="24"/>
                <w:szCs w:val="21"/>
                <w:highlight w:val="none"/>
              </w:rPr>
              <w:t>-N产生浓度30mg/L，产生量0.008t。</w:t>
            </w:r>
            <w:bookmarkEnd w:id="21"/>
            <w:r>
              <w:rPr>
                <w:rFonts w:ascii="Times New Roman" w:hAnsi="Times New Roman"/>
                <w:color w:val="000000"/>
                <w:sz w:val="24"/>
                <w:szCs w:val="21"/>
                <w:highlight w:val="none"/>
              </w:rPr>
              <w:t>生活污水排入营地内防渗生活污水收集池（30m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），清运至</w:t>
            </w:r>
            <w:r>
              <w:rPr>
                <w:rFonts w:ascii="Times New Roman" w:hAnsi="Times New Roman"/>
                <w:color w:val="000000"/>
                <w:sz w:val="24"/>
                <w:szCs w:val="20"/>
                <w:highlight w:val="none"/>
              </w:rPr>
              <w:t>石西油田作业区生活区污水处理站</w:t>
            </w:r>
            <w:r>
              <w:rPr>
                <w:rFonts w:ascii="Times New Roman" w:hAnsi="Times New Roman"/>
                <w:color w:val="000000"/>
                <w:sz w:val="24"/>
                <w:szCs w:val="21"/>
                <w:highlight w:val="none"/>
              </w:rPr>
              <w:t>处理，</w:t>
            </w:r>
            <w:r>
              <w:rPr>
                <w:rFonts w:ascii="Times New Roman" w:hAnsi="Times New Roman"/>
                <w:bCs/>
                <w:color w:val="000000"/>
                <w:sz w:val="24"/>
                <w:szCs w:val="21"/>
                <w:highlight w:val="none"/>
              </w:rPr>
              <w:t>出水水质可满足《城镇污水处理厂污染物排放标准》（GB18918-2002）的二级标准和《城市污水再生利用 城市杂用水水质标准》（GB/T18920-2020）中城市绿化指标，处理达标后用于厂区及周围植被的绿化。</w:t>
            </w:r>
          </w:p>
          <w:p w14:paraId="3C7A1DA8">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本项目废水均合规处置，不会对区域水环境产生不利影响。施工期各类废水污染物统计情况，见表4-5。</w:t>
            </w:r>
          </w:p>
          <w:p w14:paraId="3EE45C7E">
            <w:pPr>
              <w:pStyle w:val="33"/>
              <w:spacing w:line="240" w:lineRule="auto"/>
              <w:ind w:firstLine="0" w:firstLineChars="0"/>
              <w:jc w:val="center"/>
              <w:rPr>
                <w:color w:val="000000"/>
                <w:szCs w:val="21"/>
                <w:highlight w:val="none"/>
              </w:rPr>
            </w:pPr>
            <w:bookmarkStart w:id="22" w:name="_Ref490401896"/>
            <w:r>
              <w:rPr>
                <w:color w:val="000000"/>
                <w:szCs w:val="21"/>
                <w:highlight w:val="none"/>
              </w:rPr>
              <w:t>表</w:t>
            </w:r>
            <w:bookmarkEnd w:id="22"/>
            <w:r>
              <w:rPr>
                <w:color w:val="000000"/>
                <w:szCs w:val="21"/>
                <w:highlight w:val="none"/>
              </w:rPr>
              <w:t>4-5  项目废水污染物产生量及去向</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480"/>
              <w:gridCol w:w="1258"/>
              <w:gridCol w:w="5209"/>
            </w:tblGrid>
            <w:tr w14:paraId="5168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3919618A">
                  <w:pPr>
                    <w:pStyle w:val="25"/>
                    <w:rPr>
                      <w:color w:val="000000"/>
                      <w:highlight w:val="none"/>
                    </w:rPr>
                  </w:pPr>
                  <w:r>
                    <w:rPr>
                      <w:color w:val="000000"/>
                      <w:highlight w:val="none"/>
                    </w:rPr>
                    <w:t>序号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F86FF65">
                  <w:pPr>
                    <w:pStyle w:val="25"/>
                    <w:rPr>
                      <w:color w:val="000000"/>
                      <w:highlight w:val="none"/>
                    </w:rPr>
                  </w:pPr>
                  <w:r>
                    <w:rPr>
                      <w:color w:val="000000"/>
                      <w:highlight w:val="none"/>
                    </w:rPr>
                    <w:t>污染源</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270F906E">
                  <w:pPr>
                    <w:pStyle w:val="25"/>
                    <w:rPr>
                      <w:color w:val="000000"/>
                      <w:highlight w:val="none"/>
                    </w:rPr>
                  </w:pPr>
                  <w:r>
                    <w:rPr>
                      <w:color w:val="000000"/>
                      <w:highlight w:val="none"/>
                    </w:rPr>
                    <w:t>产生量</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4FE0B137">
                  <w:pPr>
                    <w:pStyle w:val="25"/>
                    <w:rPr>
                      <w:color w:val="000000"/>
                      <w:highlight w:val="none"/>
                    </w:rPr>
                  </w:pPr>
                  <w:r>
                    <w:rPr>
                      <w:color w:val="000000"/>
                      <w:highlight w:val="none"/>
                    </w:rPr>
                    <w:t>处理去向</w:t>
                  </w:r>
                </w:p>
              </w:tc>
            </w:tr>
            <w:tr w14:paraId="4379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6ABAD6F4">
                  <w:pPr>
                    <w:pStyle w:val="25"/>
                    <w:rPr>
                      <w:color w:val="000000"/>
                      <w:highlight w:val="none"/>
                    </w:rPr>
                  </w:pPr>
                  <w:r>
                    <w:rPr>
                      <w:color w:val="000000"/>
                      <w:highlight w:val="none"/>
                    </w:rPr>
                    <w:t>1</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96053C7">
                  <w:pPr>
                    <w:pStyle w:val="25"/>
                    <w:rPr>
                      <w:color w:val="000000"/>
                      <w:highlight w:val="none"/>
                    </w:rPr>
                  </w:pPr>
                  <w:r>
                    <w:rPr>
                      <w:color w:val="000000"/>
                      <w:highlight w:val="none"/>
                    </w:rPr>
                    <w:t>洗井废水</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50647F80">
                  <w:pPr>
                    <w:pStyle w:val="25"/>
                    <w:rPr>
                      <w:color w:val="000000"/>
                      <w:highlight w:val="none"/>
                    </w:rPr>
                  </w:pPr>
                  <w:r>
                    <w:rPr>
                      <w:rFonts w:hint="eastAsia"/>
                      <w:color w:val="000000"/>
                      <w:highlight w:val="none"/>
                    </w:rPr>
                    <w:t>54.26</w:t>
                  </w:r>
                  <w:r>
                    <w:rPr>
                      <w:color w:val="000000"/>
                      <w:highlight w:val="none"/>
                    </w:rPr>
                    <w:t>m</w:t>
                  </w:r>
                  <w:r>
                    <w:rPr>
                      <w:color w:val="000000"/>
                      <w:highlight w:val="none"/>
                      <w:vertAlign w:val="superscript"/>
                    </w:rPr>
                    <w:t>3</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3E8EB7FC">
                  <w:pPr>
                    <w:pStyle w:val="25"/>
                    <w:rPr>
                      <w:color w:val="000000"/>
                      <w:highlight w:val="none"/>
                    </w:rPr>
                  </w:pPr>
                  <w:r>
                    <w:rPr>
                      <w:color w:val="000000"/>
                      <w:highlight w:val="none"/>
                    </w:rPr>
                    <w:t>洗井废水全部回收，采用专用废液收集罐收集后</w:t>
                  </w:r>
                  <w:r>
                    <w:rPr>
                      <w:rFonts w:hint="eastAsia"/>
                      <w:color w:val="000000"/>
                      <w:spacing w:val="4"/>
                      <w:highlight w:val="none"/>
                    </w:rPr>
                    <w:t>拉</w:t>
                  </w:r>
                  <w:r>
                    <w:rPr>
                      <w:rFonts w:hint="eastAsia"/>
                      <w:color w:val="000000"/>
                      <w:highlight w:val="none"/>
                    </w:rPr>
                    <w:t>运至石西集中处理站</w:t>
                  </w:r>
                  <w:r>
                    <w:rPr>
                      <w:color w:val="000000"/>
                      <w:highlight w:val="none"/>
                    </w:rPr>
                    <w:t>修井废液池中后再回收至石西</w:t>
                  </w:r>
                  <w:r>
                    <w:rPr>
                      <w:rFonts w:hint="eastAsia"/>
                      <w:color w:val="000000"/>
                      <w:highlight w:val="none"/>
                    </w:rPr>
                    <w:t>采出水处理</w:t>
                  </w:r>
                  <w:r>
                    <w:rPr>
                      <w:color w:val="000000"/>
                      <w:highlight w:val="none"/>
                    </w:rPr>
                    <w:t>系统</w:t>
                  </w:r>
                  <w:r>
                    <w:rPr>
                      <w:rFonts w:hint="eastAsia"/>
                      <w:color w:val="000000"/>
                      <w:highlight w:val="none"/>
                    </w:rPr>
                    <w:t>处理，</w:t>
                  </w:r>
                  <w:r>
                    <w:rPr>
                      <w:color w:val="000000"/>
                      <w:highlight w:val="none"/>
                    </w:rPr>
                    <w:t>处理达标后回注油藏</w:t>
                  </w:r>
                </w:p>
              </w:tc>
            </w:tr>
            <w:tr w14:paraId="0FBB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6520A352">
                  <w:pPr>
                    <w:pStyle w:val="25"/>
                    <w:rPr>
                      <w:color w:val="000000"/>
                      <w:highlight w:val="none"/>
                    </w:rPr>
                  </w:pPr>
                  <w:r>
                    <w:rPr>
                      <w:color w:val="000000"/>
                      <w:highlight w:val="none"/>
                    </w:rPr>
                    <w:t>2</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1D6D0CD">
                  <w:pPr>
                    <w:pStyle w:val="25"/>
                    <w:rPr>
                      <w:color w:val="000000"/>
                      <w:highlight w:val="none"/>
                    </w:rPr>
                  </w:pPr>
                  <w:r>
                    <w:rPr>
                      <w:color w:val="000000"/>
                      <w:highlight w:val="none"/>
                    </w:rPr>
                    <w:t>压裂返排液</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3D26A2A6">
                  <w:pPr>
                    <w:pStyle w:val="25"/>
                    <w:rPr>
                      <w:color w:val="000000"/>
                      <w:highlight w:val="none"/>
                    </w:rPr>
                  </w:pPr>
                  <w:r>
                    <w:rPr>
                      <w:rFonts w:hint="eastAsia"/>
                      <w:color w:val="000000"/>
                      <w:highlight w:val="none"/>
                    </w:rPr>
                    <w:t>306.42</w:t>
                  </w:r>
                  <w:r>
                    <w:rPr>
                      <w:color w:val="000000"/>
                      <w:highlight w:val="none"/>
                    </w:rPr>
                    <w:t>m</w:t>
                  </w:r>
                  <w:r>
                    <w:rPr>
                      <w:color w:val="000000"/>
                      <w:highlight w:val="none"/>
                      <w:vertAlign w:val="superscript"/>
                    </w:rPr>
                    <w:t>3</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A797903">
                  <w:pPr>
                    <w:pStyle w:val="25"/>
                    <w:rPr>
                      <w:color w:val="000000"/>
                      <w:highlight w:val="none"/>
                    </w:rPr>
                  </w:pPr>
                  <w:r>
                    <w:rPr>
                      <w:color w:val="000000"/>
                      <w:highlight w:val="none"/>
                    </w:rPr>
                    <w:t>压裂返排液进入罐车</w:t>
                  </w:r>
                  <w:r>
                    <w:rPr>
                      <w:rFonts w:hint="eastAsia"/>
                      <w:color w:val="000000"/>
                      <w:highlight w:val="none"/>
                    </w:rPr>
                    <w:t>，</w:t>
                  </w:r>
                  <w:r>
                    <w:rPr>
                      <w:rFonts w:hint="eastAsia"/>
                      <w:color w:val="000000"/>
                      <w:spacing w:val="4"/>
                      <w:highlight w:val="none"/>
                    </w:rPr>
                    <w:t>拉</w:t>
                  </w:r>
                  <w:r>
                    <w:rPr>
                      <w:rFonts w:hint="eastAsia"/>
                      <w:color w:val="000000"/>
                      <w:highlight w:val="none"/>
                    </w:rPr>
                    <w:t>运至石西集中处理站</w:t>
                  </w:r>
                  <w:r>
                    <w:rPr>
                      <w:color w:val="000000"/>
                      <w:highlight w:val="none"/>
                    </w:rPr>
                    <w:t>修井废液池中后再回收至石西</w:t>
                  </w:r>
                  <w:r>
                    <w:rPr>
                      <w:rFonts w:hint="eastAsia"/>
                      <w:color w:val="000000"/>
                      <w:highlight w:val="none"/>
                    </w:rPr>
                    <w:t>采出水处理</w:t>
                  </w:r>
                  <w:r>
                    <w:rPr>
                      <w:color w:val="000000"/>
                      <w:highlight w:val="none"/>
                    </w:rPr>
                    <w:t>系统</w:t>
                  </w:r>
                  <w:r>
                    <w:rPr>
                      <w:rFonts w:hint="eastAsia"/>
                      <w:color w:val="000000"/>
                      <w:highlight w:val="none"/>
                    </w:rPr>
                    <w:t>处理，</w:t>
                  </w:r>
                  <w:r>
                    <w:rPr>
                      <w:color w:val="000000"/>
                      <w:highlight w:val="none"/>
                    </w:rPr>
                    <w:t>处理达到《碎屑岩油藏注水水质指标技术要求及分析方法》（SY/T5329-2022）中标准后回注油藏</w:t>
                  </w:r>
                </w:p>
              </w:tc>
            </w:tr>
            <w:tr w14:paraId="4063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35351054">
                  <w:pPr>
                    <w:pStyle w:val="25"/>
                    <w:rPr>
                      <w:color w:val="000000"/>
                      <w:highlight w:val="none"/>
                    </w:rPr>
                  </w:pPr>
                  <w:r>
                    <w:rPr>
                      <w:color w:val="000000"/>
                      <w:highlight w:val="none"/>
                    </w:rPr>
                    <w:t>3</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D845C3D">
                  <w:pPr>
                    <w:pStyle w:val="25"/>
                    <w:rPr>
                      <w:color w:val="000000"/>
                      <w:highlight w:val="none"/>
                    </w:rPr>
                  </w:pPr>
                  <w:r>
                    <w:rPr>
                      <w:color w:val="000000"/>
                      <w:highlight w:val="none"/>
                    </w:rPr>
                    <w:t>生活污水</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65F1B10E">
                  <w:pPr>
                    <w:pStyle w:val="25"/>
                    <w:rPr>
                      <w:color w:val="000000"/>
                      <w:highlight w:val="none"/>
                    </w:rPr>
                  </w:pPr>
                  <w:r>
                    <w:rPr>
                      <w:rFonts w:hint="eastAsia"/>
                      <w:color w:val="000000"/>
                      <w:highlight w:val="none"/>
                    </w:rPr>
                    <w:t>280</w:t>
                  </w:r>
                  <w:r>
                    <w:rPr>
                      <w:color w:val="000000"/>
                      <w:highlight w:val="none"/>
                    </w:rPr>
                    <w:t>m</w:t>
                  </w:r>
                  <w:r>
                    <w:rPr>
                      <w:color w:val="000000"/>
                      <w:highlight w:val="none"/>
                      <w:vertAlign w:val="superscript"/>
                    </w:rPr>
                    <w:t>3</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C4DAA85">
                  <w:pPr>
                    <w:pStyle w:val="25"/>
                    <w:rPr>
                      <w:color w:val="000000"/>
                      <w:highlight w:val="none"/>
                    </w:rPr>
                  </w:pPr>
                  <w:r>
                    <w:rPr>
                      <w:color w:val="000000"/>
                      <w:highlight w:val="none"/>
                    </w:rPr>
                    <w:t>施工期生活污水排入生活污水防渗收集池，清运至</w:t>
                  </w:r>
                  <w:r>
                    <w:rPr>
                      <w:rFonts w:hint="eastAsia"/>
                      <w:color w:val="000000"/>
                      <w:highlight w:val="none"/>
                    </w:rPr>
                    <w:t>石西油田作业区生活区污水处理站</w:t>
                  </w:r>
                  <w:r>
                    <w:rPr>
                      <w:color w:val="000000"/>
                      <w:highlight w:val="none"/>
                    </w:rPr>
                    <w:t>处理</w:t>
                  </w:r>
                </w:p>
              </w:tc>
            </w:tr>
            <w:bookmarkEnd w:id="16"/>
          </w:tbl>
          <w:p w14:paraId="4C7F430D">
            <w:pPr>
              <w:pStyle w:val="3"/>
              <w:rPr>
                <w:color w:val="000000"/>
                <w:szCs w:val="24"/>
                <w:highlight w:val="none"/>
              </w:rPr>
            </w:pPr>
            <w:r>
              <w:rPr>
                <w:color w:val="000000"/>
                <w:szCs w:val="24"/>
                <w:highlight w:val="none"/>
              </w:rPr>
              <w:t>3 施工期及试油期噪声影响分析</w:t>
            </w:r>
          </w:p>
          <w:p w14:paraId="045F565D">
            <w:pPr>
              <w:pStyle w:val="35"/>
              <w:ind w:firstLine="480"/>
              <w:jc w:val="both"/>
              <w:rPr>
                <w:color w:val="000000"/>
                <w:highlight w:val="none"/>
              </w:rPr>
            </w:pPr>
            <w:r>
              <w:rPr>
                <w:color w:val="000000"/>
                <w:highlight w:val="none"/>
              </w:rPr>
              <w:t>钻井噪声主要来源于钻井设备、泥浆泵、振动筛等连续性噪声，噪声源强在85～100dB(A)。试油期噪声主要来源于发电房。主要噪声源强及特性，见表4-6。</w:t>
            </w:r>
          </w:p>
          <w:p w14:paraId="372C53F0">
            <w:pPr>
              <w:pStyle w:val="36"/>
              <w:spacing w:line="240" w:lineRule="auto"/>
              <w:rPr>
                <w:color w:val="000000"/>
                <w:szCs w:val="21"/>
                <w:highlight w:val="none"/>
              </w:rPr>
            </w:pPr>
            <w:r>
              <w:rPr>
                <w:color w:val="000000"/>
                <w:szCs w:val="21"/>
                <w:highlight w:val="none"/>
              </w:rPr>
              <w:t>表4-6  钻井和试油期主要噪声源强特性     单位：dB(A)</w:t>
            </w:r>
          </w:p>
          <w:tbl>
            <w:tblPr>
              <w:tblStyle w:val="1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1031"/>
              <w:gridCol w:w="1493"/>
              <w:gridCol w:w="649"/>
              <w:gridCol w:w="1033"/>
              <w:gridCol w:w="860"/>
              <w:gridCol w:w="1033"/>
              <w:gridCol w:w="1240"/>
              <w:gridCol w:w="1148"/>
            </w:tblGrid>
            <w:tr w14:paraId="2DDB6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tcBorders>
                    <w:top w:val="single" w:color="auto" w:sz="4" w:space="0"/>
                    <w:left w:val="single" w:color="auto" w:sz="4" w:space="0"/>
                    <w:bottom w:val="single" w:color="auto" w:sz="4" w:space="0"/>
                    <w:right w:val="single" w:color="auto" w:sz="4" w:space="0"/>
                  </w:tcBorders>
                  <w:noWrap w:val="0"/>
                  <w:vAlign w:val="center"/>
                </w:tcPr>
                <w:p w14:paraId="013D4543">
                  <w:pPr>
                    <w:pStyle w:val="25"/>
                    <w:rPr>
                      <w:color w:val="000000"/>
                      <w:highlight w:val="none"/>
                    </w:rPr>
                  </w:pPr>
                  <w:r>
                    <w:rPr>
                      <w:color w:val="000000"/>
                      <w:highlight w:val="none"/>
                    </w:rPr>
                    <w:t>时段</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6CE936A9">
                  <w:pPr>
                    <w:pStyle w:val="25"/>
                    <w:rPr>
                      <w:color w:val="000000"/>
                      <w:highlight w:val="none"/>
                    </w:rPr>
                  </w:pPr>
                  <w:r>
                    <w:rPr>
                      <w:color w:val="000000"/>
                      <w:highlight w:val="none"/>
                    </w:rPr>
                    <w:t>噪声设备</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6597D30">
                  <w:pPr>
                    <w:pStyle w:val="25"/>
                    <w:rPr>
                      <w:color w:val="000000"/>
                      <w:highlight w:val="none"/>
                    </w:rPr>
                  </w:pPr>
                  <w:r>
                    <w:rPr>
                      <w:color w:val="000000"/>
                      <w:highlight w:val="none"/>
                    </w:rPr>
                    <w:t>数量</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A9CC8B2">
                  <w:pPr>
                    <w:pStyle w:val="25"/>
                    <w:rPr>
                      <w:color w:val="000000"/>
                      <w:highlight w:val="none"/>
                    </w:rPr>
                  </w:pPr>
                  <w:r>
                    <w:rPr>
                      <w:color w:val="000000"/>
                      <w:highlight w:val="none"/>
                    </w:rPr>
                    <w:t>单台源强</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384FEE2D">
                  <w:pPr>
                    <w:pStyle w:val="25"/>
                    <w:rPr>
                      <w:color w:val="000000"/>
                      <w:highlight w:val="none"/>
                    </w:rPr>
                  </w:pPr>
                  <w:r>
                    <w:rPr>
                      <w:color w:val="000000"/>
                      <w:highlight w:val="none"/>
                    </w:rPr>
                    <w:t>距声源</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0787CC4E">
                  <w:pPr>
                    <w:pStyle w:val="25"/>
                    <w:rPr>
                      <w:color w:val="000000"/>
                      <w:highlight w:val="none"/>
                    </w:rPr>
                  </w:pPr>
                  <w:r>
                    <w:rPr>
                      <w:color w:val="000000"/>
                      <w:highlight w:val="none"/>
                    </w:rPr>
                    <w:t>噪声特性</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3ED1C5F3">
                  <w:pPr>
                    <w:pStyle w:val="25"/>
                    <w:rPr>
                      <w:color w:val="000000"/>
                      <w:highlight w:val="none"/>
                    </w:rPr>
                  </w:pPr>
                  <w:r>
                    <w:rPr>
                      <w:color w:val="000000"/>
                      <w:highlight w:val="none"/>
                    </w:rPr>
                    <w:t>排放时间</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0DA9E958">
                  <w:pPr>
                    <w:pStyle w:val="25"/>
                    <w:rPr>
                      <w:color w:val="000000"/>
                      <w:highlight w:val="none"/>
                    </w:rPr>
                  </w:pPr>
                  <w:r>
                    <w:rPr>
                      <w:color w:val="000000"/>
                      <w:highlight w:val="none"/>
                    </w:rPr>
                    <w:t>声源种类</w:t>
                  </w:r>
                </w:p>
              </w:tc>
            </w:tr>
            <w:tr w14:paraId="6C06E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vMerge w:val="restart"/>
                  <w:tcBorders>
                    <w:top w:val="single" w:color="auto" w:sz="4" w:space="0"/>
                    <w:left w:val="single" w:color="auto" w:sz="4" w:space="0"/>
                    <w:right w:val="single" w:color="auto" w:sz="4" w:space="0"/>
                  </w:tcBorders>
                  <w:noWrap w:val="0"/>
                  <w:vAlign w:val="center"/>
                </w:tcPr>
                <w:p w14:paraId="06A92CB7">
                  <w:pPr>
                    <w:pStyle w:val="25"/>
                    <w:rPr>
                      <w:color w:val="000000"/>
                      <w:highlight w:val="none"/>
                    </w:rPr>
                  </w:pPr>
                  <w:r>
                    <w:rPr>
                      <w:color w:val="000000"/>
                      <w:highlight w:val="none"/>
                    </w:rPr>
                    <w:t>钻井</w:t>
                  </w:r>
                </w:p>
                <w:p w14:paraId="1D3CBDE6">
                  <w:pPr>
                    <w:pStyle w:val="25"/>
                    <w:rPr>
                      <w:color w:val="000000"/>
                      <w:highlight w:val="none"/>
                    </w:rPr>
                  </w:pPr>
                  <w:r>
                    <w:rPr>
                      <w:color w:val="000000"/>
                      <w:highlight w:val="none"/>
                    </w:rPr>
                    <w:t>期</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265CB20E">
                  <w:pPr>
                    <w:pStyle w:val="25"/>
                    <w:rPr>
                      <w:color w:val="000000"/>
                      <w:highlight w:val="none"/>
                    </w:rPr>
                  </w:pPr>
                  <w:r>
                    <w:rPr>
                      <w:color w:val="000000"/>
                      <w:highlight w:val="none"/>
                    </w:rPr>
                    <w:t>钻井设备</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F8D9D03">
                  <w:pPr>
                    <w:pStyle w:val="25"/>
                    <w:rPr>
                      <w:color w:val="000000"/>
                      <w:highlight w:val="none"/>
                    </w:rPr>
                  </w:pPr>
                  <w:r>
                    <w:rPr>
                      <w:color w:val="000000"/>
                      <w:highlight w:val="none"/>
                    </w:rPr>
                    <w:t>1</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095F028">
                  <w:pPr>
                    <w:pStyle w:val="25"/>
                    <w:rPr>
                      <w:color w:val="000000"/>
                      <w:highlight w:val="none"/>
                    </w:rPr>
                  </w:pPr>
                  <w:r>
                    <w:rPr>
                      <w:color w:val="000000"/>
                      <w:highlight w:val="none"/>
                    </w:rPr>
                    <w:t>90</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67999F12">
                  <w:pPr>
                    <w:pStyle w:val="25"/>
                    <w:rPr>
                      <w:color w:val="000000"/>
                      <w:highlight w:val="none"/>
                    </w:rPr>
                  </w:pPr>
                  <w:r>
                    <w:rPr>
                      <w:color w:val="000000"/>
                      <w:highlight w:val="none"/>
                    </w:rPr>
                    <w:t>1m</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471A2CF2">
                  <w:pPr>
                    <w:pStyle w:val="25"/>
                    <w:rPr>
                      <w:color w:val="000000"/>
                      <w:highlight w:val="none"/>
                    </w:rPr>
                  </w:pPr>
                  <w:r>
                    <w:rPr>
                      <w:color w:val="000000"/>
                      <w:highlight w:val="none"/>
                    </w:rPr>
                    <w:t>机械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4C88A9A7">
                  <w:pPr>
                    <w:pStyle w:val="25"/>
                    <w:rPr>
                      <w:color w:val="000000"/>
                      <w:highlight w:val="none"/>
                    </w:rPr>
                  </w:pPr>
                  <w:r>
                    <w:rPr>
                      <w:color w:val="000000"/>
                      <w:highlight w:val="none"/>
                    </w:rPr>
                    <w:t>昼夜连续</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0D2BF5CA">
                  <w:pPr>
                    <w:pStyle w:val="25"/>
                    <w:rPr>
                      <w:color w:val="000000"/>
                      <w:highlight w:val="none"/>
                    </w:rPr>
                  </w:pPr>
                  <w:r>
                    <w:rPr>
                      <w:color w:val="000000"/>
                      <w:highlight w:val="none"/>
                    </w:rPr>
                    <w:t>固定声源</w:t>
                  </w:r>
                </w:p>
              </w:tc>
            </w:tr>
            <w:tr w14:paraId="15C07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vMerge w:val="continue"/>
                  <w:tcBorders>
                    <w:left w:val="single" w:color="auto" w:sz="4" w:space="0"/>
                    <w:right w:val="single" w:color="auto" w:sz="4" w:space="0"/>
                  </w:tcBorders>
                  <w:noWrap w:val="0"/>
                  <w:vAlign w:val="center"/>
                </w:tcPr>
                <w:p w14:paraId="6ABF6A07">
                  <w:pPr>
                    <w:pStyle w:val="25"/>
                    <w:rPr>
                      <w:color w:val="000000"/>
                      <w:highlight w:val="none"/>
                    </w:rPr>
                  </w:pPr>
                </w:p>
              </w:tc>
              <w:tc>
                <w:tcPr>
                  <w:tcW w:w="879" w:type="pct"/>
                  <w:tcBorders>
                    <w:top w:val="single" w:color="auto" w:sz="4" w:space="0"/>
                    <w:left w:val="single" w:color="auto" w:sz="4" w:space="0"/>
                    <w:right w:val="single" w:color="auto" w:sz="4" w:space="0"/>
                  </w:tcBorders>
                  <w:noWrap w:val="0"/>
                  <w:vAlign w:val="center"/>
                </w:tcPr>
                <w:p w14:paraId="3F27A083">
                  <w:pPr>
                    <w:pStyle w:val="25"/>
                    <w:rPr>
                      <w:color w:val="000000"/>
                      <w:highlight w:val="none"/>
                    </w:rPr>
                  </w:pPr>
                  <w:r>
                    <w:rPr>
                      <w:color w:val="000000"/>
                      <w:highlight w:val="none"/>
                    </w:rPr>
                    <w:t>泥浆泵</w:t>
                  </w:r>
                </w:p>
              </w:tc>
              <w:tc>
                <w:tcPr>
                  <w:tcW w:w="382" w:type="pct"/>
                  <w:tcBorders>
                    <w:top w:val="single" w:color="auto" w:sz="4" w:space="0"/>
                    <w:left w:val="single" w:color="auto" w:sz="4" w:space="0"/>
                    <w:right w:val="single" w:color="auto" w:sz="4" w:space="0"/>
                  </w:tcBorders>
                  <w:noWrap w:val="0"/>
                  <w:vAlign w:val="center"/>
                </w:tcPr>
                <w:p w14:paraId="4D328D67">
                  <w:pPr>
                    <w:pStyle w:val="25"/>
                    <w:rPr>
                      <w:color w:val="000000"/>
                      <w:highlight w:val="none"/>
                    </w:rPr>
                  </w:pPr>
                  <w:r>
                    <w:rPr>
                      <w:color w:val="000000"/>
                      <w:highlight w:val="none"/>
                    </w:rPr>
                    <w:t>2</w:t>
                  </w:r>
                </w:p>
              </w:tc>
              <w:tc>
                <w:tcPr>
                  <w:tcW w:w="608" w:type="pct"/>
                  <w:tcBorders>
                    <w:top w:val="single" w:color="auto" w:sz="4" w:space="0"/>
                    <w:left w:val="single" w:color="auto" w:sz="4" w:space="0"/>
                    <w:right w:val="single" w:color="auto" w:sz="4" w:space="0"/>
                  </w:tcBorders>
                  <w:noWrap w:val="0"/>
                  <w:vAlign w:val="center"/>
                </w:tcPr>
                <w:p w14:paraId="1E19DACA">
                  <w:pPr>
                    <w:pStyle w:val="25"/>
                    <w:rPr>
                      <w:color w:val="000000"/>
                      <w:highlight w:val="none"/>
                    </w:rPr>
                  </w:pPr>
                  <w:r>
                    <w:rPr>
                      <w:color w:val="000000"/>
                      <w:highlight w:val="none"/>
                    </w:rPr>
                    <w:t>90</w:t>
                  </w:r>
                </w:p>
              </w:tc>
              <w:tc>
                <w:tcPr>
                  <w:tcW w:w="506" w:type="pct"/>
                  <w:tcBorders>
                    <w:top w:val="single" w:color="auto" w:sz="4" w:space="0"/>
                    <w:left w:val="single" w:color="auto" w:sz="4" w:space="0"/>
                    <w:right w:val="single" w:color="auto" w:sz="4" w:space="0"/>
                  </w:tcBorders>
                  <w:noWrap w:val="0"/>
                  <w:vAlign w:val="center"/>
                </w:tcPr>
                <w:p w14:paraId="2C3F6EE4">
                  <w:pPr>
                    <w:pStyle w:val="25"/>
                    <w:rPr>
                      <w:color w:val="000000"/>
                      <w:highlight w:val="none"/>
                    </w:rPr>
                  </w:pPr>
                  <w:r>
                    <w:rPr>
                      <w:color w:val="000000"/>
                      <w:highlight w:val="none"/>
                    </w:rPr>
                    <w:t>1m</w:t>
                  </w:r>
                </w:p>
              </w:tc>
              <w:tc>
                <w:tcPr>
                  <w:tcW w:w="608" w:type="pct"/>
                  <w:tcBorders>
                    <w:top w:val="single" w:color="auto" w:sz="4" w:space="0"/>
                    <w:left w:val="single" w:color="auto" w:sz="4" w:space="0"/>
                    <w:right w:val="single" w:color="auto" w:sz="4" w:space="0"/>
                  </w:tcBorders>
                  <w:noWrap w:val="0"/>
                  <w:vAlign w:val="center"/>
                </w:tcPr>
                <w:p w14:paraId="484A24FD">
                  <w:pPr>
                    <w:pStyle w:val="25"/>
                    <w:rPr>
                      <w:color w:val="000000"/>
                      <w:highlight w:val="none"/>
                    </w:rPr>
                  </w:pPr>
                  <w:r>
                    <w:rPr>
                      <w:color w:val="000000"/>
                      <w:highlight w:val="none"/>
                    </w:rPr>
                    <w:t>机械</w:t>
                  </w:r>
                </w:p>
              </w:tc>
              <w:tc>
                <w:tcPr>
                  <w:tcW w:w="730" w:type="pct"/>
                  <w:tcBorders>
                    <w:top w:val="single" w:color="auto" w:sz="4" w:space="0"/>
                    <w:left w:val="single" w:color="auto" w:sz="4" w:space="0"/>
                    <w:right w:val="single" w:color="auto" w:sz="4" w:space="0"/>
                  </w:tcBorders>
                  <w:noWrap w:val="0"/>
                  <w:vAlign w:val="center"/>
                </w:tcPr>
                <w:p w14:paraId="0EDC6072">
                  <w:pPr>
                    <w:pStyle w:val="25"/>
                    <w:rPr>
                      <w:color w:val="000000"/>
                      <w:highlight w:val="none"/>
                    </w:rPr>
                  </w:pPr>
                  <w:r>
                    <w:rPr>
                      <w:color w:val="000000"/>
                      <w:highlight w:val="none"/>
                    </w:rPr>
                    <w:t>昼夜连续</w:t>
                  </w:r>
                </w:p>
              </w:tc>
              <w:tc>
                <w:tcPr>
                  <w:tcW w:w="675" w:type="pct"/>
                  <w:tcBorders>
                    <w:top w:val="single" w:color="auto" w:sz="4" w:space="0"/>
                    <w:left w:val="single" w:color="auto" w:sz="4" w:space="0"/>
                    <w:right w:val="single" w:color="auto" w:sz="4" w:space="0"/>
                  </w:tcBorders>
                  <w:noWrap w:val="0"/>
                  <w:vAlign w:val="center"/>
                </w:tcPr>
                <w:p w14:paraId="1F46C856">
                  <w:pPr>
                    <w:pStyle w:val="25"/>
                    <w:rPr>
                      <w:color w:val="000000"/>
                      <w:highlight w:val="none"/>
                    </w:rPr>
                  </w:pPr>
                  <w:r>
                    <w:rPr>
                      <w:color w:val="000000"/>
                      <w:highlight w:val="none"/>
                    </w:rPr>
                    <w:t>固定声源</w:t>
                  </w:r>
                </w:p>
              </w:tc>
            </w:tr>
            <w:tr w14:paraId="090C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vMerge w:val="continue"/>
                  <w:tcBorders>
                    <w:left w:val="single" w:color="auto" w:sz="4" w:space="0"/>
                    <w:bottom w:val="single" w:color="auto" w:sz="4" w:space="0"/>
                    <w:right w:val="single" w:color="auto" w:sz="4" w:space="0"/>
                  </w:tcBorders>
                  <w:noWrap w:val="0"/>
                  <w:vAlign w:val="center"/>
                </w:tcPr>
                <w:p w14:paraId="41DE1B1F">
                  <w:pPr>
                    <w:pStyle w:val="25"/>
                    <w:rPr>
                      <w:color w:val="000000"/>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14:paraId="21475157">
                  <w:pPr>
                    <w:pStyle w:val="25"/>
                    <w:rPr>
                      <w:color w:val="000000"/>
                      <w:highlight w:val="none"/>
                    </w:rPr>
                  </w:pPr>
                  <w:r>
                    <w:rPr>
                      <w:color w:val="000000"/>
                      <w:highlight w:val="none"/>
                    </w:rPr>
                    <w:t>振动筛</w:t>
                  </w:r>
                </w:p>
              </w:tc>
              <w:tc>
                <w:tcPr>
                  <w:tcW w:w="382" w:type="pct"/>
                  <w:tcBorders>
                    <w:top w:val="single" w:color="auto" w:sz="4" w:space="0"/>
                    <w:left w:val="single" w:color="auto" w:sz="4" w:space="0"/>
                    <w:right w:val="single" w:color="auto" w:sz="4" w:space="0"/>
                  </w:tcBorders>
                  <w:noWrap w:val="0"/>
                  <w:vAlign w:val="center"/>
                </w:tcPr>
                <w:p w14:paraId="32D5DF8C">
                  <w:pPr>
                    <w:pStyle w:val="25"/>
                    <w:rPr>
                      <w:color w:val="000000"/>
                      <w:highlight w:val="none"/>
                    </w:rPr>
                  </w:pPr>
                  <w:r>
                    <w:rPr>
                      <w:color w:val="000000"/>
                      <w:highlight w:val="none"/>
                    </w:rPr>
                    <w:t>3</w:t>
                  </w:r>
                </w:p>
              </w:tc>
              <w:tc>
                <w:tcPr>
                  <w:tcW w:w="608" w:type="pct"/>
                  <w:tcBorders>
                    <w:top w:val="single" w:color="auto" w:sz="4" w:space="0"/>
                    <w:left w:val="single" w:color="auto" w:sz="4" w:space="0"/>
                    <w:right w:val="single" w:color="auto" w:sz="4" w:space="0"/>
                  </w:tcBorders>
                  <w:noWrap w:val="0"/>
                  <w:vAlign w:val="center"/>
                </w:tcPr>
                <w:p w14:paraId="2CB8A35E">
                  <w:pPr>
                    <w:pStyle w:val="25"/>
                    <w:rPr>
                      <w:color w:val="000000"/>
                      <w:highlight w:val="none"/>
                    </w:rPr>
                  </w:pPr>
                  <w:r>
                    <w:rPr>
                      <w:color w:val="000000"/>
                      <w:highlight w:val="none"/>
                    </w:rPr>
                    <w:t>100</w:t>
                  </w:r>
                </w:p>
              </w:tc>
              <w:tc>
                <w:tcPr>
                  <w:tcW w:w="506" w:type="pct"/>
                  <w:tcBorders>
                    <w:top w:val="single" w:color="auto" w:sz="4" w:space="0"/>
                    <w:left w:val="single" w:color="auto" w:sz="4" w:space="0"/>
                    <w:right w:val="single" w:color="auto" w:sz="4" w:space="0"/>
                  </w:tcBorders>
                  <w:noWrap w:val="0"/>
                  <w:vAlign w:val="center"/>
                </w:tcPr>
                <w:p w14:paraId="1611C258">
                  <w:pPr>
                    <w:pStyle w:val="25"/>
                    <w:rPr>
                      <w:color w:val="000000"/>
                      <w:highlight w:val="none"/>
                    </w:rPr>
                  </w:pPr>
                  <w:r>
                    <w:rPr>
                      <w:color w:val="000000"/>
                      <w:highlight w:val="none"/>
                    </w:rPr>
                    <w:t>1m</w:t>
                  </w:r>
                </w:p>
              </w:tc>
              <w:tc>
                <w:tcPr>
                  <w:tcW w:w="608" w:type="pct"/>
                  <w:tcBorders>
                    <w:top w:val="single" w:color="auto" w:sz="4" w:space="0"/>
                    <w:left w:val="single" w:color="auto" w:sz="4" w:space="0"/>
                    <w:right w:val="single" w:color="auto" w:sz="4" w:space="0"/>
                  </w:tcBorders>
                  <w:noWrap w:val="0"/>
                  <w:vAlign w:val="center"/>
                </w:tcPr>
                <w:p w14:paraId="68B530CF">
                  <w:pPr>
                    <w:pStyle w:val="25"/>
                    <w:rPr>
                      <w:color w:val="000000"/>
                      <w:highlight w:val="none"/>
                    </w:rPr>
                  </w:pPr>
                  <w:r>
                    <w:rPr>
                      <w:color w:val="000000"/>
                      <w:highlight w:val="none"/>
                    </w:rPr>
                    <w:t>机械</w:t>
                  </w:r>
                </w:p>
              </w:tc>
              <w:tc>
                <w:tcPr>
                  <w:tcW w:w="730" w:type="pct"/>
                  <w:tcBorders>
                    <w:top w:val="single" w:color="auto" w:sz="4" w:space="0"/>
                    <w:left w:val="single" w:color="auto" w:sz="4" w:space="0"/>
                    <w:right w:val="single" w:color="auto" w:sz="4" w:space="0"/>
                  </w:tcBorders>
                  <w:noWrap w:val="0"/>
                  <w:vAlign w:val="center"/>
                </w:tcPr>
                <w:p w14:paraId="0B6BC53E">
                  <w:pPr>
                    <w:pStyle w:val="25"/>
                    <w:rPr>
                      <w:color w:val="000000"/>
                      <w:highlight w:val="none"/>
                    </w:rPr>
                  </w:pPr>
                  <w:r>
                    <w:rPr>
                      <w:color w:val="000000"/>
                      <w:highlight w:val="none"/>
                    </w:rPr>
                    <w:t>昼夜连续</w:t>
                  </w:r>
                </w:p>
              </w:tc>
              <w:tc>
                <w:tcPr>
                  <w:tcW w:w="675" w:type="pct"/>
                  <w:tcBorders>
                    <w:top w:val="single" w:color="auto" w:sz="4" w:space="0"/>
                    <w:left w:val="single" w:color="auto" w:sz="4" w:space="0"/>
                    <w:right w:val="single" w:color="auto" w:sz="4" w:space="0"/>
                  </w:tcBorders>
                  <w:noWrap w:val="0"/>
                  <w:vAlign w:val="center"/>
                </w:tcPr>
                <w:p w14:paraId="34B60EBF">
                  <w:pPr>
                    <w:pStyle w:val="25"/>
                    <w:rPr>
                      <w:color w:val="000000"/>
                      <w:highlight w:val="none"/>
                    </w:rPr>
                  </w:pPr>
                  <w:r>
                    <w:rPr>
                      <w:color w:val="000000"/>
                      <w:highlight w:val="none"/>
                    </w:rPr>
                    <w:t>固定声源</w:t>
                  </w:r>
                </w:p>
              </w:tc>
            </w:tr>
            <w:tr w14:paraId="2F26D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vMerge w:val="restart"/>
                  <w:tcBorders>
                    <w:top w:val="single" w:color="auto" w:sz="4" w:space="0"/>
                    <w:left w:val="single" w:color="auto" w:sz="4" w:space="0"/>
                    <w:right w:val="single" w:color="auto" w:sz="4" w:space="0"/>
                  </w:tcBorders>
                  <w:noWrap w:val="0"/>
                  <w:vAlign w:val="center"/>
                </w:tcPr>
                <w:p w14:paraId="5C9C7461">
                  <w:pPr>
                    <w:pStyle w:val="25"/>
                    <w:rPr>
                      <w:color w:val="000000"/>
                      <w:highlight w:val="none"/>
                    </w:rPr>
                  </w:pPr>
                  <w:r>
                    <w:rPr>
                      <w:color w:val="000000"/>
                      <w:highlight w:val="none"/>
                    </w:rPr>
                    <w:t>钻井期、试油期</w:t>
                  </w:r>
                </w:p>
              </w:tc>
              <w:tc>
                <w:tcPr>
                  <w:tcW w:w="879" w:type="pct"/>
                  <w:tcBorders>
                    <w:top w:val="single" w:color="auto" w:sz="4" w:space="0"/>
                    <w:left w:val="single" w:color="auto" w:sz="4" w:space="0"/>
                    <w:right w:val="single" w:color="auto" w:sz="4" w:space="0"/>
                  </w:tcBorders>
                  <w:noWrap w:val="0"/>
                  <w:vAlign w:val="center"/>
                </w:tcPr>
                <w:p w14:paraId="3B334E5D">
                  <w:pPr>
                    <w:pStyle w:val="25"/>
                    <w:rPr>
                      <w:color w:val="000000"/>
                      <w:highlight w:val="none"/>
                    </w:rPr>
                  </w:pPr>
                  <w:r>
                    <w:rPr>
                      <w:color w:val="000000"/>
                      <w:highlight w:val="none"/>
                    </w:rPr>
                    <w:t>柴油发电机</w:t>
                  </w:r>
                </w:p>
              </w:tc>
              <w:tc>
                <w:tcPr>
                  <w:tcW w:w="382" w:type="pct"/>
                  <w:tcBorders>
                    <w:top w:val="single" w:color="auto" w:sz="4" w:space="0"/>
                    <w:left w:val="single" w:color="auto" w:sz="4" w:space="0"/>
                    <w:right w:val="single" w:color="auto" w:sz="4" w:space="0"/>
                  </w:tcBorders>
                  <w:noWrap w:val="0"/>
                  <w:vAlign w:val="center"/>
                </w:tcPr>
                <w:p w14:paraId="6CD5E10E">
                  <w:pPr>
                    <w:pStyle w:val="25"/>
                    <w:rPr>
                      <w:color w:val="000000"/>
                      <w:highlight w:val="none"/>
                    </w:rPr>
                  </w:pPr>
                  <w:r>
                    <w:rPr>
                      <w:color w:val="000000"/>
                      <w:highlight w:val="none"/>
                    </w:rPr>
                    <w:t>2</w:t>
                  </w:r>
                </w:p>
              </w:tc>
              <w:tc>
                <w:tcPr>
                  <w:tcW w:w="608" w:type="pct"/>
                  <w:tcBorders>
                    <w:top w:val="single" w:color="auto" w:sz="4" w:space="0"/>
                    <w:left w:val="single" w:color="auto" w:sz="4" w:space="0"/>
                    <w:right w:val="single" w:color="auto" w:sz="4" w:space="0"/>
                  </w:tcBorders>
                  <w:noWrap w:val="0"/>
                  <w:vAlign w:val="center"/>
                </w:tcPr>
                <w:p w14:paraId="5E4A8249">
                  <w:pPr>
                    <w:pStyle w:val="25"/>
                    <w:rPr>
                      <w:color w:val="000000"/>
                      <w:highlight w:val="none"/>
                    </w:rPr>
                  </w:pPr>
                  <w:r>
                    <w:rPr>
                      <w:color w:val="000000"/>
                      <w:highlight w:val="none"/>
                    </w:rPr>
                    <w:t>85</w:t>
                  </w:r>
                </w:p>
              </w:tc>
              <w:tc>
                <w:tcPr>
                  <w:tcW w:w="506" w:type="pct"/>
                  <w:tcBorders>
                    <w:top w:val="single" w:color="auto" w:sz="4" w:space="0"/>
                    <w:left w:val="single" w:color="auto" w:sz="4" w:space="0"/>
                    <w:right w:val="single" w:color="auto" w:sz="4" w:space="0"/>
                  </w:tcBorders>
                  <w:noWrap w:val="0"/>
                  <w:vAlign w:val="center"/>
                </w:tcPr>
                <w:p w14:paraId="47D5153D">
                  <w:pPr>
                    <w:pStyle w:val="25"/>
                    <w:rPr>
                      <w:color w:val="000000"/>
                      <w:highlight w:val="none"/>
                    </w:rPr>
                  </w:pPr>
                  <w:r>
                    <w:rPr>
                      <w:color w:val="000000"/>
                      <w:highlight w:val="none"/>
                    </w:rPr>
                    <w:t>1m</w:t>
                  </w:r>
                </w:p>
              </w:tc>
              <w:tc>
                <w:tcPr>
                  <w:tcW w:w="608" w:type="pct"/>
                  <w:tcBorders>
                    <w:top w:val="single" w:color="auto" w:sz="4" w:space="0"/>
                    <w:left w:val="single" w:color="auto" w:sz="4" w:space="0"/>
                    <w:right w:val="single" w:color="auto" w:sz="4" w:space="0"/>
                  </w:tcBorders>
                  <w:noWrap w:val="0"/>
                  <w:vAlign w:val="center"/>
                </w:tcPr>
                <w:p w14:paraId="36A49C07">
                  <w:pPr>
                    <w:pStyle w:val="25"/>
                    <w:rPr>
                      <w:color w:val="000000"/>
                      <w:highlight w:val="none"/>
                    </w:rPr>
                  </w:pPr>
                  <w:r>
                    <w:rPr>
                      <w:color w:val="000000"/>
                      <w:highlight w:val="none"/>
                    </w:rPr>
                    <w:t>机械</w:t>
                  </w:r>
                </w:p>
              </w:tc>
              <w:tc>
                <w:tcPr>
                  <w:tcW w:w="730" w:type="pct"/>
                  <w:tcBorders>
                    <w:top w:val="single" w:color="auto" w:sz="4" w:space="0"/>
                    <w:left w:val="single" w:color="auto" w:sz="4" w:space="0"/>
                    <w:right w:val="single" w:color="auto" w:sz="4" w:space="0"/>
                  </w:tcBorders>
                  <w:noWrap w:val="0"/>
                  <w:vAlign w:val="center"/>
                </w:tcPr>
                <w:p w14:paraId="0A711AF9">
                  <w:pPr>
                    <w:pStyle w:val="25"/>
                    <w:rPr>
                      <w:color w:val="000000"/>
                      <w:highlight w:val="none"/>
                    </w:rPr>
                  </w:pPr>
                  <w:r>
                    <w:rPr>
                      <w:color w:val="000000"/>
                      <w:highlight w:val="none"/>
                    </w:rPr>
                    <w:t>昼夜连续</w:t>
                  </w:r>
                </w:p>
              </w:tc>
              <w:tc>
                <w:tcPr>
                  <w:tcW w:w="675" w:type="pct"/>
                  <w:tcBorders>
                    <w:top w:val="single" w:color="auto" w:sz="4" w:space="0"/>
                    <w:left w:val="single" w:color="auto" w:sz="4" w:space="0"/>
                    <w:right w:val="single" w:color="auto" w:sz="4" w:space="0"/>
                  </w:tcBorders>
                  <w:noWrap w:val="0"/>
                  <w:vAlign w:val="center"/>
                </w:tcPr>
                <w:p w14:paraId="1F724E23">
                  <w:pPr>
                    <w:pStyle w:val="25"/>
                    <w:rPr>
                      <w:color w:val="000000"/>
                      <w:highlight w:val="none"/>
                    </w:rPr>
                  </w:pPr>
                  <w:r>
                    <w:rPr>
                      <w:color w:val="000000"/>
                      <w:highlight w:val="none"/>
                    </w:rPr>
                    <w:t>固定声源</w:t>
                  </w:r>
                </w:p>
              </w:tc>
            </w:tr>
            <w:tr w14:paraId="423E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607" w:type="pct"/>
                  <w:vMerge w:val="continue"/>
                  <w:tcBorders>
                    <w:left w:val="single" w:color="auto" w:sz="4" w:space="0"/>
                    <w:right w:val="single" w:color="auto" w:sz="4" w:space="0"/>
                  </w:tcBorders>
                  <w:noWrap w:val="0"/>
                  <w:vAlign w:val="center"/>
                </w:tcPr>
                <w:p w14:paraId="6FBA4618">
                  <w:pPr>
                    <w:pStyle w:val="25"/>
                    <w:rPr>
                      <w:color w:val="000000"/>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14:paraId="60DE7DF5">
                  <w:pPr>
                    <w:pStyle w:val="25"/>
                    <w:rPr>
                      <w:color w:val="000000"/>
                      <w:highlight w:val="none"/>
                    </w:rPr>
                  </w:pPr>
                  <w:r>
                    <w:rPr>
                      <w:color w:val="000000"/>
                      <w:highlight w:val="none"/>
                    </w:rPr>
                    <w:t>柴油动力机</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AF3CB9F">
                  <w:pPr>
                    <w:pStyle w:val="25"/>
                    <w:rPr>
                      <w:color w:val="000000"/>
                      <w:highlight w:val="none"/>
                    </w:rPr>
                  </w:pPr>
                  <w:r>
                    <w:rPr>
                      <w:color w:val="000000"/>
                      <w:highlight w:val="none"/>
                    </w:rPr>
                    <w:t>3</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0DA9330">
                  <w:pPr>
                    <w:pStyle w:val="25"/>
                    <w:rPr>
                      <w:color w:val="000000"/>
                      <w:highlight w:val="none"/>
                    </w:rPr>
                  </w:pPr>
                  <w:r>
                    <w:rPr>
                      <w:color w:val="000000"/>
                      <w:highlight w:val="none"/>
                    </w:rPr>
                    <w:t>95</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69AEE6BE">
                  <w:pPr>
                    <w:pStyle w:val="25"/>
                    <w:rPr>
                      <w:color w:val="000000"/>
                      <w:highlight w:val="none"/>
                    </w:rPr>
                  </w:pPr>
                  <w:r>
                    <w:rPr>
                      <w:color w:val="000000"/>
                      <w:highlight w:val="none"/>
                    </w:rPr>
                    <w:t>1m</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F359563">
                  <w:pPr>
                    <w:pStyle w:val="25"/>
                    <w:rPr>
                      <w:color w:val="000000"/>
                      <w:highlight w:val="none"/>
                    </w:rPr>
                  </w:pPr>
                  <w:r>
                    <w:rPr>
                      <w:color w:val="000000"/>
                      <w:highlight w:val="none"/>
                    </w:rPr>
                    <w:t>机械</w:t>
                  </w:r>
                </w:p>
              </w:tc>
              <w:tc>
                <w:tcPr>
                  <w:tcW w:w="730" w:type="pct"/>
                  <w:tcBorders>
                    <w:top w:val="single" w:color="auto" w:sz="4" w:space="0"/>
                    <w:left w:val="single" w:color="auto" w:sz="4" w:space="0"/>
                    <w:bottom w:val="single" w:color="auto" w:sz="4" w:space="0"/>
                    <w:right w:val="single" w:color="auto" w:sz="4" w:space="0"/>
                  </w:tcBorders>
                  <w:noWrap w:val="0"/>
                  <w:vAlign w:val="center"/>
                </w:tcPr>
                <w:p w14:paraId="4F104F94">
                  <w:pPr>
                    <w:pStyle w:val="25"/>
                    <w:rPr>
                      <w:color w:val="000000"/>
                      <w:highlight w:val="none"/>
                    </w:rPr>
                  </w:pPr>
                  <w:r>
                    <w:rPr>
                      <w:color w:val="000000"/>
                      <w:highlight w:val="none"/>
                    </w:rPr>
                    <w:t>昼夜连续</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23600026">
                  <w:pPr>
                    <w:pStyle w:val="25"/>
                    <w:rPr>
                      <w:color w:val="000000"/>
                      <w:highlight w:val="none"/>
                    </w:rPr>
                  </w:pPr>
                  <w:r>
                    <w:rPr>
                      <w:color w:val="000000"/>
                      <w:highlight w:val="none"/>
                    </w:rPr>
                    <w:t>固定声源</w:t>
                  </w:r>
                </w:p>
              </w:tc>
            </w:tr>
          </w:tbl>
          <w:p w14:paraId="489BCE24">
            <w:pPr>
              <w:pStyle w:val="24"/>
              <w:spacing w:before="120" w:beforeLines="50"/>
              <w:rPr>
                <w:rFonts w:ascii="Times New Roman" w:hAnsi="Times New Roman"/>
                <w:color w:val="000000"/>
                <w:sz w:val="24"/>
                <w:szCs w:val="21"/>
                <w:highlight w:val="none"/>
              </w:rPr>
            </w:pPr>
            <w:r>
              <w:rPr>
                <w:rFonts w:ascii="Times New Roman" w:hAnsi="Times New Roman"/>
                <w:color w:val="000000"/>
                <w:sz w:val="24"/>
                <w:szCs w:val="21"/>
                <w:highlight w:val="none"/>
              </w:rPr>
              <w:t>钻井及试油期过程中，不同类型施工机械在不同距离处的噪声预测值，见表4-7。</w:t>
            </w:r>
          </w:p>
          <w:p w14:paraId="2ABD8C8F">
            <w:pPr>
              <w:pStyle w:val="19"/>
              <w:rPr>
                <w:color w:val="000000"/>
                <w:szCs w:val="21"/>
                <w:highlight w:val="none"/>
              </w:rPr>
            </w:pPr>
            <w:r>
              <w:rPr>
                <w:color w:val="000000"/>
                <w:szCs w:val="21"/>
                <w:highlight w:val="none"/>
              </w:rPr>
              <w:t>表4-7    各种施工机械在不同距离的噪声预测值    单位：dB（A）</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63"/>
              <w:gridCol w:w="613"/>
              <w:gridCol w:w="528"/>
              <w:gridCol w:w="542"/>
              <w:gridCol w:w="562"/>
              <w:gridCol w:w="562"/>
              <w:gridCol w:w="561"/>
              <w:gridCol w:w="561"/>
              <w:gridCol w:w="561"/>
              <w:gridCol w:w="562"/>
              <w:gridCol w:w="561"/>
              <w:gridCol w:w="552"/>
              <w:gridCol w:w="691"/>
            </w:tblGrid>
            <w:tr w14:paraId="18EB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tcBorders>
                    <w:top w:val="single" w:color="auto" w:sz="4" w:space="0"/>
                    <w:left w:val="single" w:color="auto" w:sz="4" w:space="0"/>
                    <w:bottom w:val="single" w:color="auto" w:sz="4" w:space="0"/>
                    <w:right w:val="single" w:color="auto" w:sz="4" w:space="0"/>
                  </w:tcBorders>
                  <w:noWrap w:val="0"/>
                  <w:vAlign w:val="center"/>
                </w:tcPr>
                <w:p w14:paraId="6E5BD169">
                  <w:pPr>
                    <w:pStyle w:val="11"/>
                    <w:kinsoku w:val="0"/>
                    <w:overflowPunct w:val="0"/>
                    <w:autoSpaceDE w:val="0"/>
                    <w:autoSpaceDN w:val="0"/>
                    <w:ind w:left="0" w:firstLine="0"/>
                    <w:rPr>
                      <w:color w:val="000000"/>
                      <w:szCs w:val="21"/>
                      <w:highlight w:val="none"/>
                    </w:rPr>
                  </w:pPr>
                  <w:r>
                    <w:rPr>
                      <w:color w:val="000000"/>
                      <w:szCs w:val="21"/>
                      <w:highlight w:val="none"/>
                    </w:rPr>
                    <w:t>距离</w:t>
                  </w:r>
                </w:p>
                <w:p w14:paraId="4C0D2FE7">
                  <w:pPr>
                    <w:pStyle w:val="11"/>
                    <w:kinsoku w:val="0"/>
                    <w:overflowPunct w:val="0"/>
                    <w:autoSpaceDE w:val="0"/>
                    <w:autoSpaceDN w:val="0"/>
                    <w:ind w:left="0" w:firstLine="0"/>
                    <w:rPr>
                      <w:color w:val="000000"/>
                      <w:szCs w:val="21"/>
                      <w:highlight w:val="none"/>
                    </w:rPr>
                  </w:pPr>
                  <w:r>
                    <w:rPr>
                      <w:color w:val="000000"/>
                      <w:szCs w:val="21"/>
                      <w:highlight w:val="none"/>
                    </w:rPr>
                    <w:t>（m）</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15CF3522">
                  <w:pPr>
                    <w:pStyle w:val="11"/>
                    <w:kinsoku w:val="0"/>
                    <w:overflowPunct w:val="0"/>
                    <w:autoSpaceDE w:val="0"/>
                    <w:autoSpaceDN w:val="0"/>
                    <w:ind w:left="0" w:firstLine="0"/>
                    <w:rPr>
                      <w:color w:val="000000"/>
                      <w:szCs w:val="21"/>
                      <w:highlight w:val="none"/>
                    </w:rPr>
                  </w:pPr>
                  <w:r>
                    <w:rPr>
                      <w:color w:val="000000"/>
                      <w:szCs w:val="21"/>
                      <w:highlight w:val="none"/>
                    </w:rPr>
                    <w:t>源强</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4AAC3851">
                  <w:pPr>
                    <w:pStyle w:val="11"/>
                    <w:kinsoku w:val="0"/>
                    <w:overflowPunct w:val="0"/>
                    <w:autoSpaceDE w:val="0"/>
                    <w:autoSpaceDN w:val="0"/>
                    <w:ind w:left="0" w:firstLine="0"/>
                    <w:rPr>
                      <w:color w:val="000000"/>
                      <w:szCs w:val="21"/>
                      <w:highlight w:val="none"/>
                    </w:rPr>
                  </w:pPr>
                  <w:r>
                    <w:rPr>
                      <w:color w:val="000000"/>
                      <w:szCs w:val="21"/>
                      <w:highlight w:val="none"/>
                    </w:rPr>
                    <w:t>隔声后</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51F1B29B">
                  <w:pPr>
                    <w:pStyle w:val="11"/>
                    <w:kinsoku w:val="0"/>
                    <w:overflowPunct w:val="0"/>
                    <w:autoSpaceDE w:val="0"/>
                    <w:autoSpaceDN w:val="0"/>
                    <w:ind w:left="0" w:firstLine="0"/>
                    <w:rPr>
                      <w:color w:val="000000"/>
                      <w:szCs w:val="21"/>
                      <w:highlight w:val="none"/>
                    </w:rPr>
                  </w:pPr>
                  <w:r>
                    <w:rPr>
                      <w:color w:val="000000"/>
                      <w:szCs w:val="21"/>
                      <w:highlight w:val="none"/>
                    </w:rPr>
                    <w:t>5</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33C6BA1D">
                  <w:pPr>
                    <w:pStyle w:val="11"/>
                    <w:kinsoku w:val="0"/>
                    <w:overflowPunct w:val="0"/>
                    <w:autoSpaceDE w:val="0"/>
                    <w:autoSpaceDN w:val="0"/>
                    <w:ind w:left="0" w:firstLine="0"/>
                    <w:rPr>
                      <w:color w:val="000000"/>
                      <w:szCs w:val="21"/>
                      <w:highlight w:val="none"/>
                    </w:rPr>
                  </w:pPr>
                  <w:r>
                    <w:rPr>
                      <w:color w:val="000000"/>
                      <w:szCs w:val="21"/>
                      <w:highlight w:val="none"/>
                    </w:rPr>
                    <w:t>10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E10D714">
                  <w:pPr>
                    <w:pStyle w:val="11"/>
                    <w:kinsoku w:val="0"/>
                    <w:overflowPunct w:val="0"/>
                    <w:autoSpaceDE w:val="0"/>
                    <w:autoSpaceDN w:val="0"/>
                    <w:ind w:left="0" w:firstLine="0"/>
                    <w:rPr>
                      <w:color w:val="000000"/>
                      <w:szCs w:val="21"/>
                      <w:highlight w:val="none"/>
                    </w:rPr>
                  </w:pPr>
                  <w:r>
                    <w:rPr>
                      <w:color w:val="000000"/>
                      <w:szCs w:val="21"/>
                      <w:highlight w:val="none"/>
                    </w:rPr>
                    <w:t>15</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13999C63">
                  <w:pPr>
                    <w:pStyle w:val="11"/>
                    <w:kinsoku w:val="0"/>
                    <w:overflowPunct w:val="0"/>
                    <w:autoSpaceDE w:val="0"/>
                    <w:autoSpaceDN w:val="0"/>
                    <w:ind w:left="0" w:firstLine="0"/>
                    <w:rPr>
                      <w:color w:val="000000"/>
                      <w:szCs w:val="21"/>
                      <w:highlight w:val="none"/>
                    </w:rPr>
                  </w:pPr>
                  <w:r>
                    <w:rPr>
                      <w:color w:val="000000"/>
                      <w:szCs w:val="21"/>
                      <w:highlight w:val="none"/>
                    </w:rPr>
                    <w:t>20</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084D517D">
                  <w:pPr>
                    <w:pStyle w:val="11"/>
                    <w:kinsoku w:val="0"/>
                    <w:overflowPunct w:val="0"/>
                    <w:autoSpaceDE w:val="0"/>
                    <w:autoSpaceDN w:val="0"/>
                    <w:ind w:left="0" w:firstLine="0"/>
                    <w:rPr>
                      <w:color w:val="000000"/>
                      <w:szCs w:val="21"/>
                      <w:highlight w:val="none"/>
                    </w:rPr>
                  </w:pPr>
                  <w:r>
                    <w:rPr>
                      <w:color w:val="000000"/>
                      <w:szCs w:val="21"/>
                      <w:highlight w:val="none"/>
                    </w:rPr>
                    <w:t>25</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03416974">
                  <w:pPr>
                    <w:pStyle w:val="11"/>
                    <w:kinsoku w:val="0"/>
                    <w:overflowPunct w:val="0"/>
                    <w:autoSpaceDE w:val="0"/>
                    <w:autoSpaceDN w:val="0"/>
                    <w:ind w:left="0" w:firstLine="0"/>
                    <w:rPr>
                      <w:color w:val="000000"/>
                      <w:szCs w:val="21"/>
                      <w:highlight w:val="none"/>
                    </w:rPr>
                  </w:pPr>
                  <w:r>
                    <w:rPr>
                      <w:color w:val="000000"/>
                      <w:szCs w:val="21"/>
                      <w:highlight w:val="none"/>
                    </w:rPr>
                    <w:t>30</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18778F4C">
                  <w:pPr>
                    <w:pStyle w:val="11"/>
                    <w:kinsoku w:val="0"/>
                    <w:overflowPunct w:val="0"/>
                    <w:autoSpaceDE w:val="0"/>
                    <w:autoSpaceDN w:val="0"/>
                    <w:ind w:left="0" w:firstLine="0"/>
                    <w:rPr>
                      <w:color w:val="000000"/>
                      <w:szCs w:val="21"/>
                      <w:highlight w:val="none"/>
                    </w:rPr>
                  </w:pPr>
                  <w:r>
                    <w:rPr>
                      <w:color w:val="000000"/>
                      <w:szCs w:val="21"/>
                      <w:highlight w:val="none"/>
                    </w:rPr>
                    <w:t>40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260A5FBC">
                  <w:pPr>
                    <w:pStyle w:val="11"/>
                    <w:kinsoku w:val="0"/>
                    <w:overflowPunct w:val="0"/>
                    <w:autoSpaceDE w:val="0"/>
                    <w:autoSpaceDN w:val="0"/>
                    <w:ind w:left="0" w:firstLine="0"/>
                    <w:rPr>
                      <w:color w:val="000000"/>
                      <w:szCs w:val="21"/>
                      <w:highlight w:val="none"/>
                    </w:rPr>
                  </w:pPr>
                  <w:r>
                    <w:rPr>
                      <w:color w:val="000000"/>
                      <w:szCs w:val="21"/>
                      <w:highlight w:val="none"/>
                    </w:rPr>
                    <w:t>50</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67898C5E">
                  <w:pPr>
                    <w:pStyle w:val="11"/>
                    <w:kinsoku w:val="0"/>
                    <w:overflowPunct w:val="0"/>
                    <w:autoSpaceDE w:val="0"/>
                    <w:autoSpaceDN w:val="0"/>
                    <w:ind w:left="0" w:firstLine="0"/>
                    <w:rPr>
                      <w:color w:val="000000"/>
                      <w:szCs w:val="21"/>
                      <w:highlight w:val="none"/>
                    </w:rPr>
                  </w:pPr>
                  <w:r>
                    <w:rPr>
                      <w:color w:val="000000"/>
                      <w:szCs w:val="21"/>
                      <w:highlight w:val="none"/>
                    </w:rPr>
                    <w:t>60</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47E4D38B">
                  <w:pPr>
                    <w:pStyle w:val="11"/>
                    <w:kinsoku w:val="0"/>
                    <w:overflowPunct w:val="0"/>
                    <w:autoSpaceDE w:val="0"/>
                    <w:autoSpaceDN w:val="0"/>
                    <w:ind w:left="0" w:firstLine="0"/>
                    <w:rPr>
                      <w:color w:val="000000"/>
                      <w:szCs w:val="21"/>
                      <w:highlight w:val="none"/>
                    </w:rPr>
                  </w:pPr>
                  <w:r>
                    <w:rPr>
                      <w:color w:val="000000"/>
                      <w:szCs w:val="21"/>
                      <w:highlight w:val="none"/>
                    </w:rPr>
                    <w:t>80</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5CF963A2">
                  <w:pPr>
                    <w:pStyle w:val="11"/>
                    <w:kinsoku w:val="0"/>
                    <w:overflowPunct w:val="0"/>
                    <w:autoSpaceDE w:val="0"/>
                    <w:autoSpaceDN w:val="0"/>
                    <w:ind w:left="0" w:firstLine="0"/>
                    <w:rPr>
                      <w:color w:val="000000"/>
                      <w:szCs w:val="21"/>
                      <w:highlight w:val="none"/>
                    </w:rPr>
                  </w:pPr>
                  <w:r>
                    <w:rPr>
                      <w:color w:val="000000"/>
                      <w:szCs w:val="21"/>
                      <w:highlight w:val="none"/>
                    </w:rPr>
                    <w:t>100</w:t>
                  </w:r>
                </w:p>
              </w:tc>
            </w:tr>
            <w:tr w14:paraId="1AC6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tcBorders>
                    <w:top w:val="single" w:color="auto" w:sz="4" w:space="0"/>
                    <w:left w:val="single" w:color="auto" w:sz="4" w:space="0"/>
                    <w:bottom w:val="single" w:color="auto" w:sz="4" w:space="0"/>
                    <w:right w:val="single" w:color="auto" w:sz="4" w:space="0"/>
                  </w:tcBorders>
                  <w:noWrap w:val="0"/>
                  <w:vAlign w:val="center"/>
                </w:tcPr>
                <w:p w14:paraId="7082D51E">
                  <w:pPr>
                    <w:pStyle w:val="11"/>
                    <w:kinsoku w:val="0"/>
                    <w:overflowPunct w:val="0"/>
                    <w:autoSpaceDE w:val="0"/>
                    <w:autoSpaceDN w:val="0"/>
                    <w:ind w:left="0" w:firstLine="0"/>
                    <w:rPr>
                      <w:color w:val="000000"/>
                      <w:szCs w:val="21"/>
                      <w:highlight w:val="none"/>
                    </w:rPr>
                  </w:pPr>
                  <w:r>
                    <w:rPr>
                      <w:color w:val="000000"/>
                      <w:szCs w:val="21"/>
                      <w:highlight w:val="none"/>
                    </w:rPr>
                    <w:t>钻机</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A849982">
                  <w:pPr>
                    <w:pStyle w:val="11"/>
                    <w:kinsoku w:val="0"/>
                    <w:overflowPunct w:val="0"/>
                    <w:autoSpaceDE w:val="0"/>
                    <w:autoSpaceDN w:val="0"/>
                    <w:ind w:left="0" w:firstLine="0"/>
                    <w:rPr>
                      <w:color w:val="000000"/>
                      <w:szCs w:val="21"/>
                      <w:highlight w:val="none"/>
                    </w:rPr>
                  </w:pPr>
                  <w:r>
                    <w:rPr>
                      <w:color w:val="000000"/>
                      <w:szCs w:val="21"/>
                      <w:highlight w:val="none"/>
                    </w:rPr>
                    <w:t>90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5575BE0">
                  <w:pPr>
                    <w:pStyle w:val="11"/>
                    <w:kinsoku w:val="0"/>
                    <w:overflowPunct w:val="0"/>
                    <w:autoSpaceDE w:val="0"/>
                    <w:autoSpaceDN w:val="0"/>
                    <w:ind w:left="0" w:firstLine="0"/>
                    <w:rPr>
                      <w:color w:val="000000"/>
                      <w:szCs w:val="21"/>
                      <w:highlight w:val="none"/>
                    </w:rPr>
                  </w:pPr>
                  <w:r>
                    <w:rPr>
                      <w:color w:val="000000"/>
                      <w:szCs w:val="21"/>
                      <w:highlight w:val="none"/>
                    </w:rPr>
                    <w:t>80</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6C73B7CC">
                  <w:pPr>
                    <w:pStyle w:val="11"/>
                    <w:kinsoku w:val="0"/>
                    <w:overflowPunct w:val="0"/>
                    <w:autoSpaceDE w:val="0"/>
                    <w:autoSpaceDN w:val="0"/>
                    <w:ind w:left="0" w:firstLine="0"/>
                    <w:rPr>
                      <w:color w:val="000000"/>
                      <w:szCs w:val="21"/>
                      <w:highlight w:val="none"/>
                    </w:rPr>
                  </w:pPr>
                  <w:r>
                    <w:rPr>
                      <w:color w:val="000000"/>
                      <w:szCs w:val="21"/>
                      <w:highlight w:val="none"/>
                    </w:rPr>
                    <w:t>66</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33CE6E54">
                  <w:pPr>
                    <w:pStyle w:val="11"/>
                    <w:kinsoku w:val="0"/>
                    <w:overflowPunct w:val="0"/>
                    <w:autoSpaceDE w:val="0"/>
                    <w:autoSpaceDN w:val="0"/>
                    <w:ind w:left="0" w:firstLine="0"/>
                    <w:rPr>
                      <w:color w:val="000000"/>
                      <w:szCs w:val="21"/>
                      <w:highlight w:val="none"/>
                    </w:rPr>
                  </w:pPr>
                  <w:r>
                    <w:rPr>
                      <w:color w:val="000000"/>
                      <w:szCs w:val="21"/>
                      <w:highlight w:val="none"/>
                    </w:rPr>
                    <w:t>60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4B451060">
                  <w:pPr>
                    <w:pStyle w:val="11"/>
                    <w:kinsoku w:val="0"/>
                    <w:overflowPunct w:val="0"/>
                    <w:autoSpaceDE w:val="0"/>
                    <w:autoSpaceDN w:val="0"/>
                    <w:ind w:left="0" w:firstLine="0"/>
                    <w:rPr>
                      <w:color w:val="000000"/>
                      <w:szCs w:val="21"/>
                      <w:highlight w:val="none"/>
                    </w:rPr>
                  </w:pPr>
                  <w:r>
                    <w:rPr>
                      <w:color w:val="000000"/>
                      <w:szCs w:val="21"/>
                      <w:highlight w:val="none"/>
                    </w:rPr>
                    <w:t>56</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88CE182">
                  <w:pPr>
                    <w:pStyle w:val="11"/>
                    <w:kinsoku w:val="0"/>
                    <w:overflowPunct w:val="0"/>
                    <w:autoSpaceDE w:val="0"/>
                    <w:autoSpaceDN w:val="0"/>
                    <w:ind w:left="0" w:firstLine="0"/>
                    <w:rPr>
                      <w:color w:val="000000"/>
                      <w:szCs w:val="21"/>
                      <w:highlight w:val="none"/>
                    </w:rPr>
                  </w:pPr>
                  <w:r>
                    <w:rPr>
                      <w:color w:val="000000"/>
                      <w:szCs w:val="21"/>
                      <w:highlight w:val="none"/>
                    </w:rPr>
                    <w:t>54</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0404FC64">
                  <w:pPr>
                    <w:pStyle w:val="11"/>
                    <w:kinsoku w:val="0"/>
                    <w:overflowPunct w:val="0"/>
                    <w:autoSpaceDE w:val="0"/>
                    <w:autoSpaceDN w:val="0"/>
                    <w:ind w:left="0" w:firstLine="0"/>
                    <w:rPr>
                      <w:color w:val="000000"/>
                      <w:szCs w:val="21"/>
                      <w:highlight w:val="none"/>
                    </w:rPr>
                  </w:pPr>
                  <w:r>
                    <w:rPr>
                      <w:color w:val="000000"/>
                      <w:szCs w:val="21"/>
                      <w:highlight w:val="none"/>
                    </w:rPr>
                    <w:t>52</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7C83B075">
                  <w:pPr>
                    <w:pStyle w:val="11"/>
                    <w:kinsoku w:val="0"/>
                    <w:overflowPunct w:val="0"/>
                    <w:autoSpaceDE w:val="0"/>
                    <w:autoSpaceDN w:val="0"/>
                    <w:ind w:left="0" w:firstLine="0"/>
                    <w:rPr>
                      <w:color w:val="000000"/>
                      <w:szCs w:val="21"/>
                      <w:highlight w:val="none"/>
                    </w:rPr>
                  </w:pPr>
                  <w:r>
                    <w:rPr>
                      <w:color w:val="000000"/>
                      <w:szCs w:val="21"/>
                      <w:highlight w:val="none"/>
                    </w:rPr>
                    <w:t>50</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23966D3F">
                  <w:pPr>
                    <w:pStyle w:val="11"/>
                    <w:kinsoku w:val="0"/>
                    <w:overflowPunct w:val="0"/>
                    <w:autoSpaceDE w:val="0"/>
                    <w:autoSpaceDN w:val="0"/>
                    <w:ind w:left="0" w:firstLine="0"/>
                    <w:rPr>
                      <w:color w:val="000000"/>
                      <w:szCs w:val="21"/>
                      <w:highlight w:val="none"/>
                    </w:rPr>
                  </w:pPr>
                  <w:r>
                    <w:rPr>
                      <w:color w:val="000000"/>
                      <w:szCs w:val="21"/>
                      <w:highlight w:val="none"/>
                    </w:rPr>
                    <w:t>48</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B4654D3">
                  <w:pPr>
                    <w:pStyle w:val="11"/>
                    <w:kinsoku w:val="0"/>
                    <w:overflowPunct w:val="0"/>
                    <w:autoSpaceDE w:val="0"/>
                    <w:autoSpaceDN w:val="0"/>
                    <w:ind w:left="0" w:firstLine="0"/>
                    <w:rPr>
                      <w:color w:val="000000"/>
                      <w:szCs w:val="21"/>
                      <w:highlight w:val="none"/>
                    </w:rPr>
                  </w:pPr>
                  <w:r>
                    <w:rPr>
                      <w:color w:val="000000"/>
                      <w:szCs w:val="21"/>
                      <w:highlight w:val="none"/>
                    </w:rPr>
                    <w:t>46</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7B1E7D16">
                  <w:pPr>
                    <w:pStyle w:val="11"/>
                    <w:kinsoku w:val="0"/>
                    <w:overflowPunct w:val="0"/>
                    <w:autoSpaceDE w:val="0"/>
                    <w:autoSpaceDN w:val="0"/>
                    <w:ind w:left="0" w:firstLine="0"/>
                    <w:rPr>
                      <w:color w:val="000000"/>
                      <w:szCs w:val="21"/>
                      <w:highlight w:val="none"/>
                    </w:rPr>
                  </w:pPr>
                  <w:r>
                    <w:rPr>
                      <w:color w:val="000000"/>
                      <w:szCs w:val="21"/>
                      <w:highlight w:val="none"/>
                    </w:rPr>
                    <w:t>44</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09BD424B">
                  <w:pPr>
                    <w:pStyle w:val="11"/>
                    <w:kinsoku w:val="0"/>
                    <w:overflowPunct w:val="0"/>
                    <w:autoSpaceDE w:val="0"/>
                    <w:autoSpaceDN w:val="0"/>
                    <w:ind w:left="0" w:firstLine="0"/>
                    <w:rPr>
                      <w:color w:val="000000"/>
                      <w:szCs w:val="21"/>
                      <w:highlight w:val="none"/>
                    </w:rPr>
                  </w:pPr>
                  <w:r>
                    <w:rPr>
                      <w:color w:val="000000"/>
                      <w:szCs w:val="21"/>
                      <w:highlight w:val="none"/>
                    </w:rPr>
                    <w:t>42</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7F086FD7">
                  <w:pPr>
                    <w:pStyle w:val="11"/>
                    <w:kinsoku w:val="0"/>
                    <w:overflowPunct w:val="0"/>
                    <w:autoSpaceDE w:val="0"/>
                    <w:autoSpaceDN w:val="0"/>
                    <w:ind w:left="0" w:firstLine="0"/>
                    <w:rPr>
                      <w:color w:val="000000"/>
                      <w:szCs w:val="21"/>
                      <w:highlight w:val="none"/>
                    </w:rPr>
                  </w:pPr>
                  <w:r>
                    <w:rPr>
                      <w:color w:val="000000"/>
                      <w:szCs w:val="21"/>
                      <w:highlight w:val="none"/>
                    </w:rPr>
                    <w:t>40</w:t>
                  </w:r>
                </w:p>
              </w:tc>
            </w:tr>
            <w:tr w14:paraId="44E9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tcBorders>
                    <w:top w:val="single" w:color="auto" w:sz="4" w:space="0"/>
                    <w:left w:val="single" w:color="auto" w:sz="4" w:space="0"/>
                    <w:bottom w:val="single" w:color="auto" w:sz="4" w:space="0"/>
                    <w:right w:val="single" w:color="auto" w:sz="4" w:space="0"/>
                  </w:tcBorders>
                  <w:noWrap w:val="0"/>
                  <w:vAlign w:val="center"/>
                </w:tcPr>
                <w:p w14:paraId="42D99E10">
                  <w:pPr>
                    <w:pStyle w:val="11"/>
                    <w:kinsoku w:val="0"/>
                    <w:overflowPunct w:val="0"/>
                    <w:autoSpaceDE w:val="0"/>
                    <w:autoSpaceDN w:val="0"/>
                    <w:ind w:left="0" w:firstLine="0"/>
                    <w:rPr>
                      <w:color w:val="000000"/>
                      <w:szCs w:val="21"/>
                      <w:highlight w:val="none"/>
                    </w:rPr>
                  </w:pPr>
                  <w:r>
                    <w:rPr>
                      <w:color w:val="000000"/>
                      <w:szCs w:val="21"/>
                      <w:highlight w:val="none"/>
                    </w:rPr>
                    <w:t>泥浆泵</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570F89D3">
                  <w:pPr>
                    <w:pStyle w:val="11"/>
                    <w:kinsoku w:val="0"/>
                    <w:overflowPunct w:val="0"/>
                    <w:autoSpaceDE w:val="0"/>
                    <w:autoSpaceDN w:val="0"/>
                    <w:ind w:left="0" w:firstLine="0"/>
                    <w:rPr>
                      <w:color w:val="000000"/>
                      <w:szCs w:val="21"/>
                      <w:highlight w:val="none"/>
                    </w:rPr>
                  </w:pPr>
                  <w:r>
                    <w:rPr>
                      <w:color w:val="000000"/>
                      <w:szCs w:val="21"/>
                      <w:highlight w:val="none"/>
                    </w:rPr>
                    <w:t>95</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46D62C0">
                  <w:pPr>
                    <w:pStyle w:val="11"/>
                    <w:kinsoku w:val="0"/>
                    <w:overflowPunct w:val="0"/>
                    <w:autoSpaceDE w:val="0"/>
                    <w:autoSpaceDN w:val="0"/>
                    <w:ind w:left="0" w:firstLine="0"/>
                    <w:rPr>
                      <w:color w:val="000000"/>
                      <w:szCs w:val="21"/>
                      <w:highlight w:val="none"/>
                    </w:rPr>
                  </w:pPr>
                  <w:r>
                    <w:rPr>
                      <w:color w:val="000000"/>
                      <w:szCs w:val="21"/>
                      <w:highlight w:val="none"/>
                    </w:rPr>
                    <w:t>85</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52D5AA63">
                  <w:pPr>
                    <w:pStyle w:val="11"/>
                    <w:kinsoku w:val="0"/>
                    <w:overflowPunct w:val="0"/>
                    <w:autoSpaceDE w:val="0"/>
                    <w:autoSpaceDN w:val="0"/>
                    <w:ind w:left="0" w:firstLine="0"/>
                    <w:rPr>
                      <w:color w:val="000000"/>
                      <w:szCs w:val="21"/>
                      <w:highlight w:val="none"/>
                    </w:rPr>
                  </w:pPr>
                  <w:r>
                    <w:rPr>
                      <w:color w:val="000000"/>
                      <w:szCs w:val="21"/>
                      <w:highlight w:val="none"/>
                    </w:rPr>
                    <w:t>71</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1E97E1E0">
                  <w:pPr>
                    <w:pStyle w:val="11"/>
                    <w:kinsoku w:val="0"/>
                    <w:overflowPunct w:val="0"/>
                    <w:autoSpaceDE w:val="0"/>
                    <w:autoSpaceDN w:val="0"/>
                    <w:ind w:left="0" w:firstLine="0"/>
                    <w:rPr>
                      <w:color w:val="000000"/>
                      <w:szCs w:val="21"/>
                      <w:highlight w:val="none"/>
                    </w:rPr>
                  </w:pPr>
                  <w:r>
                    <w:rPr>
                      <w:color w:val="000000"/>
                      <w:szCs w:val="21"/>
                      <w:highlight w:val="none"/>
                    </w:rPr>
                    <w:t>65</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23C7D780">
                  <w:pPr>
                    <w:pStyle w:val="11"/>
                    <w:kinsoku w:val="0"/>
                    <w:overflowPunct w:val="0"/>
                    <w:autoSpaceDE w:val="0"/>
                    <w:autoSpaceDN w:val="0"/>
                    <w:ind w:left="0" w:firstLine="0"/>
                    <w:rPr>
                      <w:color w:val="000000"/>
                      <w:szCs w:val="21"/>
                      <w:highlight w:val="none"/>
                    </w:rPr>
                  </w:pPr>
                  <w:r>
                    <w:rPr>
                      <w:color w:val="000000"/>
                      <w:szCs w:val="21"/>
                      <w:highlight w:val="none"/>
                    </w:rPr>
                    <w:t>61</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123B485B">
                  <w:pPr>
                    <w:pStyle w:val="11"/>
                    <w:kinsoku w:val="0"/>
                    <w:overflowPunct w:val="0"/>
                    <w:autoSpaceDE w:val="0"/>
                    <w:autoSpaceDN w:val="0"/>
                    <w:ind w:left="0" w:firstLine="0"/>
                    <w:rPr>
                      <w:color w:val="000000"/>
                      <w:szCs w:val="21"/>
                      <w:highlight w:val="none"/>
                    </w:rPr>
                  </w:pPr>
                  <w:r>
                    <w:rPr>
                      <w:color w:val="000000"/>
                      <w:szCs w:val="21"/>
                      <w:highlight w:val="none"/>
                    </w:rPr>
                    <w:t>59</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34121443">
                  <w:pPr>
                    <w:pStyle w:val="11"/>
                    <w:kinsoku w:val="0"/>
                    <w:overflowPunct w:val="0"/>
                    <w:autoSpaceDE w:val="0"/>
                    <w:autoSpaceDN w:val="0"/>
                    <w:ind w:left="0" w:firstLine="0"/>
                    <w:rPr>
                      <w:color w:val="000000"/>
                      <w:szCs w:val="21"/>
                      <w:highlight w:val="none"/>
                    </w:rPr>
                  </w:pPr>
                  <w:r>
                    <w:rPr>
                      <w:color w:val="000000"/>
                      <w:szCs w:val="21"/>
                      <w:highlight w:val="none"/>
                    </w:rPr>
                    <w:t>57</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4BFBE829">
                  <w:pPr>
                    <w:pStyle w:val="11"/>
                    <w:kinsoku w:val="0"/>
                    <w:overflowPunct w:val="0"/>
                    <w:autoSpaceDE w:val="0"/>
                    <w:autoSpaceDN w:val="0"/>
                    <w:ind w:left="0" w:firstLine="0"/>
                    <w:rPr>
                      <w:color w:val="000000"/>
                      <w:szCs w:val="21"/>
                      <w:highlight w:val="none"/>
                    </w:rPr>
                  </w:pPr>
                  <w:r>
                    <w:rPr>
                      <w:color w:val="000000"/>
                      <w:szCs w:val="21"/>
                      <w:highlight w:val="none"/>
                    </w:rPr>
                    <w:t>55</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6F3DCC02">
                  <w:pPr>
                    <w:pStyle w:val="11"/>
                    <w:kinsoku w:val="0"/>
                    <w:overflowPunct w:val="0"/>
                    <w:autoSpaceDE w:val="0"/>
                    <w:autoSpaceDN w:val="0"/>
                    <w:ind w:left="0" w:firstLine="0"/>
                    <w:rPr>
                      <w:color w:val="000000"/>
                      <w:szCs w:val="21"/>
                      <w:highlight w:val="none"/>
                    </w:rPr>
                  </w:pPr>
                  <w:r>
                    <w:rPr>
                      <w:color w:val="000000"/>
                      <w:szCs w:val="21"/>
                      <w:highlight w:val="none"/>
                    </w:rPr>
                    <w:t>53</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D7B4B18">
                  <w:pPr>
                    <w:pStyle w:val="11"/>
                    <w:kinsoku w:val="0"/>
                    <w:overflowPunct w:val="0"/>
                    <w:autoSpaceDE w:val="0"/>
                    <w:autoSpaceDN w:val="0"/>
                    <w:ind w:left="0" w:firstLine="0"/>
                    <w:rPr>
                      <w:color w:val="000000"/>
                      <w:szCs w:val="21"/>
                      <w:highlight w:val="none"/>
                    </w:rPr>
                  </w:pPr>
                  <w:r>
                    <w:rPr>
                      <w:color w:val="000000"/>
                      <w:szCs w:val="21"/>
                      <w:highlight w:val="none"/>
                    </w:rPr>
                    <w:t>51</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429FE031">
                  <w:pPr>
                    <w:pStyle w:val="11"/>
                    <w:kinsoku w:val="0"/>
                    <w:overflowPunct w:val="0"/>
                    <w:autoSpaceDE w:val="0"/>
                    <w:autoSpaceDN w:val="0"/>
                    <w:ind w:left="0" w:firstLine="0"/>
                    <w:rPr>
                      <w:color w:val="000000"/>
                      <w:szCs w:val="21"/>
                      <w:highlight w:val="none"/>
                    </w:rPr>
                  </w:pPr>
                  <w:r>
                    <w:rPr>
                      <w:color w:val="000000"/>
                      <w:szCs w:val="21"/>
                      <w:highlight w:val="none"/>
                    </w:rPr>
                    <w:t>49</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46AD13D">
                  <w:pPr>
                    <w:pStyle w:val="11"/>
                    <w:kinsoku w:val="0"/>
                    <w:overflowPunct w:val="0"/>
                    <w:autoSpaceDE w:val="0"/>
                    <w:autoSpaceDN w:val="0"/>
                    <w:ind w:left="0" w:firstLine="0"/>
                    <w:rPr>
                      <w:color w:val="000000"/>
                      <w:szCs w:val="21"/>
                      <w:highlight w:val="none"/>
                    </w:rPr>
                  </w:pPr>
                  <w:r>
                    <w:rPr>
                      <w:color w:val="000000"/>
                      <w:szCs w:val="21"/>
                      <w:highlight w:val="none"/>
                    </w:rPr>
                    <w:t>47</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6C899093">
                  <w:pPr>
                    <w:pStyle w:val="11"/>
                    <w:kinsoku w:val="0"/>
                    <w:overflowPunct w:val="0"/>
                    <w:autoSpaceDE w:val="0"/>
                    <w:autoSpaceDN w:val="0"/>
                    <w:ind w:left="0" w:firstLine="0"/>
                    <w:rPr>
                      <w:color w:val="000000"/>
                      <w:szCs w:val="21"/>
                      <w:highlight w:val="none"/>
                    </w:rPr>
                  </w:pPr>
                  <w:r>
                    <w:rPr>
                      <w:color w:val="000000"/>
                      <w:szCs w:val="21"/>
                      <w:highlight w:val="none"/>
                    </w:rPr>
                    <w:t>45</w:t>
                  </w:r>
                </w:p>
              </w:tc>
            </w:tr>
            <w:tr w14:paraId="5A0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tcBorders>
                    <w:top w:val="single" w:color="auto" w:sz="4" w:space="0"/>
                    <w:left w:val="single" w:color="auto" w:sz="4" w:space="0"/>
                    <w:bottom w:val="single" w:color="auto" w:sz="4" w:space="0"/>
                    <w:right w:val="single" w:color="auto" w:sz="4" w:space="0"/>
                  </w:tcBorders>
                  <w:noWrap w:val="0"/>
                  <w:vAlign w:val="center"/>
                </w:tcPr>
                <w:p w14:paraId="787BBC19">
                  <w:pPr>
                    <w:pStyle w:val="11"/>
                    <w:kinsoku w:val="0"/>
                    <w:overflowPunct w:val="0"/>
                    <w:autoSpaceDE w:val="0"/>
                    <w:autoSpaceDN w:val="0"/>
                    <w:ind w:left="0" w:firstLine="0"/>
                    <w:rPr>
                      <w:color w:val="000000"/>
                      <w:szCs w:val="21"/>
                      <w:highlight w:val="none"/>
                    </w:rPr>
                  </w:pPr>
                  <w:r>
                    <w:rPr>
                      <w:color w:val="000000"/>
                      <w:szCs w:val="21"/>
                      <w:highlight w:val="none"/>
                    </w:rPr>
                    <w:t>柴油机</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6AC117DA">
                  <w:pPr>
                    <w:pStyle w:val="11"/>
                    <w:kinsoku w:val="0"/>
                    <w:overflowPunct w:val="0"/>
                    <w:autoSpaceDE w:val="0"/>
                    <w:autoSpaceDN w:val="0"/>
                    <w:ind w:left="0" w:firstLine="0"/>
                    <w:rPr>
                      <w:color w:val="000000"/>
                      <w:szCs w:val="21"/>
                      <w:highlight w:val="none"/>
                    </w:rPr>
                  </w:pPr>
                  <w:r>
                    <w:rPr>
                      <w:color w:val="000000"/>
                      <w:szCs w:val="21"/>
                      <w:highlight w:val="none"/>
                    </w:rPr>
                    <w:t>100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09A55A9C">
                  <w:pPr>
                    <w:pStyle w:val="11"/>
                    <w:kinsoku w:val="0"/>
                    <w:overflowPunct w:val="0"/>
                    <w:autoSpaceDE w:val="0"/>
                    <w:autoSpaceDN w:val="0"/>
                    <w:ind w:left="0" w:firstLine="0"/>
                    <w:rPr>
                      <w:color w:val="000000"/>
                      <w:szCs w:val="21"/>
                      <w:highlight w:val="none"/>
                    </w:rPr>
                  </w:pPr>
                  <w:r>
                    <w:rPr>
                      <w:color w:val="000000"/>
                      <w:szCs w:val="21"/>
                      <w:highlight w:val="none"/>
                    </w:rPr>
                    <w:t>90</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13367429">
                  <w:pPr>
                    <w:pStyle w:val="11"/>
                    <w:kinsoku w:val="0"/>
                    <w:overflowPunct w:val="0"/>
                    <w:autoSpaceDE w:val="0"/>
                    <w:autoSpaceDN w:val="0"/>
                    <w:ind w:left="0" w:firstLine="0"/>
                    <w:rPr>
                      <w:color w:val="000000"/>
                      <w:szCs w:val="21"/>
                      <w:highlight w:val="none"/>
                    </w:rPr>
                  </w:pPr>
                  <w:r>
                    <w:rPr>
                      <w:color w:val="000000"/>
                      <w:szCs w:val="21"/>
                      <w:highlight w:val="none"/>
                    </w:rPr>
                    <w:t>76</w:t>
                  </w:r>
                </w:p>
              </w:tc>
              <w:tc>
                <w:tcPr>
                  <w:tcW w:w="319" w:type="pct"/>
                  <w:tcBorders>
                    <w:top w:val="single" w:color="auto" w:sz="4" w:space="0"/>
                    <w:left w:val="single" w:color="auto" w:sz="4" w:space="0"/>
                    <w:bottom w:val="single" w:color="auto" w:sz="4" w:space="0"/>
                    <w:right w:val="single" w:color="auto" w:sz="4" w:space="0"/>
                  </w:tcBorders>
                  <w:noWrap w:val="0"/>
                  <w:vAlign w:val="center"/>
                </w:tcPr>
                <w:p w14:paraId="0278B8D5">
                  <w:pPr>
                    <w:pStyle w:val="11"/>
                    <w:kinsoku w:val="0"/>
                    <w:overflowPunct w:val="0"/>
                    <w:autoSpaceDE w:val="0"/>
                    <w:autoSpaceDN w:val="0"/>
                    <w:ind w:left="0" w:firstLine="0"/>
                    <w:rPr>
                      <w:color w:val="000000"/>
                      <w:szCs w:val="21"/>
                      <w:highlight w:val="none"/>
                    </w:rPr>
                  </w:pPr>
                  <w:r>
                    <w:rPr>
                      <w:color w:val="000000"/>
                      <w:szCs w:val="21"/>
                      <w:highlight w:val="none"/>
                    </w:rPr>
                    <w:t>70</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4B75D955">
                  <w:pPr>
                    <w:pStyle w:val="11"/>
                    <w:kinsoku w:val="0"/>
                    <w:overflowPunct w:val="0"/>
                    <w:autoSpaceDE w:val="0"/>
                    <w:autoSpaceDN w:val="0"/>
                    <w:ind w:left="0" w:firstLine="0"/>
                    <w:rPr>
                      <w:color w:val="000000"/>
                      <w:szCs w:val="21"/>
                      <w:highlight w:val="none"/>
                    </w:rPr>
                  </w:pPr>
                  <w:r>
                    <w:rPr>
                      <w:color w:val="000000"/>
                      <w:szCs w:val="21"/>
                      <w:highlight w:val="none"/>
                    </w:rPr>
                    <w:t>66</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650657A5">
                  <w:pPr>
                    <w:pStyle w:val="11"/>
                    <w:kinsoku w:val="0"/>
                    <w:overflowPunct w:val="0"/>
                    <w:autoSpaceDE w:val="0"/>
                    <w:autoSpaceDN w:val="0"/>
                    <w:ind w:left="0" w:firstLine="0"/>
                    <w:rPr>
                      <w:color w:val="000000"/>
                      <w:szCs w:val="21"/>
                      <w:highlight w:val="none"/>
                    </w:rPr>
                  </w:pPr>
                  <w:r>
                    <w:rPr>
                      <w:color w:val="000000"/>
                      <w:szCs w:val="21"/>
                      <w:highlight w:val="none"/>
                    </w:rPr>
                    <w:t>65</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65BA5261">
                  <w:pPr>
                    <w:pStyle w:val="11"/>
                    <w:kinsoku w:val="0"/>
                    <w:overflowPunct w:val="0"/>
                    <w:autoSpaceDE w:val="0"/>
                    <w:autoSpaceDN w:val="0"/>
                    <w:ind w:left="0" w:firstLine="0"/>
                    <w:rPr>
                      <w:color w:val="000000"/>
                      <w:szCs w:val="21"/>
                      <w:highlight w:val="none"/>
                    </w:rPr>
                  </w:pPr>
                  <w:r>
                    <w:rPr>
                      <w:color w:val="000000"/>
                      <w:szCs w:val="21"/>
                      <w:highlight w:val="none"/>
                    </w:rPr>
                    <w:t>62</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005BB8DA">
                  <w:pPr>
                    <w:pStyle w:val="11"/>
                    <w:kinsoku w:val="0"/>
                    <w:overflowPunct w:val="0"/>
                    <w:autoSpaceDE w:val="0"/>
                    <w:autoSpaceDN w:val="0"/>
                    <w:ind w:left="0" w:firstLine="0"/>
                    <w:rPr>
                      <w:color w:val="000000"/>
                      <w:szCs w:val="21"/>
                      <w:highlight w:val="none"/>
                    </w:rPr>
                  </w:pPr>
                  <w:r>
                    <w:rPr>
                      <w:color w:val="000000"/>
                      <w:szCs w:val="21"/>
                      <w:highlight w:val="none"/>
                    </w:rPr>
                    <w:t>60</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7B30928E">
                  <w:pPr>
                    <w:pStyle w:val="11"/>
                    <w:kinsoku w:val="0"/>
                    <w:overflowPunct w:val="0"/>
                    <w:autoSpaceDE w:val="0"/>
                    <w:autoSpaceDN w:val="0"/>
                    <w:ind w:left="0" w:firstLine="0"/>
                    <w:rPr>
                      <w:color w:val="000000"/>
                      <w:szCs w:val="21"/>
                      <w:highlight w:val="none"/>
                    </w:rPr>
                  </w:pPr>
                  <w:r>
                    <w:rPr>
                      <w:color w:val="000000"/>
                      <w:szCs w:val="21"/>
                      <w:highlight w:val="none"/>
                    </w:rPr>
                    <w:t>58</w:t>
                  </w:r>
                </w:p>
              </w:tc>
              <w:tc>
                <w:tcPr>
                  <w:tcW w:w="331" w:type="pct"/>
                  <w:tcBorders>
                    <w:top w:val="single" w:color="auto" w:sz="4" w:space="0"/>
                    <w:left w:val="single" w:color="auto" w:sz="4" w:space="0"/>
                    <w:bottom w:val="single" w:color="auto" w:sz="4" w:space="0"/>
                    <w:right w:val="single" w:color="auto" w:sz="4" w:space="0"/>
                  </w:tcBorders>
                  <w:noWrap w:val="0"/>
                  <w:vAlign w:val="center"/>
                </w:tcPr>
                <w:p w14:paraId="157C6032">
                  <w:pPr>
                    <w:pStyle w:val="11"/>
                    <w:kinsoku w:val="0"/>
                    <w:overflowPunct w:val="0"/>
                    <w:autoSpaceDE w:val="0"/>
                    <w:autoSpaceDN w:val="0"/>
                    <w:ind w:left="0" w:firstLine="0"/>
                    <w:rPr>
                      <w:color w:val="000000"/>
                      <w:szCs w:val="21"/>
                      <w:highlight w:val="none"/>
                    </w:rPr>
                  </w:pPr>
                  <w:r>
                    <w:rPr>
                      <w:color w:val="000000"/>
                      <w:szCs w:val="21"/>
                      <w:highlight w:val="none"/>
                    </w:rPr>
                    <w:t>56</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4596D69C">
                  <w:pPr>
                    <w:pStyle w:val="11"/>
                    <w:kinsoku w:val="0"/>
                    <w:overflowPunct w:val="0"/>
                    <w:autoSpaceDE w:val="0"/>
                    <w:autoSpaceDN w:val="0"/>
                    <w:ind w:left="0" w:firstLine="0"/>
                    <w:rPr>
                      <w:color w:val="000000"/>
                      <w:szCs w:val="21"/>
                      <w:highlight w:val="none"/>
                    </w:rPr>
                  </w:pPr>
                  <w:r>
                    <w:rPr>
                      <w:color w:val="000000"/>
                      <w:szCs w:val="21"/>
                      <w:highlight w:val="none"/>
                    </w:rPr>
                    <w:t>54</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AC66837">
                  <w:pPr>
                    <w:pStyle w:val="11"/>
                    <w:kinsoku w:val="0"/>
                    <w:overflowPunct w:val="0"/>
                    <w:autoSpaceDE w:val="0"/>
                    <w:autoSpaceDN w:val="0"/>
                    <w:ind w:left="0" w:firstLine="0"/>
                    <w:rPr>
                      <w:color w:val="000000"/>
                      <w:szCs w:val="21"/>
                      <w:highlight w:val="none"/>
                    </w:rPr>
                  </w:pPr>
                  <w:r>
                    <w:rPr>
                      <w:color w:val="000000"/>
                      <w:szCs w:val="21"/>
                      <w:highlight w:val="none"/>
                    </w:rPr>
                    <w:t>52</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1889355E">
                  <w:pPr>
                    <w:pStyle w:val="11"/>
                    <w:kinsoku w:val="0"/>
                    <w:overflowPunct w:val="0"/>
                    <w:autoSpaceDE w:val="0"/>
                    <w:autoSpaceDN w:val="0"/>
                    <w:ind w:left="0" w:firstLine="0"/>
                    <w:rPr>
                      <w:color w:val="000000"/>
                      <w:szCs w:val="21"/>
                      <w:highlight w:val="none"/>
                    </w:rPr>
                  </w:pPr>
                  <w:r>
                    <w:rPr>
                      <w:color w:val="000000"/>
                      <w:szCs w:val="21"/>
                      <w:highlight w:val="none"/>
                    </w:rPr>
                    <w:t>50</w:t>
                  </w:r>
                </w:p>
              </w:tc>
            </w:tr>
          </w:tbl>
          <w:p w14:paraId="22769F5F">
            <w:pPr>
              <w:pStyle w:val="24"/>
              <w:spacing w:before="120" w:beforeLines="50"/>
              <w:rPr>
                <w:color w:val="000000"/>
                <w:sz w:val="24"/>
                <w:szCs w:val="21"/>
                <w:highlight w:val="none"/>
              </w:rPr>
            </w:pPr>
            <w:r>
              <w:rPr>
                <w:color w:val="000000"/>
                <w:sz w:val="24"/>
                <w:szCs w:val="21"/>
                <w:highlight w:val="none"/>
              </w:rPr>
              <w:t>根据预测结果，施工期间，柴油机的噪声在施工场界外60m处时夜间噪声达《建筑施工场界环境噪声排放标准》（GB12523-2011）标准要求（昼间70dB（A），夜间55dB（A））。同时，对高噪声设备采取隔声措施，并加强机械设备的保养，保证机械设备的正常运转，以降低设备正常运转的噪声。进一步落实以上措施后，钻井噪声对周边环境及施工人员的影响将进一步减少，钻井期产生噪声对周边环境影响不大。</w:t>
            </w:r>
          </w:p>
          <w:p w14:paraId="72FE28B2">
            <w:pPr>
              <w:pStyle w:val="3"/>
              <w:rPr>
                <w:color w:val="000000"/>
                <w:szCs w:val="24"/>
                <w:highlight w:val="none"/>
              </w:rPr>
            </w:pPr>
            <w:r>
              <w:rPr>
                <w:color w:val="000000"/>
                <w:szCs w:val="24"/>
                <w:highlight w:val="none"/>
              </w:rPr>
              <w:t>4 施工期固体废物影响分析</w:t>
            </w:r>
          </w:p>
          <w:p w14:paraId="49080D88">
            <w:pPr>
              <w:pStyle w:val="24"/>
              <w:rPr>
                <w:color w:val="000000"/>
                <w:sz w:val="24"/>
                <w:szCs w:val="21"/>
                <w:highlight w:val="none"/>
              </w:rPr>
            </w:pPr>
            <w:r>
              <w:rPr>
                <w:color w:val="000000"/>
                <w:sz w:val="24"/>
                <w:szCs w:val="21"/>
                <w:highlight w:val="none"/>
              </w:rPr>
              <w:t>本项目在钻井期固体废物主要是水基岩屑、油基岩屑、机械设备废油、废弃防渗膜和生活垃圾。</w:t>
            </w:r>
          </w:p>
          <w:p w14:paraId="32347E7D">
            <w:pPr>
              <w:pStyle w:val="24"/>
              <w:rPr>
                <w:color w:val="000000"/>
                <w:sz w:val="24"/>
                <w:szCs w:val="21"/>
                <w:highlight w:val="none"/>
              </w:rPr>
            </w:pPr>
            <w:r>
              <w:rPr>
                <w:color w:val="000000"/>
                <w:sz w:val="24"/>
                <w:szCs w:val="21"/>
                <w:highlight w:val="none"/>
              </w:rPr>
              <w:t>（</w:t>
            </w:r>
            <w:r>
              <w:rPr>
                <w:rFonts w:hint="eastAsia"/>
                <w:color w:val="000000"/>
                <w:sz w:val="24"/>
                <w:szCs w:val="21"/>
                <w:highlight w:val="none"/>
              </w:rPr>
              <w:t>1）</w:t>
            </w:r>
            <w:r>
              <w:rPr>
                <w:color w:val="000000"/>
                <w:sz w:val="24"/>
                <w:szCs w:val="21"/>
                <w:highlight w:val="none"/>
              </w:rPr>
              <w:t>钻井岩屑</w:t>
            </w:r>
          </w:p>
          <w:p w14:paraId="4777D7D7">
            <w:pPr>
              <w:pStyle w:val="24"/>
              <w:rPr>
                <w:color w:val="000000"/>
                <w:highlight w:val="none"/>
              </w:rPr>
            </w:pPr>
            <w:r>
              <w:rPr>
                <w:color w:val="000000"/>
                <w:sz w:val="24"/>
                <w:szCs w:val="21"/>
                <w:highlight w:val="none"/>
              </w:rPr>
              <w:t>钻井岩屑产生、排放量与井身结构等因素有关，岩屑产生量可按下式计算：</w:t>
            </w:r>
          </w:p>
          <w:p w14:paraId="4C9214CD">
            <w:pPr>
              <w:spacing w:line="360" w:lineRule="auto"/>
              <w:rPr>
                <w:color w:val="000000"/>
                <w:kern w:val="0"/>
                <w:highlight w:val="none"/>
              </w:rPr>
            </w:pPr>
            <w:r>
              <w:rPr>
                <w:color w:val="000000"/>
                <w:kern w:val="0"/>
                <w:highlight w:val="none"/>
              </w:rPr>
              <w:t>W=1/4×л×D</w:t>
            </w:r>
            <w:r>
              <w:rPr>
                <w:color w:val="000000"/>
                <w:kern w:val="0"/>
                <w:highlight w:val="none"/>
                <w:vertAlign w:val="superscript"/>
              </w:rPr>
              <w:t>2</w:t>
            </w:r>
            <w:r>
              <w:rPr>
                <w:color w:val="000000"/>
                <w:kern w:val="0"/>
                <w:highlight w:val="none"/>
              </w:rPr>
              <w:t>×h×α×d</w:t>
            </w:r>
          </w:p>
          <w:p w14:paraId="6264E9D1">
            <w:pPr>
              <w:spacing w:line="360" w:lineRule="auto"/>
              <w:ind w:firstLine="480" w:firstLineChars="200"/>
              <w:jc w:val="left"/>
              <w:rPr>
                <w:color w:val="000000"/>
                <w:kern w:val="0"/>
                <w:highlight w:val="none"/>
              </w:rPr>
            </w:pPr>
            <w:r>
              <w:rPr>
                <w:color w:val="000000"/>
                <w:kern w:val="0"/>
                <w:highlight w:val="none"/>
              </w:rPr>
              <w:t>式中：W－钻井岩屑排放量，t；</w:t>
            </w:r>
          </w:p>
          <w:p w14:paraId="5CAD7722">
            <w:pPr>
              <w:spacing w:line="360" w:lineRule="auto"/>
              <w:ind w:firstLine="1200" w:firstLineChars="500"/>
              <w:jc w:val="left"/>
              <w:rPr>
                <w:color w:val="000000"/>
                <w:kern w:val="0"/>
                <w:highlight w:val="none"/>
              </w:rPr>
            </w:pPr>
            <w:r>
              <w:rPr>
                <w:color w:val="000000"/>
                <w:kern w:val="0"/>
                <w:highlight w:val="none"/>
              </w:rPr>
              <w:t>D—井的直径，m；</w:t>
            </w:r>
          </w:p>
          <w:p w14:paraId="35AEACB9">
            <w:pPr>
              <w:spacing w:line="360" w:lineRule="auto"/>
              <w:ind w:firstLine="1200" w:firstLineChars="500"/>
              <w:jc w:val="left"/>
              <w:rPr>
                <w:color w:val="000000"/>
                <w:kern w:val="0"/>
                <w:highlight w:val="none"/>
              </w:rPr>
            </w:pPr>
            <w:r>
              <w:rPr>
                <w:color w:val="000000"/>
                <w:kern w:val="0"/>
                <w:highlight w:val="none"/>
              </w:rPr>
              <w:t>h－井深，m；</w:t>
            </w:r>
          </w:p>
          <w:p w14:paraId="1FFE68E0">
            <w:pPr>
              <w:pStyle w:val="24"/>
              <w:adjustRightInd/>
              <w:snapToGrid/>
              <w:ind w:firstLine="1200" w:firstLineChars="500"/>
              <w:rPr>
                <w:rFonts w:ascii="Times New Roman" w:hAnsi="Times New Roman"/>
                <w:color w:val="000000"/>
                <w:kern w:val="0"/>
                <w:sz w:val="24"/>
                <w:szCs w:val="21"/>
                <w:highlight w:val="none"/>
              </w:rPr>
            </w:pPr>
            <w:r>
              <w:rPr>
                <w:rFonts w:ascii="Times New Roman" w:hAnsi="Times New Roman"/>
                <w:color w:val="000000"/>
                <w:sz w:val="24"/>
                <w:szCs w:val="21"/>
                <w:highlight w:val="none"/>
              </w:rPr>
              <w:t>d－所钻岩石的密度（g/cm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），取2.5g/cm</w:t>
            </w:r>
            <w:r>
              <w:rPr>
                <w:rFonts w:ascii="Times New Roman" w:hAnsi="Times New Roman"/>
                <w:color w:val="000000"/>
                <w:sz w:val="24"/>
                <w:szCs w:val="21"/>
                <w:highlight w:val="none"/>
                <w:vertAlign w:val="superscript"/>
              </w:rPr>
              <w:t>3</w:t>
            </w:r>
            <w:r>
              <w:rPr>
                <w:rFonts w:ascii="Times New Roman" w:hAnsi="Times New Roman"/>
                <w:color w:val="000000"/>
                <w:sz w:val="24"/>
                <w:szCs w:val="21"/>
                <w:highlight w:val="none"/>
              </w:rPr>
              <w:t>；</w:t>
            </w:r>
          </w:p>
          <w:p w14:paraId="56EEBEC0">
            <w:pPr>
              <w:spacing w:line="360" w:lineRule="auto"/>
              <w:ind w:firstLine="1200" w:firstLineChars="500"/>
              <w:jc w:val="left"/>
              <w:rPr>
                <w:color w:val="000000"/>
                <w:kern w:val="0"/>
                <w:highlight w:val="none"/>
              </w:rPr>
            </w:pPr>
            <w:r>
              <w:rPr>
                <w:color w:val="000000"/>
                <w:kern w:val="0"/>
                <w:highlight w:val="none"/>
              </w:rPr>
              <w:t>α－岩石膨胀系数，</w:t>
            </w:r>
            <w:r>
              <w:rPr>
                <w:color w:val="000000"/>
                <w:highlight w:val="none"/>
              </w:rPr>
              <w:t>水基取</w:t>
            </w:r>
            <w:r>
              <w:rPr>
                <w:rFonts w:hint="eastAsia"/>
                <w:color w:val="000000"/>
                <w:highlight w:val="none"/>
              </w:rPr>
              <w:t>4.0</w:t>
            </w:r>
            <w:r>
              <w:rPr>
                <w:color w:val="000000"/>
                <w:highlight w:val="none"/>
              </w:rPr>
              <w:t>，油基取</w:t>
            </w:r>
            <w:r>
              <w:rPr>
                <w:rFonts w:hint="eastAsia"/>
                <w:color w:val="000000"/>
                <w:highlight w:val="none"/>
              </w:rPr>
              <w:t>4.5</w:t>
            </w:r>
            <w:r>
              <w:rPr>
                <w:color w:val="000000"/>
                <w:kern w:val="0"/>
                <w:highlight w:val="none"/>
              </w:rPr>
              <w:t>。</w:t>
            </w:r>
          </w:p>
          <w:p w14:paraId="56B91A1C">
            <w:pPr>
              <w:spacing w:line="360" w:lineRule="auto"/>
              <w:ind w:firstLine="480" w:firstLineChars="200"/>
              <w:jc w:val="left"/>
              <w:rPr>
                <w:color w:val="000000"/>
                <w:kern w:val="0"/>
                <w:highlight w:val="none"/>
              </w:rPr>
            </w:pPr>
            <w:r>
              <w:rPr>
                <w:color w:val="000000"/>
                <w:kern w:val="0"/>
                <w:highlight w:val="none"/>
              </w:rPr>
              <w:t>计算得知：本项目钻井岩屑产生情况，见表4-</w:t>
            </w:r>
            <w:r>
              <w:rPr>
                <w:rFonts w:hint="eastAsia"/>
                <w:color w:val="000000"/>
                <w:kern w:val="0"/>
                <w:highlight w:val="none"/>
              </w:rPr>
              <w:t>8</w:t>
            </w:r>
            <w:r>
              <w:rPr>
                <w:color w:val="000000"/>
                <w:kern w:val="0"/>
                <w:highlight w:val="none"/>
              </w:rPr>
              <w:t>。</w:t>
            </w:r>
          </w:p>
          <w:p w14:paraId="4746E22E">
            <w:pPr>
              <w:overflowPunct w:val="0"/>
              <w:adjustRightInd/>
              <w:ind w:firstLine="422" w:firstLineChars="200"/>
              <w:rPr>
                <w:b/>
                <w:color w:val="000000"/>
                <w:sz w:val="21"/>
                <w:szCs w:val="21"/>
                <w:highlight w:val="none"/>
              </w:rPr>
            </w:pPr>
            <w:r>
              <w:rPr>
                <w:b/>
                <w:color w:val="000000"/>
                <w:sz w:val="21"/>
                <w:szCs w:val="21"/>
                <w:highlight w:val="none"/>
              </w:rPr>
              <w:t>表4-</w:t>
            </w:r>
            <w:r>
              <w:rPr>
                <w:rFonts w:hint="eastAsia"/>
                <w:b/>
                <w:color w:val="000000"/>
                <w:sz w:val="21"/>
                <w:szCs w:val="21"/>
                <w:highlight w:val="none"/>
              </w:rPr>
              <w:t>8</w:t>
            </w:r>
            <w:r>
              <w:rPr>
                <w:b/>
                <w:color w:val="000000"/>
                <w:sz w:val="21"/>
                <w:szCs w:val="21"/>
                <w:highlight w:val="none"/>
              </w:rPr>
              <w:t xml:space="preserve">  钻井岩屑产生量</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05"/>
              <w:gridCol w:w="974"/>
              <w:gridCol w:w="1302"/>
              <w:gridCol w:w="1268"/>
              <w:gridCol w:w="1197"/>
              <w:gridCol w:w="1331"/>
              <w:gridCol w:w="1405"/>
            </w:tblGrid>
            <w:tr w14:paraId="595A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noWrap w:val="0"/>
                  <w:vAlign w:val="center"/>
                </w:tcPr>
                <w:p w14:paraId="411D4652">
                  <w:pPr>
                    <w:pStyle w:val="8"/>
                    <w:spacing w:before="0" w:after="0" w:line="300" w:lineRule="exact"/>
                    <w:ind w:right="0"/>
                    <w:rPr>
                      <w:rFonts w:hint="eastAsia"/>
                      <w:color w:val="000000"/>
                      <w:sz w:val="21"/>
                      <w:szCs w:val="21"/>
                      <w:highlight w:val="none"/>
                    </w:rPr>
                  </w:pPr>
                  <w:r>
                    <w:rPr>
                      <w:rFonts w:hint="eastAsia"/>
                      <w:color w:val="000000"/>
                      <w:sz w:val="21"/>
                      <w:szCs w:val="21"/>
                      <w:highlight w:val="none"/>
                    </w:rPr>
                    <w:t>井号</w:t>
                  </w:r>
                </w:p>
              </w:tc>
              <w:tc>
                <w:tcPr>
                  <w:tcW w:w="1341" w:type="pct"/>
                  <w:gridSpan w:val="2"/>
                  <w:noWrap w:val="0"/>
                  <w:vAlign w:val="center"/>
                </w:tcPr>
                <w:p w14:paraId="1DC9A2B2">
                  <w:pPr>
                    <w:pStyle w:val="8"/>
                    <w:spacing w:before="0" w:after="0" w:line="300" w:lineRule="exact"/>
                    <w:ind w:right="0"/>
                    <w:rPr>
                      <w:color w:val="000000"/>
                      <w:sz w:val="21"/>
                      <w:szCs w:val="21"/>
                      <w:highlight w:val="none"/>
                    </w:rPr>
                  </w:pPr>
                  <w:r>
                    <w:rPr>
                      <w:color w:val="000000"/>
                      <w:sz w:val="21"/>
                      <w:szCs w:val="21"/>
                      <w:highlight w:val="none"/>
                    </w:rPr>
                    <w:t>井段</w:t>
                  </w:r>
                </w:p>
              </w:tc>
              <w:tc>
                <w:tcPr>
                  <w:tcW w:w="747" w:type="pct"/>
                  <w:noWrap w:val="0"/>
                  <w:vAlign w:val="center"/>
                </w:tcPr>
                <w:p w14:paraId="4C7DE096">
                  <w:pPr>
                    <w:widowControl/>
                    <w:spacing w:line="300" w:lineRule="exact"/>
                    <w:rPr>
                      <w:color w:val="000000"/>
                      <w:kern w:val="0"/>
                      <w:sz w:val="21"/>
                      <w:szCs w:val="21"/>
                      <w:highlight w:val="none"/>
                    </w:rPr>
                  </w:pPr>
                  <w:r>
                    <w:rPr>
                      <w:color w:val="000000"/>
                      <w:kern w:val="0"/>
                      <w:sz w:val="21"/>
                      <w:szCs w:val="21"/>
                      <w:highlight w:val="none"/>
                    </w:rPr>
                    <w:t>钻头尺寸</w:t>
                  </w:r>
                  <w:r>
                    <w:rPr>
                      <w:rFonts w:hint="eastAsia"/>
                      <w:color w:val="000000"/>
                      <w:kern w:val="0"/>
                      <w:sz w:val="21"/>
                      <w:szCs w:val="21"/>
                      <w:highlight w:val="none"/>
                    </w:rPr>
                    <w:t>（</w:t>
                  </w:r>
                  <w:r>
                    <w:rPr>
                      <w:color w:val="000000"/>
                      <w:kern w:val="0"/>
                      <w:sz w:val="21"/>
                      <w:szCs w:val="21"/>
                      <w:highlight w:val="none"/>
                    </w:rPr>
                    <w:t>mm</w:t>
                  </w:r>
                  <w:r>
                    <w:rPr>
                      <w:rFonts w:hint="eastAsia"/>
                      <w:color w:val="000000"/>
                      <w:kern w:val="0"/>
                      <w:sz w:val="21"/>
                      <w:szCs w:val="21"/>
                      <w:highlight w:val="none"/>
                    </w:rPr>
                    <w:t>）</w:t>
                  </w:r>
                </w:p>
              </w:tc>
              <w:tc>
                <w:tcPr>
                  <w:tcW w:w="705" w:type="pct"/>
                  <w:noWrap w:val="0"/>
                  <w:vAlign w:val="center"/>
                </w:tcPr>
                <w:p w14:paraId="79BFC298">
                  <w:pPr>
                    <w:widowControl/>
                    <w:spacing w:line="300" w:lineRule="exact"/>
                    <w:rPr>
                      <w:color w:val="000000"/>
                      <w:kern w:val="0"/>
                      <w:sz w:val="21"/>
                      <w:szCs w:val="21"/>
                      <w:highlight w:val="none"/>
                    </w:rPr>
                  </w:pPr>
                  <w:r>
                    <w:rPr>
                      <w:color w:val="000000"/>
                      <w:kern w:val="0"/>
                      <w:sz w:val="21"/>
                      <w:szCs w:val="21"/>
                      <w:highlight w:val="none"/>
                    </w:rPr>
                    <w:t>井段</w:t>
                  </w:r>
                  <w:r>
                    <w:rPr>
                      <w:rFonts w:hint="eastAsia"/>
                      <w:color w:val="000000"/>
                      <w:kern w:val="0"/>
                      <w:sz w:val="21"/>
                      <w:szCs w:val="21"/>
                      <w:highlight w:val="none"/>
                    </w:rPr>
                    <w:t>（</w:t>
                  </w:r>
                  <w:r>
                    <w:rPr>
                      <w:color w:val="000000"/>
                      <w:kern w:val="0"/>
                      <w:sz w:val="21"/>
                      <w:szCs w:val="21"/>
                      <w:highlight w:val="none"/>
                    </w:rPr>
                    <w:t>m</w:t>
                  </w:r>
                  <w:r>
                    <w:rPr>
                      <w:rFonts w:hint="eastAsia"/>
                      <w:color w:val="000000"/>
                      <w:kern w:val="0"/>
                      <w:sz w:val="21"/>
                      <w:szCs w:val="21"/>
                      <w:highlight w:val="none"/>
                    </w:rPr>
                    <w:t>）</w:t>
                  </w:r>
                </w:p>
              </w:tc>
              <w:tc>
                <w:tcPr>
                  <w:tcW w:w="784" w:type="pct"/>
                  <w:noWrap w:val="0"/>
                  <w:vAlign w:val="center"/>
                </w:tcPr>
                <w:p w14:paraId="7A0886C6">
                  <w:pPr>
                    <w:pStyle w:val="8"/>
                    <w:spacing w:before="0" w:after="0" w:line="300" w:lineRule="exact"/>
                    <w:ind w:right="0"/>
                    <w:rPr>
                      <w:rFonts w:hint="eastAsia"/>
                      <w:color w:val="000000"/>
                      <w:sz w:val="21"/>
                      <w:szCs w:val="21"/>
                      <w:highlight w:val="none"/>
                    </w:rPr>
                  </w:pPr>
                  <w:r>
                    <w:rPr>
                      <w:color w:val="000000"/>
                      <w:sz w:val="21"/>
                      <w:szCs w:val="21"/>
                      <w:highlight w:val="none"/>
                    </w:rPr>
                    <w:t>岩屑产生量</w:t>
                  </w:r>
                  <w:r>
                    <w:rPr>
                      <w:rFonts w:hint="eastAsia"/>
                      <w:color w:val="000000"/>
                      <w:sz w:val="21"/>
                      <w:szCs w:val="21"/>
                      <w:highlight w:val="none"/>
                    </w:rPr>
                    <w:t>（t）</w:t>
                  </w:r>
                </w:p>
              </w:tc>
              <w:tc>
                <w:tcPr>
                  <w:tcW w:w="828" w:type="pct"/>
                  <w:noWrap w:val="0"/>
                  <w:vAlign w:val="center"/>
                </w:tcPr>
                <w:p w14:paraId="7B4570E8">
                  <w:pPr>
                    <w:pStyle w:val="8"/>
                    <w:spacing w:before="0" w:after="0" w:line="300" w:lineRule="exact"/>
                    <w:ind w:right="0"/>
                    <w:rPr>
                      <w:rFonts w:hint="eastAsia" w:ascii="宋体" w:hAnsi="宋体" w:cs="宋体"/>
                      <w:color w:val="000000"/>
                      <w:sz w:val="21"/>
                      <w:szCs w:val="21"/>
                      <w:highlight w:val="none"/>
                    </w:rPr>
                  </w:pPr>
                  <w:r>
                    <w:rPr>
                      <w:rFonts w:hint="eastAsia" w:ascii="宋体" w:hAnsi="宋体" w:cs="宋体"/>
                      <w:color w:val="000000"/>
                      <w:sz w:val="21"/>
                      <w:szCs w:val="21"/>
                      <w:highlight w:val="none"/>
                    </w:rPr>
                    <w:t>岩屑量合计</w:t>
                  </w:r>
                  <w:r>
                    <w:rPr>
                      <w:color w:val="000000"/>
                      <w:sz w:val="21"/>
                      <w:szCs w:val="21"/>
                      <w:highlight w:val="none"/>
                    </w:rPr>
                    <w:t>（t）</w:t>
                  </w:r>
                </w:p>
              </w:tc>
            </w:tr>
            <w:tr w14:paraId="007C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vMerge w:val="restart"/>
                  <w:noWrap w:val="0"/>
                  <w:vAlign w:val="center"/>
                </w:tcPr>
                <w:p w14:paraId="04114D0A">
                  <w:pPr>
                    <w:pStyle w:val="8"/>
                    <w:spacing w:before="0" w:after="0" w:line="300" w:lineRule="exact"/>
                    <w:ind w:right="0"/>
                    <w:rPr>
                      <w:rFonts w:hint="eastAsia"/>
                      <w:color w:val="000000"/>
                      <w:sz w:val="21"/>
                      <w:szCs w:val="21"/>
                      <w:highlight w:val="none"/>
                    </w:rPr>
                  </w:pPr>
                  <w:r>
                    <w:rPr>
                      <w:rFonts w:hint="eastAsia"/>
                      <w:color w:val="000000"/>
                      <w:sz w:val="21"/>
                      <w:szCs w:val="21"/>
                      <w:highlight w:val="none"/>
                    </w:rPr>
                    <w:t>莫173井</w:t>
                  </w:r>
                </w:p>
              </w:tc>
              <w:tc>
                <w:tcPr>
                  <w:tcW w:w="574" w:type="pct"/>
                  <w:noWrap w:val="0"/>
                  <w:vAlign w:val="center"/>
                </w:tcPr>
                <w:p w14:paraId="4A38A2C0">
                  <w:pPr>
                    <w:pStyle w:val="8"/>
                    <w:spacing w:before="0" w:after="0" w:line="300" w:lineRule="exact"/>
                    <w:ind w:right="0"/>
                    <w:rPr>
                      <w:color w:val="000000"/>
                      <w:sz w:val="21"/>
                      <w:szCs w:val="21"/>
                      <w:highlight w:val="none"/>
                    </w:rPr>
                  </w:pPr>
                  <w:r>
                    <w:rPr>
                      <w:color w:val="000000"/>
                      <w:sz w:val="21"/>
                      <w:szCs w:val="21"/>
                      <w:highlight w:val="none"/>
                    </w:rPr>
                    <w:t>一开</w:t>
                  </w:r>
                </w:p>
              </w:tc>
              <w:tc>
                <w:tcPr>
                  <w:tcW w:w="767" w:type="pct"/>
                  <w:vMerge w:val="restart"/>
                  <w:noWrap w:val="0"/>
                  <w:vAlign w:val="center"/>
                </w:tcPr>
                <w:p w14:paraId="6E2415CD">
                  <w:pPr>
                    <w:pStyle w:val="8"/>
                    <w:spacing w:before="0" w:after="0" w:line="300" w:lineRule="exact"/>
                    <w:ind w:right="0"/>
                    <w:rPr>
                      <w:color w:val="000000"/>
                      <w:sz w:val="21"/>
                      <w:szCs w:val="21"/>
                      <w:highlight w:val="none"/>
                    </w:rPr>
                  </w:pPr>
                  <w:r>
                    <w:rPr>
                      <w:color w:val="000000"/>
                      <w:sz w:val="21"/>
                      <w:szCs w:val="21"/>
                      <w:highlight w:val="none"/>
                    </w:rPr>
                    <w:t>水基钻井液</w:t>
                  </w:r>
                </w:p>
              </w:tc>
              <w:tc>
                <w:tcPr>
                  <w:tcW w:w="747" w:type="pct"/>
                  <w:noWrap w:val="0"/>
                  <w:vAlign w:val="center"/>
                </w:tcPr>
                <w:p w14:paraId="4156135F">
                  <w:pPr>
                    <w:widowControl/>
                    <w:spacing w:line="300" w:lineRule="exact"/>
                    <w:rPr>
                      <w:color w:val="000000"/>
                      <w:kern w:val="0"/>
                      <w:sz w:val="21"/>
                      <w:szCs w:val="21"/>
                      <w:highlight w:val="none"/>
                    </w:rPr>
                  </w:pPr>
                  <w:r>
                    <w:rPr>
                      <w:color w:val="000000"/>
                      <w:kern w:val="0"/>
                      <w:sz w:val="21"/>
                      <w:szCs w:val="21"/>
                      <w:highlight w:val="none"/>
                    </w:rPr>
                    <w:t>444.5</w:t>
                  </w:r>
                </w:p>
              </w:tc>
              <w:tc>
                <w:tcPr>
                  <w:tcW w:w="705" w:type="pct"/>
                  <w:noWrap w:val="0"/>
                  <w:vAlign w:val="center"/>
                </w:tcPr>
                <w:p w14:paraId="632C68B3">
                  <w:pPr>
                    <w:widowControl/>
                    <w:spacing w:line="300" w:lineRule="exact"/>
                    <w:rPr>
                      <w:color w:val="000000"/>
                      <w:kern w:val="0"/>
                      <w:sz w:val="21"/>
                      <w:szCs w:val="21"/>
                      <w:highlight w:val="none"/>
                    </w:rPr>
                  </w:pPr>
                  <w:r>
                    <w:rPr>
                      <w:color w:val="000000"/>
                      <w:kern w:val="0"/>
                      <w:sz w:val="21"/>
                      <w:szCs w:val="21"/>
                      <w:highlight w:val="none"/>
                    </w:rPr>
                    <w:t>0～500</w:t>
                  </w:r>
                </w:p>
              </w:tc>
              <w:tc>
                <w:tcPr>
                  <w:tcW w:w="784" w:type="pct"/>
                  <w:noWrap w:val="0"/>
                  <w:vAlign w:val="center"/>
                </w:tcPr>
                <w:p w14:paraId="7E291A71">
                  <w:pPr>
                    <w:widowControl/>
                    <w:spacing w:line="300" w:lineRule="exact"/>
                    <w:rPr>
                      <w:color w:val="000000"/>
                      <w:kern w:val="0"/>
                      <w:sz w:val="21"/>
                      <w:szCs w:val="21"/>
                      <w:highlight w:val="none"/>
                    </w:rPr>
                  </w:pPr>
                  <w:r>
                    <w:rPr>
                      <w:rFonts w:hint="eastAsia"/>
                      <w:color w:val="000000"/>
                      <w:kern w:val="0"/>
                      <w:sz w:val="21"/>
                      <w:szCs w:val="21"/>
                      <w:highlight w:val="none"/>
                    </w:rPr>
                    <w:t>775.5</w:t>
                  </w:r>
                </w:p>
              </w:tc>
              <w:tc>
                <w:tcPr>
                  <w:tcW w:w="828" w:type="pct"/>
                  <w:vMerge w:val="restart"/>
                  <w:noWrap w:val="0"/>
                  <w:vAlign w:val="center"/>
                </w:tcPr>
                <w:p w14:paraId="4140BD60">
                  <w:pPr>
                    <w:pStyle w:val="8"/>
                    <w:spacing w:before="0" w:after="0" w:line="300" w:lineRule="exact"/>
                    <w:ind w:right="0"/>
                    <w:rPr>
                      <w:color w:val="000000"/>
                      <w:sz w:val="21"/>
                      <w:szCs w:val="21"/>
                      <w:highlight w:val="none"/>
                    </w:rPr>
                  </w:pPr>
                  <w:r>
                    <w:rPr>
                      <w:rFonts w:hint="eastAsia"/>
                      <w:color w:val="000000"/>
                      <w:sz w:val="21"/>
                      <w:szCs w:val="21"/>
                      <w:highlight w:val="none"/>
                    </w:rPr>
                    <w:t>3354.9</w:t>
                  </w:r>
                </w:p>
              </w:tc>
            </w:tr>
            <w:tr w14:paraId="2F1D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vMerge w:val="continue"/>
                  <w:noWrap w:val="0"/>
                  <w:vAlign w:val="center"/>
                </w:tcPr>
                <w:p w14:paraId="55E93DA5">
                  <w:pPr>
                    <w:pStyle w:val="8"/>
                    <w:spacing w:before="0" w:after="0" w:line="300" w:lineRule="exact"/>
                    <w:ind w:right="0"/>
                    <w:rPr>
                      <w:color w:val="000000"/>
                      <w:sz w:val="21"/>
                      <w:szCs w:val="21"/>
                      <w:highlight w:val="none"/>
                    </w:rPr>
                  </w:pPr>
                </w:p>
              </w:tc>
              <w:tc>
                <w:tcPr>
                  <w:tcW w:w="574" w:type="pct"/>
                  <w:noWrap w:val="0"/>
                  <w:vAlign w:val="center"/>
                </w:tcPr>
                <w:p w14:paraId="791206B2">
                  <w:pPr>
                    <w:pStyle w:val="8"/>
                    <w:spacing w:before="0" w:after="0" w:line="300" w:lineRule="exact"/>
                    <w:ind w:right="0"/>
                    <w:rPr>
                      <w:color w:val="000000"/>
                      <w:sz w:val="21"/>
                      <w:szCs w:val="21"/>
                      <w:highlight w:val="none"/>
                    </w:rPr>
                  </w:pPr>
                  <w:r>
                    <w:rPr>
                      <w:color w:val="000000"/>
                      <w:sz w:val="21"/>
                      <w:szCs w:val="21"/>
                      <w:highlight w:val="none"/>
                    </w:rPr>
                    <w:t>二开</w:t>
                  </w:r>
                </w:p>
              </w:tc>
              <w:tc>
                <w:tcPr>
                  <w:tcW w:w="767" w:type="pct"/>
                  <w:vMerge w:val="continue"/>
                  <w:noWrap w:val="0"/>
                  <w:vAlign w:val="center"/>
                </w:tcPr>
                <w:p w14:paraId="3FE05850">
                  <w:pPr>
                    <w:pStyle w:val="8"/>
                    <w:spacing w:before="0" w:after="0" w:line="300" w:lineRule="exact"/>
                    <w:ind w:right="0"/>
                    <w:rPr>
                      <w:color w:val="000000"/>
                      <w:sz w:val="21"/>
                      <w:szCs w:val="21"/>
                      <w:highlight w:val="none"/>
                    </w:rPr>
                  </w:pPr>
                </w:p>
              </w:tc>
              <w:tc>
                <w:tcPr>
                  <w:tcW w:w="747" w:type="pct"/>
                  <w:noWrap w:val="0"/>
                  <w:vAlign w:val="center"/>
                </w:tcPr>
                <w:p w14:paraId="5C96E6CF">
                  <w:pPr>
                    <w:widowControl/>
                    <w:spacing w:line="300" w:lineRule="exact"/>
                    <w:rPr>
                      <w:color w:val="000000"/>
                      <w:kern w:val="0"/>
                      <w:sz w:val="21"/>
                      <w:szCs w:val="21"/>
                      <w:highlight w:val="none"/>
                    </w:rPr>
                  </w:pPr>
                  <w:r>
                    <w:rPr>
                      <w:rFonts w:hint="eastAsia"/>
                      <w:color w:val="000000"/>
                      <w:kern w:val="0"/>
                      <w:sz w:val="21"/>
                      <w:szCs w:val="21"/>
                      <w:highlight w:val="none"/>
                    </w:rPr>
                    <w:t>311.2</w:t>
                  </w:r>
                </w:p>
              </w:tc>
              <w:tc>
                <w:tcPr>
                  <w:tcW w:w="705" w:type="pct"/>
                  <w:noWrap w:val="0"/>
                  <w:vAlign w:val="center"/>
                </w:tcPr>
                <w:p w14:paraId="2B1849EE">
                  <w:pPr>
                    <w:widowControl/>
                    <w:spacing w:line="300" w:lineRule="exact"/>
                    <w:rPr>
                      <w:color w:val="000000"/>
                      <w:kern w:val="0"/>
                      <w:sz w:val="21"/>
                      <w:szCs w:val="21"/>
                      <w:highlight w:val="none"/>
                    </w:rPr>
                  </w:pPr>
                  <w:r>
                    <w:rPr>
                      <w:color w:val="000000"/>
                      <w:kern w:val="0"/>
                      <w:sz w:val="21"/>
                      <w:szCs w:val="21"/>
                      <w:highlight w:val="none"/>
                    </w:rPr>
                    <w:t>500～</w:t>
                  </w:r>
                  <w:r>
                    <w:rPr>
                      <w:rFonts w:hint="eastAsia"/>
                      <w:color w:val="000000"/>
                      <w:kern w:val="0"/>
                      <w:sz w:val="21"/>
                      <w:szCs w:val="21"/>
                      <w:highlight w:val="none"/>
                    </w:rPr>
                    <w:t>3176</w:t>
                  </w:r>
                </w:p>
              </w:tc>
              <w:tc>
                <w:tcPr>
                  <w:tcW w:w="784" w:type="pct"/>
                  <w:noWrap w:val="0"/>
                  <w:vAlign w:val="center"/>
                </w:tcPr>
                <w:p w14:paraId="3403D4EC">
                  <w:pPr>
                    <w:widowControl/>
                    <w:spacing w:line="300" w:lineRule="exact"/>
                    <w:rPr>
                      <w:color w:val="000000"/>
                      <w:kern w:val="0"/>
                      <w:sz w:val="21"/>
                      <w:szCs w:val="21"/>
                      <w:highlight w:val="none"/>
                    </w:rPr>
                  </w:pPr>
                  <w:r>
                    <w:rPr>
                      <w:rFonts w:hint="eastAsia"/>
                      <w:color w:val="000000"/>
                      <w:kern w:val="0"/>
                      <w:sz w:val="21"/>
                      <w:szCs w:val="21"/>
                      <w:highlight w:val="none"/>
                    </w:rPr>
                    <w:t>2034.4</w:t>
                  </w:r>
                </w:p>
              </w:tc>
              <w:tc>
                <w:tcPr>
                  <w:tcW w:w="828" w:type="pct"/>
                  <w:vMerge w:val="continue"/>
                  <w:noWrap w:val="0"/>
                  <w:vAlign w:val="center"/>
                </w:tcPr>
                <w:p w14:paraId="6295E038">
                  <w:pPr>
                    <w:pStyle w:val="8"/>
                    <w:spacing w:before="0" w:after="0" w:line="300" w:lineRule="exact"/>
                    <w:ind w:right="0"/>
                    <w:rPr>
                      <w:color w:val="000000"/>
                      <w:sz w:val="21"/>
                      <w:szCs w:val="21"/>
                      <w:highlight w:val="none"/>
                    </w:rPr>
                  </w:pPr>
                </w:p>
              </w:tc>
            </w:tr>
            <w:tr w14:paraId="360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92" w:type="pct"/>
                  <w:vMerge w:val="continue"/>
                  <w:noWrap w:val="0"/>
                  <w:vAlign w:val="center"/>
                </w:tcPr>
                <w:p w14:paraId="5A691855">
                  <w:pPr>
                    <w:pStyle w:val="8"/>
                    <w:spacing w:before="0" w:after="0" w:line="300" w:lineRule="exact"/>
                    <w:ind w:right="0"/>
                    <w:rPr>
                      <w:color w:val="000000"/>
                      <w:sz w:val="21"/>
                      <w:szCs w:val="21"/>
                      <w:highlight w:val="none"/>
                    </w:rPr>
                  </w:pPr>
                </w:p>
              </w:tc>
              <w:tc>
                <w:tcPr>
                  <w:tcW w:w="574" w:type="pct"/>
                  <w:noWrap w:val="0"/>
                  <w:vAlign w:val="center"/>
                </w:tcPr>
                <w:p w14:paraId="5F2A1957">
                  <w:pPr>
                    <w:pStyle w:val="8"/>
                    <w:spacing w:before="0" w:after="0" w:line="300" w:lineRule="exact"/>
                    <w:ind w:right="0"/>
                    <w:rPr>
                      <w:color w:val="000000"/>
                      <w:sz w:val="21"/>
                      <w:szCs w:val="21"/>
                      <w:highlight w:val="none"/>
                    </w:rPr>
                  </w:pPr>
                  <w:r>
                    <w:rPr>
                      <w:color w:val="000000"/>
                      <w:sz w:val="21"/>
                      <w:szCs w:val="21"/>
                      <w:highlight w:val="none"/>
                    </w:rPr>
                    <w:t>三开</w:t>
                  </w:r>
                </w:p>
              </w:tc>
              <w:tc>
                <w:tcPr>
                  <w:tcW w:w="767" w:type="pct"/>
                  <w:noWrap w:val="0"/>
                  <w:vAlign w:val="center"/>
                </w:tcPr>
                <w:p w14:paraId="752B952E">
                  <w:pPr>
                    <w:pStyle w:val="8"/>
                    <w:spacing w:before="0" w:after="0" w:line="300" w:lineRule="exact"/>
                    <w:ind w:right="0"/>
                    <w:rPr>
                      <w:color w:val="000000"/>
                      <w:sz w:val="21"/>
                      <w:szCs w:val="21"/>
                      <w:highlight w:val="none"/>
                    </w:rPr>
                  </w:pPr>
                  <w:r>
                    <w:rPr>
                      <w:color w:val="000000"/>
                      <w:sz w:val="21"/>
                      <w:szCs w:val="21"/>
                      <w:highlight w:val="none"/>
                    </w:rPr>
                    <w:t>油基钻井液</w:t>
                  </w:r>
                </w:p>
              </w:tc>
              <w:tc>
                <w:tcPr>
                  <w:tcW w:w="747" w:type="pct"/>
                  <w:noWrap w:val="0"/>
                  <w:vAlign w:val="center"/>
                </w:tcPr>
                <w:p w14:paraId="4629690A">
                  <w:pPr>
                    <w:widowControl/>
                    <w:spacing w:line="300" w:lineRule="exact"/>
                    <w:rPr>
                      <w:color w:val="000000"/>
                      <w:kern w:val="0"/>
                      <w:sz w:val="21"/>
                      <w:szCs w:val="21"/>
                      <w:highlight w:val="none"/>
                    </w:rPr>
                  </w:pPr>
                  <w:r>
                    <w:rPr>
                      <w:rFonts w:hint="eastAsia"/>
                      <w:color w:val="000000"/>
                      <w:kern w:val="0"/>
                      <w:sz w:val="21"/>
                      <w:szCs w:val="21"/>
                      <w:highlight w:val="none"/>
                    </w:rPr>
                    <w:t>215.9</w:t>
                  </w:r>
                </w:p>
              </w:tc>
              <w:tc>
                <w:tcPr>
                  <w:tcW w:w="705" w:type="pct"/>
                  <w:noWrap w:val="0"/>
                  <w:vAlign w:val="center"/>
                </w:tcPr>
                <w:p w14:paraId="22CB1E55">
                  <w:pPr>
                    <w:widowControl/>
                    <w:spacing w:line="300" w:lineRule="exact"/>
                    <w:rPr>
                      <w:color w:val="000000"/>
                      <w:kern w:val="0"/>
                      <w:sz w:val="21"/>
                      <w:szCs w:val="21"/>
                      <w:highlight w:val="none"/>
                    </w:rPr>
                  </w:pPr>
                  <w:r>
                    <w:rPr>
                      <w:rFonts w:hint="eastAsia"/>
                      <w:color w:val="000000"/>
                      <w:kern w:val="0"/>
                      <w:sz w:val="21"/>
                      <w:szCs w:val="21"/>
                      <w:highlight w:val="none"/>
                    </w:rPr>
                    <w:t>3176</w:t>
                  </w:r>
                  <w:r>
                    <w:rPr>
                      <w:color w:val="000000"/>
                      <w:kern w:val="0"/>
                      <w:sz w:val="21"/>
                      <w:szCs w:val="21"/>
                      <w:highlight w:val="none"/>
                    </w:rPr>
                    <w:t>～</w:t>
                  </w:r>
                  <w:r>
                    <w:rPr>
                      <w:rFonts w:hint="eastAsia"/>
                      <w:color w:val="000000"/>
                      <w:kern w:val="0"/>
                      <w:sz w:val="21"/>
                      <w:szCs w:val="21"/>
                      <w:highlight w:val="none"/>
                    </w:rPr>
                    <w:t>4</w:t>
                  </w:r>
                  <w:r>
                    <w:rPr>
                      <w:color w:val="000000"/>
                      <w:kern w:val="0"/>
                      <w:sz w:val="21"/>
                      <w:szCs w:val="21"/>
                      <w:highlight w:val="none"/>
                    </w:rPr>
                    <w:t>500</w:t>
                  </w:r>
                </w:p>
              </w:tc>
              <w:tc>
                <w:tcPr>
                  <w:tcW w:w="784" w:type="pct"/>
                  <w:noWrap w:val="0"/>
                  <w:vAlign w:val="center"/>
                </w:tcPr>
                <w:p w14:paraId="256A9F48">
                  <w:pPr>
                    <w:widowControl/>
                    <w:spacing w:line="300" w:lineRule="exact"/>
                    <w:rPr>
                      <w:color w:val="000000"/>
                      <w:kern w:val="0"/>
                      <w:sz w:val="21"/>
                      <w:szCs w:val="21"/>
                      <w:highlight w:val="none"/>
                    </w:rPr>
                  </w:pPr>
                  <w:r>
                    <w:rPr>
                      <w:rFonts w:hint="eastAsia"/>
                      <w:color w:val="000000"/>
                      <w:kern w:val="0"/>
                      <w:sz w:val="21"/>
                      <w:szCs w:val="21"/>
                      <w:highlight w:val="none"/>
                    </w:rPr>
                    <w:t>545</w:t>
                  </w:r>
                </w:p>
              </w:tc>
              <w:tc>
                <w:tcPr>
                  <w:tcW w:w="828" w:type="pct"/>
                  <w:vMerge w:val="continue"/>
                  <w:noWrap w:val="0"/>
                  <w:vAlign w:val="center"/>
                </w:tcPr>
                <w:p w14:paraId="1BD1F67E">
                  <w:pPr>
                    <w:pStyle w:val="8"/>
                    <w:spacing w:before="0" w:after="0" w:line="300" w:lineRule="exact"/>
                    <w:ind w:right="0"/>
                    <w:rPr>
                      <w:rFonts w:ascii="宋体" w:hAnsi="宋体" w:cs="宋体"/>
                      <w:color w:val="000000"/>
                      <w:sz w:val="21"/>
                      <w:szCs w:val="21"/>
                      <w:highlight w:val="none"/>
                    </w:rPr>
                  </w:pPr>
                </w:p>
              </w:tc>
            </w:tr>
            <w:tr w14:paraId="7080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vMerge w:val="restart"/>
                  <w:noWrap w:val="0"/>
                  <w:vAlign w:val="center"/>
                </w:tcPr>
                <w:p w14:paraId="63CA3BF4">
                  <w:pPr>
                    <w:pStyle w:val="8"/>
                    <w:spacing w:before="0" w:after="0" w:line="300" w:lineRule="exact"/>
                    <w:ind w:right="0"/>
                    <w:rPr>
                      <w:color w:val="000000"/>
                      <w:sz w:val="21"/>
                      <w:szCs w:val="21"/>
                      <w:highlight w:val="none"/>
                    </w:rPr>
                  </w:pPr>
                  <w:r>
                    <w:rPr>
                      <w:rFonts w:hint="eastAsia"/>
                      <w:color w:val="000000"/>
                      <w:sz w:val="21"/>
                      <w:szCs w:val="21"/>
                      <w:highlight w:val="none"/>
                    </w:rPr>
                    <w:t>莫174H井</w:t>
                  </w:r>
                </w:p>
              </w:tc>
              <w:tc>
                <w:tcPr>
                  <w:tcW w:w="574" w:type="pct"/>
                  <w:noWrap w:val="0"/>
                  <w:vAlign w:val="center"/>
                </w:tcPr>
                <w:p w14:paraId="7A1811AB">
                  <w:pPr>
                    <w:pStyle w:val="8"/>
                    <w:spacing w:before="0" w:after="0" w:line="300" w:lineRule="exact"/>
                    <w:ind w:right="0"/>
                    <w:rPr>
                      <w:color w:val="000000"/>
                      <w:sz w:val="21"/>
                      <w:szCs w:val="21"/>
                      <w:highlight w:val="none"/>
                    </w:rPr>
                  </w:pPr>
                  <w:r>
                    <w:rPr>
                      <w:color w:val="000000"/>
                      <w:sz w:val="21"/>
                      <w:szCs w:val="21"/>
                      <w:highlight w:val="none"/>
                    </w:rPr>
                    <w:t>一开</w:t>
                  </w:r>
                </w:p>
              </w:tc>
              <w:tc>
                <w:tcPr>
                  <w:tcW w:w="767" w:type="pct"/>
                  <w:vMerge w:val="restart"/>
                  <w:noWrap w:val="0"/>
                  <w:vAlign w:val="center"/>
                </w:tcPr>
                <w:p w14:paraId="186384BE">
                  <w:pPr>
                    <w:pStyle w:val="8"/>
                    <w:spacing w:before="0" w:after="0" w:line="300" w:lineRule="exact"/>
                    <w:ind w:right="0"/>
                    <w:rPr>
                      <w:color w:val="000000"/>
                      <w:sz w:val="21"/>
                      <w:szCs w:val="21"/>
                      <w:highlight w:val="none"/>
                    </w:rPr>
                  </w:pPr>
                  <w:r>
                    <w:rPr>
                      <w:color w:val="000000"/>
                      <w:sz w:val="21"/>
                      <w:szCs w:val="21"/>
                      <w:highlight w:val="none"/>
                    </w:rPr>
                    <w:t>水基钻井液</w:t>
                  </w:r>
                </w:p>
              </w:tc>
              <w:tc>
                <w:tcPr>
                  <w:tcW w:w="747" w:type="pct"/>
                  <w:noWrap w:val="0"/>
                  <w:vAlign w:val="center"/>
                </w:tcPr>
                <w:p w14:paraId="662A4EF5">
                  <w:pPr>
                    <w:widowControl/>
                    <w:spacing w:line="300" w:lineRule="exact"/>
                    <w:rPr>
                      <w:rFonts w:hint="eastAsia"/>
                      <w:color w:val="000000"/>
                      <w:kern w:val="0"/>
                      <w:sz w:val="21"/>
                      <w:szCs w:val="21"/>
                      <w:highlight w:val="none"/>
                    </w:rPr>
                  </w:pPr>
                  <w:r>
                    <w:rPr>
                      <w:color w:val="000000"/>
                      <w:kern w:val="0"/>
                      <w:sz w:val="21"/>
                      <w:szCs w:val="21"/>
                      <w:highlight w:val="none"/>
                    </w:rPr>
                    <w:t>444.5</w:t>
                  </w:r>
                </w:p>
              </w:tc>
              <w:tc>
                <w:tcPr>
                  <w:tcW w:w="705" w:type="pct"/>
                  <w:noWrap w:val="0"/>
                  <w:vAlign w:val="center"/>
                </w:tcPr>
                <w:p w14:paraId="2C90CD58">
                  <w:pPr>
                    <w:widowControl/>
                    <w:spacing w:line="300" w:lineRule="exact"/>
                    <w:rPr>
                      <w:color w:val="000000"/>
                      <w:kern w:val="0"/>
                      <w:sz w:val="21"/>
                      <w:szCs w:val="21"/>
                      <w:highlight w:val="none"/>
                    </w:rPr>
                  </w:pPr>
                  <w:r>
                    <w:rPr>
                      <w:color w:val="000000"/>
                      <w:kern w:val="0"/>
                      <w:sz w:val="21"/>
                      <w:szCs w:val="21"/>
                      <w:highlight w:val="none"/>
                    </w:rPr>
                    <w:t>0～500</w:t>
                  </w:r>
                </w:p>
              </w:tc>
              <w:tc>
                <w:tcPr>
                  <w:tcW w:w="784" w:type="pct"/>
                  <w:noWrap w:val="0"/>
                  <w:vAlign w:val="center"/>
                </w:tcPr>
                <w:p w14:paraId="2E7B7064">
                  <w:pPr>
                    <w:widowControl/>
                    <w:spacing w:line="300" w:lineRule="exact"/>
                    <w:rPr>
                      <w:color w:val="000000"/>
                      <w:kern w:val="0"/>
                      <w:sz w:val="21"/>
                      <w:szCs w:val="21"/>
                      <w:highlight w:val="none"/>
                    </w:rPr>
                  </w:pPr>
                  <w:r>
                    <w:rPr>
                      <w:rFonts w:hint="eastAsia"/>
                      <w:color w:val="000000"/>
                      <w:kern w:val="0"/>
                      <w:sz w:val="21"/>
                      <w:szCs w:val="21"/>
                      <w:highlight w:val="none"/>
                    </w:rPr>
                    <w:t>775.5</w:t>
                  </w:r>
                </w:p>
              </w:tc>
              <w:tc>
                <w:tcPr>
                  <w:tcW w:w="828" w:type="pct"/>
                  <w:vMerge w:val="restart"/>
                  <w:noWrap w:val="0"/>
                  <w:vAlign w:val="center"/>
                </w:tcPr>
                <w:p w14:paraId="1DA1D671">
                  <w:pPr>
                    <w:pStyle w:val="8"/>
                    <w:spacing w:before="0" w:after="0" w:line="300" w:lineRule="exact"/>
                    <w:ind w:right="0"/>
                    <w:rPr>
                      <w:rFonts w:ascii="宋体" w:hAnsi="宋体" w:cs="宋体"/>
                      <w:color w:val="000000"/>
                      <w:sz w:val="21"/>
                      <w:szCs w:val="21"/>
                      <w:highlight w:val="none"/>
                    </w:rPr>
                  </w:pPr>
                  <w:r>
                    <w:rPr>
                      <w:rFonts w:hint="eastAsia"/>
                      <w:color w:val="000000"/>
                      <w:sz w:val="21"/>
                      <w:szCs w:val="21"/>
                      <w:highlight w:val="none"/>
                    </w:rPr>
                    <w:t>3250.9</w:t>
                  </w:r>
                </w:p>
              </w:tc>
            </w:tr>
            <w:tr w14:paraId="18E4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vMerge w:val="continue"/>
                  <w:noWrap w:val="0"/>
                  <w:vAlign w:val="center"/>
                </w:tcPr>
                <w:p w14:paraId="55BF11AF">
                  <w:pPr>
                    <w:pStyle w:val="8"/>
                    <w:spacing w:before="0" w:after="0" w:line="300" w:lineRule="exact"/>
                    <w:ind w:right="0"/>
                    <w:rPr>
                      <w:color w:val="000000"/>
                      <w:sz w:val="21"/>
                      <w:szCs w:val="21"/>
                      <w:highlight w:val="none"/>
                    </w:rPr>
                  </w:pPr>
                </w:p>
              </w:tc>
              <w:tc>
                <w:tcPr>
                  <w:tcW w:w="574" w:type="pct"/>
                  <w:noWrap w:val="0"/>
                  <w:vAlign w:val="center"/>
                </w:tcPr>
                <w:p w14:paraId="631BC570">
                  <w:pPr>
                    <w:pStyle w:val="8"/>
                    <w:spacing w:before="0" w:after="0" w:line="300" w:lineRule="exact"/>
                    <w:ind w:right="0"/>
                    <w:rPr>
                      <w:color w:val="000000"/>
                      <w:sz w:val="21"/>
                      <w:szCs w:val="21"/>
                      <w:highlight w:val="none"/>
                    </w:rPr>
                  </w:pPr>
                  <w:r>
                    <w:rPr>
                      <w:color w:val="000000"/>
                      <w:sz w:val="21"/>
                      <w:szCs w:val="21"/>
                      <w:highlight w:val="none"/>
                    </w:rPr>
                    <w:t>二开</w:t>
                  </w:r>
                </w:p>
              </w:tc>
              <w:tc>
                <w:tcPr>
                  <w:tcW w:w="767" w:type="pct"/>
                  <w:vMerge w:val="continue"/>
                  <w:noWrap w:val="0"/>
                  <w:vAlign w:val="center"/>
                </w:tcPr>
                <w:p w14:paraId="69351F55">
                  <w:pPr>
                    <w:pStyle w:val="8"/>
                    <w:spacing w:before="0" w:after="0" w:line="300" w:lineRule="exact"/>
                    <w:ind w:right="0"/>
                    <w:rPr>
                      <w:color w:val="000000"/>
                      <w:sz w:val="21"/>
                      <w:szCs w:val="21"/>
                      <w:highlight w:val="none"/>
                    </w:rPr>
                  </w:pPr>
                </w:p>
              </w:tc>
              <w:tc>
                <w:tcPr>
                  <w:tcW w:w="747" w:type="pct"/>
                  <w:noWrap w:val="0"/>
                  <w:vAlign w:val="center"/>
                </w:tcPr>
                <w:p w14:paraId="7DAFEC12">
                  <w:pPr>
                    <w:widowControl/>
                    <w:spacing w:line="300" w:lineRule="exact"/>
                    <w:rPr>
                      <w:rFonts w:hint="eastAsia"/>
                      <w:color w:val="000000"/>
                      <w:kern w:val="0"/>
                      <w:sz w:val="21"/>
                      <w:szCs w:val="21"/>
                      <w:highlight w:val="none"/>
                    </w:rPr>
                  </w:pPr>
                  <w:r>
                    <w:rPr>
                      <w:rFonts w:hint="eastAsia"/>
                      <w:color w:val="000000"/>
                      <w:kern w:val="0"/>
                      <w:sz w:val="21"/>
                      <w:szCs w:val="21"/>
                      <w:highlight w:val="none"/>
                    </w:rPr>
                    <w:t>311.2</w:t>
                  </w:r>
                </w:p>
              </w:tc>
              <w:tc>
                <w:tcPr>
                  <w:tcW w:w="705" w:type="pct"/>
                  <w:noWrap w:val="0"/>
                  <w:vAlign w:val="center"/>
                </w:tcPr>
                <w:p w14:paraId="38F94388">
                  <w:pPr>
                    <w:widowControl/>
                    <w:spacing w:line="300" w:lineRule="exact"/>
                    <w:rPr>
                      <w:color w:val="000000"/>
                      <w:kern w:val="0"/>
                      <w:sz w:val="21"/>
                      <w:szCs w:val="21"/>
                      <w:highlight w:val="none"/>
                    </w:rPr>
                  </w:pPr>
                  <w:r>
                    <w:rPr>
                      <w:color w:val="000000"/>
                      <w:kern w:val="0"/>
                      <w:sz w:val="21"/>
                      <w:szCs w:val="21"/>
                      <w:highlight w:val="none"/>
                    </w:rPr>
                    <w:t>500～</w:t>
                  </w:r>
                  <w:r>
                    <w:rPr>
                      <w:rFonts w:hint="eastAsia"/>
                      <w:color w:val="000000"/>
                      <w:kern w:val="0"/>
                      <w:sz w:val="21"/>
                      <w:szCs w:val="21"/>
                      <w:highlight w:val="none"/>
                    </w:rPr>
                    <w:t>3176</w:t>
                  </w:r>
                </w:p>
              </w:tc>
              <w:tc>
                <w:tcPr>
                  <w:tcW w:w="784" w:type="pct"/>
                  <w:noWrap w:val="0"/>
                  <w:vAlign w:val="center"/>
                </w:tcPr>
                <w:p w14:paraId="37AD08F5">
                  <w:pPr>
                    <w:widowControl/>
                    <w:spacing w:line="300" w:lineRule="exact"/>
                    <w:rPr>
                      <w:color w:val="000000"/>
                      <w:kern w:val="0"/>
                      <w:sz w:val="21"/>
                      <w:szCs w:val="21"/>
                      <w:highlight w:val="none"/>
                    </w:rPr>
                  </w:pPr>
                  <w:r>
                    <w:rPr>
                      <w:rFonts w:hint="eastAsia"/>
                      <w:color w:val="000000"/>
                      <w:kern w:val="0"/>
                      <w:sz w:val="21"/>
                      <w:szCs w:val="21"/>
                      <w:highlight w:val="none"/>
                    </w:rPr>
                    <w:t>2034.4</w:t>
                  </w:r>
                </w:p>
              </w:tc>
              <w:tc>
                <w:tcPr>
                  <w:tcW w:w="828" w:type="pct"/>
                  <w:vMerge w:val="continue"/>
                  <w:noWrap w:val="0"/>
                  <w:vAlign w:val="center"/>
                </w:tcPr>
                <w:p w14:paraId="7EE5BB17">
                  <w:pPr>
                    <w:pStyle w:val="8"/>
                    <w:spacing w:before="0" w:after="0" w:line="300" w:lineRule="exact"/>
                    <w:ind w:right="0"/>
                    <w:rPr>
                      <w:rFonts w:ascii="宋体" w:hAnsi="宋体" w:cs="宋体"/>
                      <w:color w:val="000000"/>
                      <w:sz w:val="21"/>
                      <w:szCs w:val="21"/>
                      <w:highlight w:val="none"/>
                    </w:rPr>
                  </w:pPr>
                </w:p>
              </w:tc>
            </w:tr>
            <w:tr w14:paraId="48AC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92" w:type="pct"/>
                  <w:vMerge w:val="continue"/>
                  <w:noWrap w:val="0"/>
                  <w:vAlign w:val="center"/>
                </w:tcPr>
                <w:p w14:paraId="1C315934">
                  <w:pPr>
                    <w:pStyle w:val="8"/>
                    <w:spacing w:before="0" w:after="0" w:line="300" w:lineRule="exact"/>
                    <w:ind w:right="0"/>
                    <w:rPr>
                      <w:color w:val="000000"/>
                      <w:sz w:val="21"/>
                      <w:szCs w:val="21"/>
                      <w:highlight w:val="none"/>
                    </w:rPr>
                  </w:pPr>
                </w:p>
              </w:tc>
              <w:tc>
                <w:tcPr>
                  <w:tcW w:w="574" w:type="pct"/>
                  <w:noWrap w:val="0"/>
                  <w:vAlign w:val="center"/>
                </w:tcPr>
                <w:p w14:paraId="3DF553C6">
                  <w:pPr>
                    <w:pStyle w:val="8"/>
                    <w:spacing w:before="0" w:after="0" w:line="300" w:lineRule="exact"/>
                    <w:ind w:right="0"/>
                    <w:rPr>
                      <w:color w:val="000000"/>
                      <w:sz w:val="21"/>
                      <w:szCs w:val="21"/>
                      <w:highlight w:val="none"/>
                    </w:rPr>
                  </w:pPr>
                  <w:r>
                    <w:rPr>
                      <w:color w:val="000000"/>
                      <w:sz w:val="21"/>
                      <w:szCs w:val="21"/>
                      <w:highlight w:val="none"/>
                    </w:rPr>
                    <w:t>三开</w:t>
                  </w:r>
                </w:p>
              </w:tc>
              <w:tc>
                <w:tcPr>
                  <w:tcW w:w="767" w:type="pct"/>
                  <w:noWrap w:val="0"/>
                  <w:vAlign w:val="center"/>
                </w:tcPr>
                <w:p w14:paraId="4BB7A35E">
                  <w:pPr>
                    <w:pStyle w:val="8"/>
                    <w:spacing w:before="0" w:after="0" w:line="300" w:lineRule="exact"/>
                    <w:ind w:right="0"/>
                    <w:rPr>
                      <w:color w:val="000000"/>
                      <w:sz w:val="21"/>
                      <w:szCs w:val="21"/>
                      <w:highlight w:val="none"/>
                    </w:rPr>
                  </w:pPr>
                  <w:r>
                    <w:rPr>
                      <w:color w:val="000000"/>
                      <w:sz w:val="21"/>
                      <w:szCs w:val="21"/>
                      <w:highlight w:val="none"/>
                    </w:rPr>
                    <w:t>油基钻井液</w:t>
                  </w:r>
                </w:p>
              </w:tc>
              <w:tc>
                <w:tcPr>
                  <w:tcW w:w="747" w:type="pct"/>
                  <w:noWrap w:val="0"/>
                  <w:vAlign w:val="center"/>
                </w:tcPr>
                <w:p w14:paraId="753F3C52">
                  <w:pPr>
                    <w:widowControl/>
                    <w:spacing w:line="300" w:lineRule="exact"/>
                    <w:rPr>
                      <w:rFonts w:hint="eastAsia"/>
                      <w:color w:val="000000"/>
                      <w:kern w:val="0"/>
                      <w:sz w:val="21"/>
                      <w:szCs w:val="21"/>
                      <w:highlight w:val="none"/>
                    </w:rPr>
                  </w:pPr>
                  <w:r>
                    <w:rPr>
                      <w:rFonts w:hint="eastAsia"/>
                      <w:color w:val="000000"/>
                      <w:kern w:val="0"/>
                      <w:sz w:val="21"/>
                      <w:szCs w:val="21"/>
                      <w:highlight w:val="none"/>
                    </w:rPr>
                    <w:t>215.9</w:t>
                  </w:r>
                </w:p>
              </w:tc>
              <w:tc>
                <w:tcPr>
                  <w:tcW w:w="705" w:type="pct"/>
                  <w:noWrap w:val="0"/>
                  <w:vAlign w:val="center"/>
                </w:tcPr>
                <w:p w14:paraId="1B00FED9">
                  <w:pPr>
                    <w:widowControl/>
                    <w:spacing w:line="300" w:lineRule="exact"/>
                    <w:rPr>
                      <w:color w:val="000000"/>
                      <w:kern w:val="0"/>
                      <w:sz w:val="21"/>
                      <w:szCs w:val="21"/>
                      <w:highlight w:val="none"/>
                    </w:rPr>
                  </w:pPr>
                  <w:r>
                    <w:rPr>
                      <w:rFonts w:hint="eastAsia"/>
                      <w:color w:val="000000"/>
                      <w:kern w:val="0"/>
                      <w:sz w:val="21"/>
                      <w:szCs w:val="21"/>
                      <w:highlight w:val="none"/>
                    </w:rPr>
                    <w:t>3176</w:t>
                  </w:r>
                  <w:r>
                    <w:rPr>
                      <w:color w:val="000000"/>
                      <w:kern w:val="0"/>
                      <w:sz w:val="21"/>
                      <w:szCs w:val="21"/>
                      <w:highlight w:val="none"/>
                    </w:rPr>
                    <w:t>～</w:t>
                  </w:r>
                  <w:r>
                    <w:rPr>
                      <w:rFonts w:hint="eastAsia"/>
                      <w:color w:val="000000"/>
                      <w:kern w:val="0"/>
                      <w:sz w:val="21"/>
                      <w:szCs w:val="21"/>
                      <w:highlight w:val="none"/>
                    </w:rPr>
                    <w:t>4292</w:t>
                  </w:r>
                </w:p>
              </w:tc>
              <w:tc>
                <w:tcPr>
                  <w:tcW w:w="784" w:type="pct"/>
                  <w:noWrap w:val="0"/>
                  <w:vAlign w:val="center"/>
                </w:tcPr>
                <w:p w14:paraId="694C7792">
                  <w:pPr>
                    <w:widowControl/>
                    <w:spacing w:line="300" w:lineRule="exact"/>
                    <w:rPr>
                      <w:color w:val="000000"/>
                      <w:kern w:val="0"/>
                      <w:sz w:val="21"/>
                      <w:szCs w:val="21"/>
                      <w:highlight w:val="none"/>
                    </w:rPr>
                  </w:pPr>
                  <w:r>
                    <w:rPr>
                      <w:rFonts w:hint="eastAsia"/>
                      <w:color w:val="000000"/>
                      <w:kern w:val="0"/>
                      <w:sz w:val="21"/>
                      <w:szCs w:val="21"/>
                      <w:highlight w:val="none"/>
                    </w:rPr>
                    <w:t>441</w:t>
                  </w:r>
                </w:p>
              </w:tc>
              <w:tc>
                <w:tcPr>
                  <w:tcW w:w="828" w:type="pct"/>
                  <w:vMerge w:val="continue"/>
                  <w:noWrap w:val="0"/>
                  <w:vAlign w:val="center"/>
                </w:tcPr>
                <w:p w14:paraId="6CECE81D">
                  <w:pPr>
                    <w:pStyle w:val="8"/>
                    <w:spacing w:before="0" w:after="0" w:line="300" w:lineRule="exact"/>
                    <w:ind w:right="0"/>
                    <w:rPr>
                      <w:rFonts w:ascii="宋体" w:hAnsi="宋体" w:cs="宋体"/>
                      <w:color w:val="000000"/>
                      <w:sz w:val="21"/>
                      <w:szCs w:val="21"/>
                      <w:highlight w:val="none"/>
                    </w:rPr>
                  </w:pPr>
                </w:p>
              </w:tc>
            </w:tr>
          </w:tbl>
          <w:p w14:paraId="5B22093F">
            <w:pPr>
              <w:pStyle w:val="35"/>
              <w:ind w:firstLine="480"/>
              <w:jc w:val="both"/>
              <w:rPr>
                <w:color w:val="000000"/>
                <w:highlight w:val="none"/>
              </w:rPr>
            </w:pPr>
            <w:r>
              <w:rPr>
                <w:color w:val="000000"/>
                <w:highlight w:val="none"/>
              </w:rPr>
              <w:t>①水基岩屑：核算水基岩屑产生量约</w:t>
            </w:r>
            <w:r>
              <w:rPr>
                <w:rFonts w:hint="eastAsia"/>
                <w:color w:val="000000"/>
                <w:highlight w:val="none"/>
              </w:rPr>
              <w:t>5619.8t</w:t>
            </w:r>
            <w:r>
              <w:rPr>
                <w:color w:val="000000"/>
                <w:highlight w:val="none"/>
              </w:rPr>
              <w:t>，经不落地系统收集、压滤脱水后，暂存在岩屑储存罐，及时清运，委托第三方岩屑公司进行转运处置。</w:t>
            </w:r>
          </w:p>
          <w:p w14:paraId="284A4ADB">
            <w:pPr>
              <w:pStyle w:val="35"/>
              <w:ind w:firstLine="480"/>
              <w:jc w:val="both"/>
              <w:rPr>
                <w:color w:val="000000"/>
                <w:highlight w:val="none"/>
              </w:rPr>
            </w:pPr>
            <w:r>
              <w:rPr>
                <w:color w:val="000000"/>
                <w:highlight w:val="none"/>
              </w:rPr>
              <w:t>②油基岩屑：核算油基岩屑产生量约</w:t>
            </w:r>
            <w:r>
              <w:rPr>
                <w:rFonts w:hint="eastAsia"/>
                <w:color w:val="000000"/>
                <w:highlight w:val="none"/>
              </w:rPr>
              <w:t>895</w:t>
            </w:r>
            <w:r>
              <w:rPr>
                <w:color w:val="000000"/>
                <w:highlight w:val="none"/>
              </w:rPr>
              <w:t>t，油基岩屑暂存于岩屑储罐，交由有危废转运处置资质的单位进行转运处置。转运处置过程应严格落实危险废物转运和处理处置的有关法规和规范。</w:t>
            </w:r>
          </w:p>
          <w:p w14:paraId="13E7AF7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（2）机械设备废油</w:t>
            </w:r>
          </w:p>
          <w:p w14:paraId="3D488C7E">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钻井期间使用的机械设备运行过程中需进行维护、保养、维修等工作，以使其能正常运转，此过程中将产生少量的废油，如废液压油、废润滑油、废机油等。类比调查，钻井期机械设备产生的废机油（HW08，900-214-08）产生量不足0.5t/井，本工程2口井产生量约1t，废机油由钻井公司委托有资质单位处置。</w:t>
            </w:r>
          </w:p>
          <w:p w14:paraId="22C3390B">
            <w:pPr>
              <w:pStyle w:val="24"/>
              <w:rPr>
                <w:rFonts w:ascii="Times New Roman" w:hAnsi="Times New Roman"/>
                <w:color w:val="000000"/>
                <w:sz w:val="24"/>
                <w:szCs w:val="21"/>
                <w:highlight w:val="none"/>
              </w:rPr>
            </w:pPr>
            <w:r>
              <w:rPr>
                <w:rFonts w:ascii="Times New Roman" w:hAnsi="Times New Roman"/>
                <w:color w:val="000000"/>
                <w:sz w:val="24"/>
                <w:szCs w:val="21"/>
                <w:highlight w:val="none"/>
              </w:rPr>
              <w:t>（3）废弃防渗膜</w:t>
            </w:r>
          </w:p>
          <w:p w14:paraId="22FD4734">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钻井施工期及试油作业期在施工区域铺垫防渗膜，防止施工过程中产生的废油污染土壤，防渗膜可重复利用，若使用过程中防渗膜破损无法再次利用，则沾满油泥的废弃防渗膜作为危险废物，委托具有危废处置资质单位处理。</w:t>
            </w:r>
          </w:p>
          <w:p w14:paraId="71815D40">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废弃防渗膜根据《国家危险废物名录》（202</w:t>
            </w:r>
            <w:r>
              <w:rPr>
                <w:rFonts w:hint="eastAsia" w:ascii="Times New Roman" w:hAnsi="Times New Roman"/>
                <w:color w:val="000000"/>
                <w:sz w:val="24"/>
                <w:szCs w:val="21"/>
                <w:highlight w:val="none"/>
              </w:rPr>
              <w:t>5</w:t>
            </w:r>
            <w:r>
              <w:rPr>
                <w:rFonts w:ascii="Times New Roman" w:hAnsi="Times New Roman"/>
                <w:color w:val="000000"/>
                <w:sz w:val="24"/>
                <w:szCs w:val="21"/>
                <w:highlight w:val="none"/>
              </w:rPr>
              <w:t>年版）“HW08废矿物油与含矿物油废物类”，属于使用过程中沾染矿物油的废弃包装物，危废代码为900-249-08。</w:t>
            </w:r>
          </w:p>
          <w:p w14:paraId="276795DA">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（4）生活垃圾</w:t>
            </w:r>
          </w:p>
          <w:p w14:paraId="45686A5A">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钻井期间生活垃圾按每人每天产生0.5kg计，钻井期单井钻井人数35人，单井钻井期125天，本项目钻井阶段产生的生活垃圾约2.18t。生活垃圾集中收集，定期拉运至石西油田作业区生活垃圾埋场处理。</w:t>
            </w:r>
          </w:p>
          <w:p w14:paraId="682B634E">
            <w:pPr>
              <w:pStyle w:val="24"/>
              <w:rPr>
                <w:rFonts w:ascii="Times New Roman" w:hAnsi="Times New Roman"/>
                <w:color w:val="000000"/>
                <w:sz w:val="24"/>
                <w:szCs w:val="21"/>
                <w:highlight w:val="none"/>
              </w:rPr>
            </w:pPr>
            <w:r>
              <w:rPr>
                <w:rFonts w:ascii="Times New Roman" w:hAnsi="Times New Roman"/>
                <w:color w:val="000000"/>
                <w:sz w:val="24"/>
                <w:szCs w:val="21"/>
                <w:highlight w:val="none"/>
              </w:rPr>
              <w:t>（5）小结</w:t>
            </w:r>
          </w:p>
          <w:p w14:paraId="22E3974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本项目施工期固废的名称、类别、属性和数量等情况，见表4-9。</w:t>
            </w:r>
          </w:p>
          <w:p w14:paraId="7BD62FC0">
            <w:pPr>
              <w:pStyle w:val="19"/>
              <w:rPr>
                <w:color w:val="000000"/>
                <w:szCs w:val="21"/>
                <w:highlight w:val="none"/>
              </w:rPr>
            </w:pPr>
            <w:r>
              <w:rPr>
                <w:color w:val="000000"/>
                <w:szCs w:val="21"/>
                <w:highlight w:val="none"/>
              </w:rPr>
              <w:t>表4-</w:t>
            </w:r>
            <w:r>
              <w:rPr>
                <w:rFonts w:hint="eastAsia"/>
                <w:color w:val="000000"/>
                <w:szCs w:val="21"/>
                <w:highlight w:val="none"/>
              </w:rPr>
              <w:t>9</w:t>
            </w:r>
            <w:r>
              <w:rPr>
                <w:color w:val="000000"/>
                <w:szCs w:val="21"/>
                <w:highlight w:val="none"/>
              </w:rPr>
              <w:t xml:space="preserve">    施工期固废情况一览表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771"/>
              <w:gridCol w:w="756"/>
              <w:gridCol w:w="2023"/>
              <w:gridCol w:w="1440"/>
              <w:gridCol w:w="3055"/>
            </w:tblGrid>
            <w:tr w14:paraId="2C03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51C71AA9">
                  <w:pPr>
                    <w:pStyle w:val="25"/>
                    <w:rPr>
                      <w:color w:val="000000"/>
                      <w:highlight w:val="none"/>
                    </w:rPr>
                  </w:pPr>
                  <w:r>
                    <w:rPr>
                      <w:color w:val="000000"/>
                      <w:highlight w:val="none"/>
                    </w:rPr>
                    <w:t>序号</w:t>
                  </w:r>
                </w:p>
              </w:tc>
              <w:tc>
                <w:tcPr>
                  <w:tcW w:w="454" w:type="pct"/>
                  <w:tcBorders>
                    <w:top w:val="single" w:color="auto" w:sz="4" w:space="0"/>
                    <w:left w:val="nil"/>
                    <w:bottom w:val="single" w:color="auto" w:sz="4" w:space="0"/>
                    <w:right w:val="single" w:color="auto" w:sz="4" w:space="0"/>
                  </w:tcBorders>
                  <w:noWrap w:val="0"/>
                  <w:vAlign w:val="center"/>
                </w:tcPr>
                <w:p w14:paraId="223F96CF">
                  <w:pPr>
                    <w:pStyle w:val="25"/>
                    <w:rPr>
                      <w:color w:val="000000"/>
                      <w:highlight w:val="none"/>
                    </w:rPr>
                  </w:pPr>
                  <w:r>
                    <w:rPr>
                      <w:color w:val="000000"/>
                      <w:highlight w:val="none"/>
                    </w:rPr>
                    <w:t>固废</w:t>
                  </w:r>
                </w:p>
                <w:p w14:paraId="720DEBFA">
                  <w:pPr>
                    <w:pStyle w:val="25"/>
                    <w:rPr>
                      <w:color w:val="000000"/>
                      <w:highlight w:val="none"/>
                    </w:rPr>
                  </w:pPr>
                  <w:r>
                    <w:rPr>
                      <w:color w:val="000000"/>
                      <w:highlight w:val="none"/>
                    </w:rPr>
                    <w:t>名称</w:t>
                  </w:r>
                </w:p>
              </w:tc>
              <w:tc>
                <w:tcPr>
                  <w:tcW w:w="445" w:type="pct"/>
                  <w:tcBorders>
                    <w:top w:val="single" w:color="auto" w:sz="4" w:space="0"/>
                    <w:left w:val="nil"/>
                    <w:bottom w:val="single" w:color="auto" w:sz="4" w:space="0"/>
                    <w:right w:val="single" w:color="auto" w:sz="4" w:space="0"/>
                  </w:tcBorders>
                  <w:noWrap w:val="0"/>
                  <w:vAlign w:val="center"/>
                </w:tcPr>
                <w:p w14:paraId="40CAA55F">
                  <w:pPr>
                    <w:pStyle w:val="25"/>
                    <w:rPr>
                      <w:color w:val="000000"/>
                      <w:highlight w:val="none"/>
                    </w:rPr>
                  </w:pPr>
                  <w:r>
                    <w:rPr>
                      <w:color w:val="000000"/>
                      <w:highlight w:val="none"/>
                    </w:rPr>
                    <w:t>产生</w:t>
                  </w:r>
                </w:p>
                <w:p w14:paraId="66D2E47D">
                  <w:pPr>
                    <w:pStyle w:val="25"/>
                    <w:rPr>
                      <w:color w:val="000000"/>
                      <w:highlight w:val="none"/>
                    </w:rPr>
                  </w:pPr>
                  <w:r>
                    <w:rPr>
                      <w:color w:val="000000"/>
                      <w:highlight w:val="none"/>
                    </w:rPr>
                    <w:t>工序</w:t>
                  </w:r>
                </w:p>
              </w:tc>
              <w:tc>
                <w:tcPr>
                  <w:tcW w:w="1191" w:type="pct"/>
                  <w:tcBorders>
                    <w:top w:val="single" w:color="auto" w:sz="4" w:space="0"/>
                    <w:left w:val="nil"/>
                    <w:bottom w:val="single" w:color="auto" w:sz="4" w:space="0"/>
                    <w:right w:val="single" w:color="auto" w:sz="4" w:space="0"/>
                  </w:tcBorders>
                  <w:noWrap w:val="0"/>
                  <w:vAlign w:val="center"/>
                </w:tcPr>
                <w:p w14:paraId="15B57256">
                  <w:pPr>
                    <w:pStyle w:val="25"/>
                    <w:rPr>
                      <w:color w:val="000000"/>
                      <w:highlight w:val="none"/>
                    </w:rPr>
                  </w:pPr>
                  <w:r>
                    <w:rPr>
                      <w:color w:val="000000"/>
                      <w:highlight w:val="none"/>
                    </w:rPr>
                    <w:t>固废属性</w:t>
                  </w:r>
                </w:p>
              </w:tc>
              <w:tc>
                <w:tcPr>
                  <w:tcW w:w="848" w:type="pct"/>
                  <w:tcBorders>
                    <w:top w:val="single" w:color="auto" w:sz="4" w:space="0"/>
                    <w:left w:val="nil"/>
                    <w:bottom w:val="single" w:color="auto" w:sz="4" w:space="0"/>
                    <w:right w:val="single" w:color="auto" w:sz="4" w:space="0"/>
                  </w:tcBorders>
                  <w:noWrap w:val="0"/>
                  <w:vAlign w:val="center"/>
                </w:tcPr>
                <w:p w14:paraId="35C5F20B">
                  <w:pPr>
                    <w:pStyle w:val="25"/>
                    <w:rPr>
                      <w:color w:val="000000"/>
                      <w:highlight w:val="none"/>
                    </w:rPr>
                  </w:pPr>
                  <w:r>
                    <w:rPr>
                      <w:color w:val="000000"/>
                      <w:highlight w:val="none"/>
                    </w:rPr>
                    <w:t>产生量</w:t>
                  </w:r>
                </w:p>
              </w:tc>
              <w:tc>
                <w:tcPr>
                  <w:tcW w:w="1799" w:type="pct"/>
                  <w:tcBorders>
                    <w:top w:val="single" w:color="auto" w:sz="4" w:space="0"/>
                    <w:left w:val="nil"/>
                    <w:bottom w:val="single" w:color="auto" w:sz="4" w:space="0"/>
                    <w:right w:val="single" w:color="auto" w:sz="4" w:space="0"/>
                  </w:tcBorders>
                  <w:noWrap w:val="0"/>
                  <w:vAlign w:val="center"/>
                </w:tcPr>
                <w:p w14:paraId="298B7BB1">
                  <w:pPr>
                    <w:pStyle w:val="25"/>
                    <w:rPr>
                      <w:color w:val="000000"/>
                      <w:highlight w:val="none"/>
                    </w:rPr>
                  </w:pPr>
                  <w:r>
                    <w:rPr>
                      <w:color w:val="000000"/>
                      <w:highlight w:val="none"/>
                    </w:rPr>
                    <w:t>处置方式</w:t>
                  </w:r>
                </w:p>
              </w:tc>
            </w:tr>
            <w:tr w14:paraId="6B40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0" w:type="pct"/>
                  <w:vMerge w:val="restart"/>
                  <w:tcBorders>
                    <w:top w:val="single" w:color="auto" w:sz="4" w:space="0"/>
                    <w:left w:val="single" w:color="auto" w:sz="4" w:space="0"/>
                    <w:right w:val="single" w:color="auto" w:sz="4" w:space="0"/>
                  </w:tcBorders>
                  <w:noWrap w:val="0"/>
                  <w:vAlign w:val="center"/>
                </w:tcPr>
                <w:p w14:paraId="5B7235D5">
                  <w:pPr>
                    <w:pStyle w:val="25"/>
                    <w:rPr>
                      <w:rFonts w:hint="eastAsia"/>
                      <w:color w:val="000000"/>
                      <w:highlight w:val="none"/>
                    </w:rPr>
                  </w:pPr>
                  <w:r>
                    <w:rPr>
                      <w:rFonts w:hint="eastAsia"/>
                      <w:color w:val="000000"/>
                      <w:highlight w:val="none"/>
                    </w:rPr>
                    <w:t>1</w:t>
                  </w:r>
                </w:p>
              </w:tc>
              <w:tc>
                <w:tcPr>
                  <w:tcW w:w="454" w:type="pct"/>
                  <w:tcBorders>
                    <w:top w:val="single" w:color="auto" w:sz="4" w:space="0"/>
                    <w:left w:val="nil"/>
                    <w:bottom w:val="single" w:color="auto" w:sz="4" w:space="0"/>
                    <w:right w:val="single" w:color="auto" w:sz="4" w:space="0"/>
                  </w:tcBorders>
                  <w:noWrap w:val="0"/>
                  <w:vAlign w:val="center"/>
                </w:tcPr>
                <w:p w14:paraId="2E32FCD8">
                  <w:pPr>
                    <w:pStyle w:val="25"/>
                    <w:rPr>
                      <w:color w:val="000000"/>
                      <w:highlight w:val="none"/>
                    </w:rPr>
                  </w:pPr>
                  <w:r>
                    <w:rPr>
                      <w:color w:val="000000"/>
                      <w:highlight w:val="none"/>
                    </w:rPr>
                    <w:t>水基岩屑</w:t>
                  </w:r>
                </w:p>
              </w:tc>
              <w:tc>
                <w:tcPr>
                  <w:tcW w:w="445" w:type="pct"/>
                  <w:vMerge w:val="restart"/>
                  <w:tcBorders>
                    <w:top w:val="single" w:color="auto" w:sz="4" w:space="0"/>
                    <w:left w:val="nil"/>
                    <w:right w:val="single" w:color="auto" w:sz="4" w:space="0"/>
                  </w:tcBorders>
                  <w:noWrap w:val="0"/>
                  <w:vAlign w:val="center"/>
                </w:tcPr>
                <w:p w14:paraId="08FB4E71">
                  <w:pPr>
                    <w:pStyle w:val="25"/>
                    <w:rPr>
                      <w:color w:val="000000"/>
                      <w:highlight w:val="none"/>
                    </w:rPr>
                  </w:pPr>
                  <w:r>
                    <w:rPr>
                      <w:color w:val="000000"/>
                      <w:highlight w:val="none"/>
                    </w:rPr>
                    <w:t>钻井</w:t>
                  </w:r>
                </w:p>
              </w:tc>
              <w:tc>
                <w:tcPr>
                  <w:tcW w:w="1191" w:type="pct"/>
                  <w:tcBorders>
                    <w:top w:val="single" w:color="auto" w:sz="4" w:space="0"/>
                    <w:left w:val="nil"/>
                    <w:bottom w:val="single" w:color="auto" w:sz="4" w:space="0"/>
                    <w:right w:val="single" w:color="auto" w:sz="4" w:space="0"/>
                  </w:tcBorders>
                  <w:noWrap w:val="0"/>
                  <w:vAlign w:val="center"/>
                </w:tcPr>
                <w:p w14:paraId="1AF01E47">
                  <w:pPr>
                    <w:pStyle w:val="25"/>
                    <w:rPr>
                      <w:color w:val="000000"/>
                      <w:highlight w:val="none"/>
                    </w:rPr>
                  </w:pPr>
                  <w:r>
                    <w:rPr>
                      <w:color w:val="000000"/>
                      <w:highlight w:val="none"/>
                    </w:rPr>
                    <w:t>一般工业固废（900-999-99）</w:t>
                  </w:r>
                </w:p>
              </w:tc>
              <w:tc>
                <w:tcPr>
                  <w:tcW w:w="848" w:type="pct"/>
                  <w:tcBorders>
                    <w:top w:val="single" w:color="auto" w:sz="4" w:space="0"/>
                    <w:left w:val="nil"/>
                    <w:bottom w:val="single" w:color="auto" w:sz="4" w:space="0"/>
                    <w:right w:val="single" w:color="auto" w:sz="4" w:space="0"/>
                  </w:tcBorders>
                  <w:noWrap w:val="0"/>
                  <w:vAlign w:val="center"/>
                </w:tcPr>
                <w:p w14:paraId="307ADCD7">
                  <w:pPr>
                    <w:pStyle w:val="25"/>
                    <w:rPr>
                      <w:color w:val="000000"/>
                      <w:highlight w:val="none"/>
                    </w:rPr>
                  </w:pPr>
                  <w:r>
                    <w:rPr>
                      <w:rFonts w:hint="eastAsia"/>
                      <w:color w:val="000000"/>
                      <w:highlight w:val="none"/>
                    </w:rPr>
                    <w:t>5619.8t</w:t>
                  </w:r>
                </w:p>
              </w:tc>
              <w:tc>
                <w:tcPr>
                  <w:tcW w:w="1799" w:type="pct"/>
                  <w:vMerge w:val="restart"/>
                  <w:tcBorders>
                    <w:top w:val="single" w:color="auto" w:sz="4" w:space="0"/>
                    <w:left w:val="nil"/>
                    <w:right w:val="single" w:color="auto" w:sz="4" w:space="0"/>
                  </w:tcBorders>
                  <w:noWrap w:val="0"/>
                  <w:vAlign w:val="center"/>
                </w:tcPr>
                <w:p w14:paraId="67D16159">
                  <w:pPr>
                    <w:pStyle w:val="25"/>
                    <w:rPr>
                      <w:color w:val="000000"/>
                      <w:highlight w:val="none"/>
                    </w:rPr>
                  </w:pPr>
                  <w:r>
                    <w:rPr>
                      <w:color w:val="000000"/>
                      <w:highlight w:val="none"/>
                    </w:rPr>
                    <w:t>钻井岩屑经不落地系统处理实现固液分离，分离后的固相临时贮存在井场内的岩屑储罐，水基岩屑委托第三方合规处置；油基岩屑委托具有危废处置资质的单位处置</w:t>
                  </w:r>
                </w:p>
              </w:tc>
            </w:tr>
            <w:tr w14:paraId="320C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0" w:type="pct"/>
                  <w:vMerge w:val="continue"/>
                  <w:tcBorders>
                    <w:left w:val="single" w:color="auto" w:sz="4" w:space="0"/>
                    <w:bottom w:val="single" w:color="auto" w:sz="4" w:space="0"/>
                    <w:right w:val="single" w:color="auto" w:sz="4" w:space="0"/>
                  </w:tcBorders>
                  <w:noWrap w:val="0"/>
                  <w:vAlign w:val="center"/>
                </w:tcPr>
                <w:p w14:paraId="0F4D69F3">
                  <w:pPr>
                    <w:pStyle w:val="25"/>
                    <w:rPr>
                      <w:color w:val="000000"/>
                      <w:highlight w:val="none"/>
                    </w:rPr>
                  </w:pPr>
                </w:p>
              </w:tc>
              <w:tc>
                <w:tcPr>
                  <w:tcW w:w="454" w:type="pct"/>
                  <w:tcBorders>
                    <w:top w:val="single" w:color="auto" w:sz="4" w:space="0"/>
                    <w:left w:val="nil"/>
                    <w:bottom w:val="single" w:color="auto" w:sz="4" w:space="0"/>
                    <w:right w:val="single" w:color="auto" w:sz="4" w:space="0"/>
                  </w:tcBorders>
                  <w:noWrap w:val="0"/>
                  <w:vAlign w:val="center"/>
                </w:tcPr>
                <w:p w14:paraId="2977D2ED">
                  <w:pPr>
                    <w:pStyle w:val="25"/>
                    <w:rPr>
                      <w:color w:val="000000"/>
                      <w:highlight w:val="none"/>
                    </w:rPr>
                  </w:pPr>
                  <w:r>
                    <w:rPr>
                      <w:color w:val="000000"/>
                      <w:highlight w:val="none"/>
                    </w:rPr>
                    <w:t>油基岩屑</w:t>
                  </w:r>
                </w:p>
              </w:tc>
              <w:tc>
                <w:tcPr>
                  <w:tcW w:w="445" w:type="pct"/>
                  <w:vMerge w:val="continue"/>
                  <w:tcBorders>
                    <w:left w:val="nil"/>
                    <w:bottom w:val="single" w:color="auto" w:sz="4" w:space="0"/>
                    <w:right w:val="single" w:color="auto" w:sz="4" w:space="0"/>
                  </w:tcBorders>
                  <w:noWrap w:val="0"/>
                  <w:vAlign w:val="center"/>
                </w:tcPr>
                <w:p w14:paraId="165171D8">
                  <w:pPr>
                    <w:pStyle w:val="25"/>
                    <w:rPr>
                      <w:color w:val="000000"/>
                      <w:highlight w:val="none"/>
                    </w:rPr>
                  </w:pPr>
                </w:p>
              </w:tc>
              <w:tc>
                <w:tcPr>
                  <w:tcW w:w="1191" w:type="pct"/>
                  <w:tcBorders>
                    <w:top w:val="single" w:color="auto" w:sz="4" w:space="0"/>
                    <w:left w:val="nil"/>
                    <w:bottom w:val="single" w:color="auto" w:sz="4" w:space="0"/>
                    <w:right w:val="single" w:color="auto" w:sz="4" w:space="0"/>
                  </w:tcBorders>
                  <w:noWrap w:val="0"/>
                  <w:vAlign w:val="center"/>
                </w:tcPr>
                <w:p w14:paraId="424513D2">
                  <w:pPr>
                    <w:pStyle w:val="25"/>
                    <w:rPr>
                      <w:color w:val="000000"/>
                      <w:highlight w:val="none"/>
                    </w:rPr>
                  </w:pPr>
                  <w:r>
                    <w:rPr>
                      <w:color w:val="000000"/>
                      <w:highlight w:val="none"/>
                    </w:rPr>
                    <w:t>危险废物（HW08 071-002-08）</w:t>
                  </w:r>
                </w:p>
              </w:tc>
              <w:tc>
                <w:tcPr>
                  <w:tcW w:w="848" w:type="pct"/>
                  <w:tcBorders>
                    <w:top w:val="single" w:color="auto" w:sz="4" w:space="0"/>
                    <w:left w:val="nil"/>
                    <w:bottom w:val="single" w:color="auto" w:sz="4" w:space="0"/>
                    <w:right w:val="single" w:color="auto" w:sz="4" w:space="0"/>
                  </w:tcBorders>
                  <w:noWrap w:val="0"/>
                  <w:vAlign w:val="center"/>
                </w:tcPr>
                <w:p w14:paraId="17765CC8">
                  <w:pPr>
                    <w:pStyle w:val="25"/>
                    <w:rPr>
                      <w:color w:val="000000"/>
                      <w:highlight w:val="none"/>
                    </w:rPr>
                  </w:pPr>
                  <w:r>
                    <w:rPr>
                      <w:rFonts w:hint="eastAsia"/>
                      <w:color w:val="000000"/>
                      <w:highlight w:val="none"/>
                    </w:rPr>
                    <w:t>986</w:t>
                  </w:r>
                  <w:r>
                    <w:rPr>
                      <w:color w:val="000000"/>
                      <w:highlight w:val="none"/>
                    </w:rPr>
                    <w:t>t</w:t>
                  </w:r>
                </w:p>
              </w:tc>
              <w:tc>
                <w:tcPr>
                  <w:tcW w:w="1799" w:type="pct"/>
                  <w:vMerge w:val="continue"/>
                  <w:tcBorders>
                    <w:left w:val="nil"/>
                    <w:bottom w:val="single" w:color="auto" w:sz="4" w:space="0"/>
                    <w:right w:val="single" w:color="auto" w:sz="4" w:space="0"/>
                  </w:tcBorders>
                  <w:noWrap w:val="0"/>
                  <w:vAlign w:val="center"/>
                </w:tcPr>
                <w:p w14:paraId="73F19B54">
                  <w:pPr>
                    <w:pStyle w:val="25"/>
                    <w:rPr>
                      <w:color w:val="000000"/>
                      <w:highlight w:val="none"/>
                    </w:rPr>
                  </w:pPr>
                </w:p>
              </w:tc>
            </w:tr>
            <w:tr w14:paraId="65EB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5C226743">
                  <w:pPr>
                    <w:pStyle w:val="25"/>
                    <w:rPr>
                      <w:rFonts w:hint="eastAsia"/>
                      <w:color w:val="000000"/>
                      <w:highlight w:val="none"/>
                    </w:rPr>
                  </w:pPr>
                  <w:r>
                    <w:rPr>
                      <w:rFonts w:hint="eastAsia"/>
                      <w:color w:val="000000"/>
                      <w:highlight w:val="none"/>
                    </w:rPr>
                    <w:t>2</w:t>
                  </w:r>
                </w:p>
              </w:tc>
              <w:tc>
                <w:tcPr>
                  <w:tcW w:w="454" w:type="pct"/>
                  <w:tcBorders>
                    <w:top w:val="single" w:color="auto" w:sz="4" w:space="0"/>
                    <w:left w:val="nil"/>
                    <w:bottom w:val="single" w:color="auto" w:sz="4" w:space="0"/>
                    <w:right w:val="single" w:color="auto" w:sz="4" w:space="0"/>
                  </w:tcBorders>
                  <w:noWrap w:val="0"/>
                  <w:vAlign w:val="center"/>
                </w:tcPr>
                <w:p w14:paraId="4EDAE220">
                  <w:pPr>
                    <w:pStyle w:val="25"/>
                    <w:rPr>
                      <w:color w:val="000000"/>
                      <w:highlight w:val="none"/>
                    </w:rPr>
                  </w:pPr>
                  <w:r>
                    <w:rPr>
                      <w:color w:val="000000"/>
                      <w:highlight w:val="none"/>
                    </w:rPr>
                    <w:t>机械设备废油</w:t>
                  </w:r>
                </w:p>
              </w:tc>
              <w:tc>
                <w:tcPr>
                  <w:tcW w:w="445" w:type="pct"/>
                  <w:tcBorders>
                    <w:top w:val="single" w:color="auto" w:sz="4" w:space="0"/>
                    <w:left w:val="nil"/>
                    <w:bottom w:val="single" w:color="auto" w:sz="4" w:space="0"/>
                    <w:right w:val="single" w:color="auto" w:sz="4" w:space="0"/>
                  </w:tcBorders>
                  <w:noWrap w:val="0"/>
                  <w:vAlign w:val="center"/>
                </w:tcPr>
                <w:p w14:paraId="6DD0A777">
                  <w:pPr>
                    <w:pStyle w:val="25"/>
                    <w:rPr>
                      <w:color w:val="000000"/>
                      <w:highlight w:val="none"/>
                    </w:rPr>
                  </w:pPr>
                  <w:r>
                    <w:rPr>
                      <w:color w:val="000000"/>
                      <w:highlight w:val="none"/>
                    </w:rPr>
                    <w:t>钻井</w:t>
                  </w:r>
                </w:p>
              </w:tc>
              <w:tc>
                <w:tcPr>
                  <w:tcW w:w="1191" w:type="pct"/>
                  <w:tcBorders>
                    <w:top w:val="single" w:color="auto" w:sz="4" w:space="0"/>
                    <w:left w:val="nil"/>
                    <w:bottom w:val="single" w:color="auto" w:sz="4" w:space="0"/>
                    <w:right w:val="single" w:color="auto" w:sz="4" w:space="0"/>
                  </w:tcBorders>
                  <w:noWrap w:val="0"/>
                  <w:vAlign w:val="center"/>
                </w:tcPr>
                <w:p w14:paraId="6CBC560A">
                  <w:pPr>
                    <w:pStyle w:val="25"/>
                    <w:rPr>
                      <w:color w:val="000000"/>
                      <w:highlight w:val="none"/>
                    </w:rPr>
                  </w:pPr>
                  <w:r>
                    <w:rPr>
                      <w:color w:val="000000"/>
                      <w:highlight w:val="none"/>
                    </w:rPr>
                    <w:t>危险废物（HW08废矿物油和含矿物油废物）900-214-08</w:t>
                  </w:r>
                </w:p>
              </w:tc>
              <w:tc>
                <w:tcPr>
                  <w:tcW w:w="848" w:type="pct"/>
                  <w:tcBorders>
                    <w:top w:val="single" w:color="auto" w:sz="4" w:space="0"/>
                    <w:left w:val="nil"/>
                    <w:bottom w:val="single" w:color="auto" w:sz="4" w:space="0"/>
                    <w:right w:val="single" w:color="auto" w:sz="4" w:space="0"/>
                  </w:tcBorders>
                  <w:noWrap w:val="0"/>
                  <w:vAlign w:val="center"/>
                </w:tcPr>
                <w:p w14:paraId="56B218EF">
                  <w:pPr>
                    <w:pStyle w:val="25"/>
                    <w:rPr>
                      <w:color w:val="000000"/>
                      <w:highlight w:val="none"/>
                    </w:rPr>
                  </w:pPr>
                  <w:r>
                    <w:rPr>
                      <w:rFonts w:hint="eastAsia"/>
                      <w:color w:val="000000"/>
                      <w:highlight w:val="none"/>
                    </w:rPr>
                    <w:t>1</w:t>
                  </w:r>
                  <w:r>
                    <w:rPr>
                      <w:color w:val="000000"/>
                      <w:highlight w:val="none"/>
                    </w:rPr>
                    <w:t>t</w:t>
                  </w:r>
                </w:p>
              </w:tc>
              <w:tc>
                <w:tcPr>
                  <w:tcW w:w="1799" w:type="pct"/>
                  <w:tcBorders>
                    <w:top w:val="single" w:color="auto" w:sz="4" w:space="0"/>
                    <w:left w:val="nil"/>
                    <w:bottom w:val="single" w:color="auto" w:sz="4" w:space="0"/>
                    <w:right w:val="single" w:color="auto" w:sz="4" w:space="0"/>
                  </w:tcBorders>
                  <w:noWrap w:val="0"/>
                  <w:vAlign w:val="center"/>
                </w:tcPr>
                <w:p w14:paraId="35BCB562">
                  <w:pPr>
                    <w:pStyle w:val="25"/>
                    <w:rPr>
                      <w:color w:val="000000"/>
                      <w:highlight w:val="none"/>
                    </w:rPr>
                  </w:pPr>
                  <w:r>
                    <w:rPr>
                      <w:color w:val="000000"/>
                      <w:highlight w:val="none"/>
                    </w:rPr>
                    <w:t>由钻井公司委托有危废处置资质的单位处置</w:t>
                  </w:r>
                </w:p>
              </w:tc>
            </w:tr>
            <w:tr w14:paraId="4679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0BDB0449">
                  <w:pPr>
                    <w:pStyle w:val="25"/>
                    <w:rPr>
                      <w:rFonts w:hint="eastAsia"/>
                      <w:color w:val="000000"/>
                      <w:highlight w:val="none"/>
                    </w:rPr>
                  </w:pPr>
                  <w:r>
                    <w:rPr>
                      <w:rFonts w:hint="eastAsia"/>
                      <w:color w:val="000000"/>
                      <w:highlight w:val="none"/>
                    </w:rPr>
                    <w:t>3</w:t>
                  </w:r>
                </w:p>
              </w:tc>
              <w:tc>
                <w:tcPr>
                  <w:tcW w:w="454" w:type="pct"/>
                  <w:tcBorders>
                    <w:top w:val="single" w:color="auto" w:sz="4" w:space="0"/>
                    <w:left w:val="nil"/>
                    <w:bottom w:val="single" w:color="auto" w:sz="4" w:space="0"/>
                    <w:right w:val="single" w:color="auto" w:sz="4" w:space="0"/>
                  </w:tcBorders>
                  <w:noWrap w:val="0"/>
                  <w:vAlign w:val="center"/>
                </w:tcPr>
                <w:p w14:paraId="4FA7F355">
                  <w:pPr>
                    <w:pStyle w:val="25"/>
                    <w:rPr>
                      <w:color w:val="000000"/>
                      <w:highlight w:val="none"/>
                    </w:rPr>
                  </w:pPr>
                  <w:r>
                    <w:rPr>
                      <w:rStyle w:val="18"/>
                      <w:color w:val="000000"/>
                      <w:highlight w:val="none"/>
                    </w:rPr>
                    <w:t>废弃</w:t>
                  </w:r>
                  <w:r>
                    <w:rPr>
                      <w:color w:val="000000"/>
                      <w:highlight w:val="none"/>
                    </w:rPr>
                    <w:t>防渗膜</w:t>
                  </w:r>
                </w:p>
              </w:tc>
              <w:tc>
                <w:tcPr>
                  <w:tcW w:w="445" w:type="pct"/>
                  <w:tcBorders>
                    <w:top w:val="single" w:color="auto" w:sz="4" w:space="0"/>
                    <w:left w:val="nil"/>
                    <w:bottom w:val="single" w:color="auto" w:sz="4" w:space="0"/>
                    <w:right w:val="single" w:color="auto" w:sz="4" w:space="0"/>
                  </w:tcBorders>
                  <w:noWrap w:val="0"/>
                  <w:vAlign w:val="center"/>
                </w:tcPr>
                <w:p w14:paraId="1B953E2E">
                  <w:pPr>
                    <w:pStyle w:val="25"/>
                    <w:rPr>
                      <w:color w:val="000000"/>
                      <w:highlight w:val="none"/>
                    </w:rPr>
                  </w:pPr>
                  <w:r>
                    <w:rPr>
                      <w:color w:val="000000"/>
                      <w:highlight w:val="none"/>
                    </w:rPr>
                    <w:t>钻井</w:t>
                  </w:r>
                </w:p>
              </w:tc>
              <w:tc>
                <w:tcPr>
                  <w:tcW w:w="1191" w:type="pct"/>
                  <w:tcBorders>
                    <w:top w:val="single" w:color="auto" w:sz="4" w:space="0"/>
                    <w:left w:val="nil"/>
                    <w:bottom w:val="single" w:color="auto" w:sz="4" w:space="0"/>
                    <w:right w:val="single" w:color="auto" w:sz="4" w:space="0"/>
                  </w:tcBorders>
                  <w:noWrap w:val="0"/>
                  <w:vAlign w:val="center"/>
                </w:tcPr>
                <w:p w14:paraId="18C37B38">
                  <w:pPr>
                    <w:pStyle w:val="25"/>
                    <w:rPr>
                      <w:color w:val="000000"/>
                      <w:highlight w:val="none"/>
                    </w:rPr>
                  </w:pPr>
                  <w:r>
                    <w:rPr>
                      <w:color w:val="000000"/>
                      <w:highlight w:val="none"/>
                    </w:rPr>
                    <w:t>危险废物（HW08废矿物油和含矿物油废物）900-249-08</w:t>
                  </w:r>
                </w:p>
              </w:tc>
              <w:tc>
                <w:tcPr>
                  <w:tcW w:w="848" w:type="pct"/>
                  <w:tcBorders>
                    <w:top w:val="single" w:color="auto" w:sz="4" w:space="0"/>
                    <w:left w:val="nil"/>
                    <w:bottom w:val="single" w:color="auto" w:sz="4" w:space="0"/>
                    <w:right w:val="single" w:color="auto" w:sz="4" w:space="0"/>
                  </w:tcBorders>
                  <w:noWrap w:val="0"/>
                  <w:vAlign w:val="center"/>
                </w:tcPr>
                <w:p w14:paraId="45EA572F">
                  <w:pPr>
                    <w:pStyle w:val="25"/>
                    <w:rPr>
                      <w:color w:val="000000"/>
                      <w:highlight w:val="none"/>
                    </w:rPr>
                  </w:pPr>
                  <w:r>
                    <w:rPr>
                      <w:color w:val="000000"/>
                      <w:highlight w:val="none"/>
                    </w:rPr>
                    <w:t>少量</w:t>
                  </w:r>
                </w:p>
              </w:tc>
              <w:tc>
                <w:tcPr>
                  <w:tcW w:w="1799" w:type="pct"/>
                  <w:tcBorders>
                    <w:top w:val="single" w:color="auto" w:sz="4" w:space="0"/>
                    <w:left w:val="nil"/>
                    <w:bottom w:val="single" w:color="auto" w:sz="4" w:space="0"/>
                    <w:right w:val="single" w:color="auto" w:sz="4" w:space="0"/>
                  </w:tcBorders>
                  <w:noWrap w:val="0"/>
                  <w:vAlign w:val="center"/>
                </w:tcPr>
                <w:p w14:paraId="327A3A2C">
                  <w:pPr>
                    <w:pStyle w:val="25"/>
                    <w:rPr>
                      <w:color w:val="000000"/>
                      <w:highlight w:val="none"/>
                    </w:rPr>
                  </w:pPr>
                  <w:r>
                    <w:rPr>
                      <w:color w:val="000000"/>
                      <w:highlight w:val="none"/>
                    </w:rPr>
                    <w:t>由钻井公司委托有危废处置资质的单位处置</w:t>
                  </w:r>
                </w:p>
              </w:tc>
            </w:tr>
            <w:tr w14:paraId="06F1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40158EE1">
                  <w:pPr>
                    <w:pStyle w:val="25"/>
                    <w:rPr>
                      <w:rFonts w:hint="eastAsia"/>
                      <w:color w:val="000000"/>
                      <w:highlight w:val="none"/>
                    </w:rPr>
                  </w:pPr>
                  <w:r>
                    <w:rPr>
                      <w:rFonts w:hint="eastAsia"/>
                      <w:color w:val="000000"/>
                      <w:highlight w:val="none"/>
                    </w:rPr>
                    <w:t>4</w:t>
                  </w:r>
                </w:p>
              </w:tc>
              <w:tc>
                <w:tcPr>
                  <w:tcW w:w="454" w:type="pct"/>
                  <w:tcBorders>
                    <w:top w:val="single" w:color="auto" w:sz="4" w:space="0"/>
                    <w:left w:val="nil"/>
                    <w:bottom w:val="single" w:color="auto" w:sz="4" w:space="0"/>
                    <w:right w:val="single" w:color="auto" w:sz="4" w:space="0"/>
                  </w:tcBorders>
                  <w:noWrap w:val="0"/>
                  <w:vAlign w:val="center"/>
                </w:tcPr>
                <w:p w14:paraId="69A97D8D">
                  <w:pPr>
                    <w:pStyle w:val="25"/>
                    <w:rPr>
                      <w:color w:val="000000"/>
                      <w:highlight w:val="none"/>
                    </w:rPr>
                  </w:pPr>
                  <w:r>
                    <w:rPr>
                      <w:color w:val="000000"/>
                      <w:highlight w:val="none"/>
                    </w:rPr>
                    <w:t>生活</w:t>
                  </w:r>
                </w:p>
                <w:p w14:paraId="27211213">
                  <w:pPr>
                    <w:pStyle w:val="25"/>
                    <w:rPr>
                      <w:color w:val="000000"/>
                      <w:highlight w:val="none"/>
                    </w:rPr>
                  </w:pPr>
                  <w:r>
                    <w:rPr>
                      <w:color w:val="000000"/>
                      <w:highlight w:val="none"/>
                    </w:rPr>
                    <w:t>垃圾</w:t>
                  </w:r>
                </w:p>
              </w:tc>
              <w:tc>
                <w:tcPr>
                  <w:tcW w:w="445" w:type="pct"/>
                  <w:tcBorders>
                    <w:top w:val="single" w:color="auto" w:sz="4" w:space="0"/>
                    <w:left w:val="nil"/>
                    <w:bottom w:val="single" w:color="auto" w:sz="4" w:space="0"/>
                    <w:right w:val="single" w:color="auto" w:sz="4" w:space="0"/>
                  </w:tcBorders>
                  <w:noWrap w:val="0"/>
                  <w:vAlign w:val="center"/>
                </w:tcPr>
                <w:p w14:paraId="5332584A">
                  <w:pPr>
                    <w:pStyle w:val="25"/>
                    <w:rPr>
                      <w:color w:val="000000"/>
                      <w:highlight w:val="none"/>
                    </w:rPr>
                  </w:pPr>
                  <w:r>
                    <w:rPr>
                      <w:color w:val="000000"/>
                      <w:highlight w:val="none"/>
                    </w:rPr>
                    <w:t>施工</w:t>
                  </w:r>
                </w:p>
                <w:p w14:paraId="4720F4A3">
                  <w:pPr>
                    <w:pStyle w:val="25"/>
                    <w:rPr>
                      <w:color w:val="000000"/>
                      <w:highlight w:val="none"/>
                    </w:rPr>
                  </w:pPr>
                  <w:r>
                    <w:rPr>
                      <w:color w:val="000000"/>
                      <w:highlight w:val="none"/>
                    </w:rPr>
                    <w:t>生活</w:t>
                  </w:r>
                </w:p>
              </w:tc>
              <w:tc>
                <w:tcPr>
                  <w:tcW w:w="1191" w:type="pct"/>
                  <w:tcBorders>
                    <w:top w:val="single" w:color="auto" w:sz="4" w:space="0"/>
                    <w:left w:val="nil"/>
                    <w:bottom w:val="single" w:color="auto" w:sz="4" w:space="0"/>
                    <w:right w:val="single" w:color="auto" w:sz="4" w:space="0"/>
                  </w:tcBorders>
                  <w:noWrap w:val="0"/>
                  <w:vAlign w:val="center"/>
                </w:tcPr>
                <w:p w14:paraId="2246F34E">
                  <w:pPr>
                    <w:pStyle w:val="25"/>
                    <w:rPr>
                      <w:color w:val="000000"/>
                      <w:highlight w:val="none"/>
                    </w:rPr>
                  </w:pPr>
                  <w:r>
                    <w:rPr>
                      <w:color w:val="000000"/>
                      <w:highlight w:val="none"/>
                    </w:rPr>
                    <w:t>生活垃圾</w:t>
                  </w:r>
                </w:p>
              </w:tc>
              <w:tc>
                <w:tcPr>
                  <w:tcW w:w="848" w:type="pct"/>
                  <w:tcBorders>
                    <w:top w:val="single" w:color="auto" w:sz="4" w:space="0"/>
                    <w:left w:val="nil"/>
                    <w:bottom w:val="single" w:color="auto" w:sz="4" w:space="0"/>
                    <w:right w:val="single" w:color="auto" w:sz="4" w:space="0"/>
                  </w:tcBorders>
                  <w:noWrap w:val="0"/>
                  <w:vAlign w:val="center"/>
                </w:tcPr>
                <w:p w14:paraId="0AC89DA5">
                  <w:pPr>
                    <w:pStyle w:val="25"/>
                    <w:rPr>
                      <w:color w:val="000000"/>
                      <w:highlight w:val="none"/>
                    </w:rPr>
                  </w:pPr>
                  <w:r>
                    <w:rPr>
                      <w:rFonts w:hint="eastAsia"/>
                      <w:color w:val="000000"/>
                      <w:highlight w:val="none"/>
                    </w:rPr>
                    <w:t>2.18</w:t>
                  </w:r>
                  <w:r>
                    <w:rPr>
                      <w:color w:val="000000"/>
                      <w:highlight w:val="none"/>
                    </w:rPr>
                    <w:t>t</w:t>
                  </w:r>
                </w:p>
              </w:tc>
              <w:tc>
                <w:tcPr>
                  <w:tcW w:w="1799" w:type="pct"/>
                  <w:tcBorders>
                    <w:top w:val="single" w:color="auto" w:sz="4" w:space="0"/>
                    <w:left w:val="nil"/>
                    <w:bottom w:val="single" w:color="auto" w:sz="4" w:space="0"/>
                    <w:right w:val="single" w:color="auto" w:sz="4" w:space="0"/>
                  </w:tcBorders>
                  <w:noWrap w:val="0"/>
                  <w:vAlign w:val="center"/>
                </w:tcPr>
                <w:p w14:paraId="1B8F9D83">
                  <w:pPr>
                    <w:pStyle w:val="25"/>
                    <w:rPr>
                      <w:color w:val="000000"/>
                      <w:highlight w:val="none"/>
                    </w:rPr>
                  </w:pPr>
                  <w:r>
                    <w:rPr>
                      <w:color w:val="000000"/>
                      <w:highlight w:val="none"/>
                    </w:rPr>
                    <w:t>集中收集，统一拉运至</w:t>
                  </w:r>
                  <w:r>
                    <w:rPr>
                      <w:rFonts w:hint="eastAsia"/>
                      <w:color w:val="000000"/>
                      <w:highlight w:val="none"/>
                    </w:rPr>
                    <w:t>石西油田作业区生活垃圾填埋场</w:t>
                  </w:r>
                  <w:r>
                    <w:rPr>
                      <w:color w:val="000000"/>
                      <w:highlight w:val="none"/>
                    </w:rPr>
                    <w:t>处理</w:t>
                  </w:r>
                </w:p>
              </w:tc>
            </w:tr>
          </w:tbl>
          <w:p w14:paraId="24A4421D">
            <w:pPr>
              <w:pStyle w:val="3"/>
              <w:rPr>
                <w:color w:val="000000"/>
                <w:szCs w:val="24"/>
                <w:highlight w:val="none"/>
              </w:rPr>
            </w:pPr>
            <w:bookmarkStart w:id="23" w:name="_Hlk48510422"/>
            <w:bookmarkStart w:id="24" w:name="_Hlk48503266"/>
            <w:bookmarkStart w:id="25" w:name="_Ref458582815"/>
            <w:r>
              <w:rPr>
                <w:color w:val="000000"/>
                <w:szCs w:val="24"/>
                <w:highlight w:val="none"/>
              </w:rPr>
              <w:t>5 生态环境影响分析</w:t>
            </w:r>
          </w:p>
          <w:p w14:paraId="394AAEF1">
            <w:pPr>
              <w:pStyle w:val="4"/>
              <w:rPr>
                <w:color w:val="000000"/>
                <w:szCs w:val="24"/>
                <w:highlight w:val="none"/>
              </w:rPr>
            </w:pPr>
            <w:r>
              <w:rPr>
                <w:color w:val="000000"/>
                <w:szCs w:val="24"/>
                <w:highlight w:val="none"/>
              </w:rPr>
              <w:t xml:space="preserve">5.1 </w:t>
            </w:r>
            <w:r>
              <w:rPr>
                <w:rFonts w:hint="eastAsia"/>
                <w:color w:val="000000"/>
                <w:szCs w:val="24"/>
                <w:highlight w:val="none"/>
              </w:rPr>
              <w:t>对生态保护红线占用数量的影响分析</w:t>
            </w:r>
          </w:p>
          <w:p w14:paraId="63BAD01C">
            <w:pPr>
              <w:pStyle w:val="24"/>
              <w:jc w:val="both"/>
              <w:rPr>
                <w:rFonts w:ascii="Times New Roman" w:hAnsi="Times New Roman"/>
                <w:color w:val="000000"/>
                <w:sz w:val="24"/>
                <w:szCs w:val="21"/>
                <w:highlight w:val="none"/>
              </w:rPr>
            </w:pPr>
            <w:r>
              <w:rPr>
                <w:rFonts w:hint="eastAsia" w:ascii="Times New Roman" w:hAnsi="Times New Roman"/>
                <w:color w:val="000000"/>
                <w:sz w:val="24"/>
                <w:szCs w:val="21"/>
                <w:highlight w:val="none"/>
              </w:rPr>
              <w:t>本项目莫173井与生态保护红线（CGCS2000国家大地坐标）重叠区域-位于准噶尔盆地南缘土地沙化防控与防风固沙生态保护红线区，临时占用生态保护红线面积5.6455hm²。</w:t>
            </w:r>
          </w:p>
          <w:p w14:paraId="27F23056">
            <w:pPr>
              <w:pStyle w:val="4"/>
              <w:rPr>
                <w:rFonts w:hint="eastAsia"/>
                <w:color w:val="000000"/>
                <w:szCs w:val="24"/>
                <w:highlight w:val="none"/>
              </w:rPr>
            </w:pPr>
            <w:r>
              <w:rPr>
                <w:color w:val="000000"/>
                <w:szCs w:val="24"/>
                <w:highlight w:val="none"/>
              </w:rPr>
              <w:t>5.</w:t>
            </w:r>
            <w:r>
              <w:rPr>
                <w:rFonts w:hint="eastAsia"/>
                <w:color w:val="000000"/>
                <w:szCs w:val="24"/>
                <w:highlight w:val="none"/>
              </w:rPr>
              <w:t>2</w:t>
            </w:r>
            <w:r>
              <w:rPr>
                <w:color w:val="000000"/>
                <w:szCs w:val="24"/>
                <w:highlight w:val="none"/>
              </w:rPr>
              <w:t xml:space="preserve"> </w:t>
            </w:r>
            <w:r>
              <w:rPr>
                <w:rFonts w:hint="eastAsia"/>
                <w:color w:val="000000"/>
                <w:szCs w:val="24"/>
                <w:highlight w:val="none"/>
              </w:rPr>
              <w:t>对生态保护红线生态功能的影响分析</w:t>
            </w:r>
          </w:p>
          <w:p w14:paraId="2ACA4787">
            <w:pPr>
              <w:pStyle w:val="24"/>
              <w:jc w:val="both"/>
              <w:rPr>
                <w:rFonts w:hint="eastAsia" w:ascii="Times New Roman" w:hAnsi="Times New Roman"/>
                <w:color w:val="000000"/>
                <w:sz w:val="24"/>
                <w:szCs w:val="21"/>
                <w:highlight w:val="none"/>
              </w:rPr>
            </w:pPr>
            <w:r>
              <w:rPr>
                <w:rFonts w:hint="eastAsia" w:ascii="Times New Roman" w:hAnsi="Times New Roman"/>
                <w:color w:val="000000"/>
                <w:sz w:val="24"/>
                <w:szCs w:val="21"/>
                <w:highlight w:val="none"/>
              </w:rPr>
              <w:t>根据《建设项目环境影响报告表编制技术指南（生态影响类）</w:t>
            </w:r>
            <w:r>
              <w:rPr>
                <w:rFonts w:hint="eastAsia" w:ascii="Times New Roman" w:hAnsi="Times New Roman"/>
                <w:color w:val="000000"/>
                <w:sz w:val="24"/>
                <w:szCs w:val="21"/>
                <w:highlight w:val="none"/>
                <w:lang w:eastAsia="zh-CN"/>
              </w:rPr>
              <w:t>（试行）》</w:t>
            </w:r>
            <w:r>
              <w:rPr>
                <w:rFonts w:hint="eastAsia" w:ascii="Times New Roman" w:hAnsi="Times New Roman"/>
                <w:color w:val="000000"/>
                <w:sz w:val="24"/>
                <w:szCs w:val="21"/>
                <w:highlight w:val="none"/>
              </w:rPr>
              <w:t>，按照环境影响评价相关技术导则要求确定评价范围并识别环境保护目标。根据相关导则，环境保护目标识别如下表所示。根据现状调查，本项目占地区域涉及准噶尔盆地南缘土地沙化防控与防风固沙生态保护红线区，本项目占地范围内无饮用水水源保护区；无以医疗卫生、文化教育、科研、行政办公等为主要功能的区域，无文物保护单位，无具有特殊历史、文化、科学、民族意义的保护地等环境敏感。</w:t>
            </w:r>
          </w:p>
          <w:p w14:paraId="7875069D">
            <w:pPr>
              <w:keepNext/>
              <w:keepLines/>
              <w:adjustRightInd/>
              <w:snapToGrid/>
              <w:spacing w:line="360" w:lineRule="auto"/>
              <w:ind w:firstLine="480" w:firstLineChars="200"/>
              <w:jc w:val="both"/>
              <w:outlineLvl w:val="2"/>
              <w:rPr>
                <w:color w:val="000000"/>
                <w:highlight w:val="none"/>
              </w:rPr>
            </w:pPr>
            <w:r>
              <w:rPr>
                <w:rFonts w:hint="eastAsia"/>
                <w:color w:val="000000"/>
                <w:highlight w:val="none"/>
              </w:rPr>
              <w:t>本项目井场</w:t>
            </w:r>
            <w:r>
              <w:rPr>
                <w:color w:val="000000"/>
                <w:highlight w:val="none"/>
              </w:rPr>
              <w:t>施工严格控制施工活动范围，尽量减少临时占地，充分利用线路沿线现有道路，减少临时施工道路的修建。施工单位应严格执行设计和环境影响评价文件中提出的环境保护措施，遵守环保法规。施工、监理单位在施工期间应有专人负责环境管理工作，对施工中的每一道工序都应检查是否满足环保要求，并不定期地对各施工点位进行监督检查，以保证施工期环境保护措施的全面落实。</w:t>
            </w:r>
          </w:p>
          <w:p w14:paraId="0A3CDBCF">
            <w:pPr>
              <w:keepNext/>
              <w:keepLines/>
              <w:adjustRightInd/>
              <w:snapToGrid/>
              <w:spacing w:line="360" w:lineRule="auto"/>
              <w:ind w:firstLine="480" w:firstLineChars="200"/>
              <w:jc w:val="both"/>
              <w:outlineLvl w:val="2"/>
              <w:rPr>
                <w:color w:val="000000"/>
                <w:highlight w:val="none"/>
              </w:rPr>
            </w:pPr>
            <w:r>
              <w:rPr>
                <w:rFonts w:hint="eastAsia"/>
                <w:color w:val="000000"/>
                <w:highlight w:val="none"/>
              </w:rPr>
              <w:t>本项目施工为</w:t>
            </w:r>
            <w:r>
              <w:rPr>
                <w:color w:val="000000"/>
                <w:highlight w:val="none"/>
              </w:rPr>
              <w:t>临时占地</w:t>
            </w:r>
            <w:r>
              <w:rPr>
                <w:rFonts w:hint="eastAsia"/>
                <w:color w:val="000000"/>
                <w:highlight w:val="none"/>
              </w:rPr>
              <w:t>，对施工</w:t>
            </w:r>
            <w:r>
              <w:rPr>
                <w:color w:val="000000"/>
                <w:highlight w:val="none"/>
              </w:rPr>
              <w:t>区域在一定程度上会对区域植被产生影响，在完成施工后，采取植被恢复措施，能减少影响程度。</w:t>
            </w:r>
            <w:r>
              <w:rPr>
                <w:rFonts w:hint="eastAsia"/>
                <w:color w:val="000000"/>
                <w:highlight w:val="none"/>
              </w:rPr>
              <w:t>恢复</w:t>
            </w:r>
            <w:r>
              <w:rPr>
                <w:color w:val="000000"/>
                <w:highlight w:val="none"/>
              </w:rPr>
              <w:t>项目所在区域常见物种，部分土地利用性质的改变不会引起特有物种生境的消失。因此，线路占地不会导致途经区域的物种消失，也不会对物种种类、数量、植被面积等造成明显影响。</w:t>
            </w:r>
          </w:p>
          <w:p w14:paraId="501B8196">
            <w:pPr>
              <w:pStyle w:val="24"/>
              <w:jc w:val="both"/>
              <w:rPr>
                <w:rFonts w:hint="eastAsia" w:ascii="Times New Roman" w:hAnsi="Times New Roman"/>
                <w:color w:val="000000"/>
                <w:sz w:val="24"/>
                <w:szCs w:val="21"/>
                <w:highlight w:val="none"/>
              </w:rPr>
            </w:pPr>
            <w:r>
              <w:rPr>
                <w:rFonts w:ascii="Times New Roman" w:hAnsi="Times New Roman"/>
                <w:color w:val="000000"/>
                <w:sz w:val="24"/>
                <w:szCs w:val="24"/>
                <w:highlight w:val="none"/>
              </w:rPr>
              <w:t>因此，</w:t>
            </w:r>
            <w:r>
              <w:rPr>
                <w:rFonts w:hint="eastAsia" w:ascii="Times New Roman" w:hAnsi="Times New Roman"/>
                <w:color w:val="000000"/>
                <w:sz w:val="24"/>
                <w:szCs w:val="24"/>
                <w:highlight w:val="none"/>
              </w:rPr>
              <w:t>本项目</w:t>
            </w:r>
            <w:r>
              <w:rPr>
                <w:rFonts w:ascii="Times New Roman" w:hAnsi="Times New Roman"/>
                <w:color w:val="000000"/>
                <w:sz w:val="24"/>
                <w:szCs w:val="24"/>
                <w:highlight w:val="none"/>
              </w:rPr>
              <w:t>基本不会对</w:t>
            </w:r>
            <w:r>
              <w:rPr>
                <w:rFonts w:hint="eastAsia" w:ascii="Times New Roman" w:hAnsi="Times New Roman"/>
                <w:color w:val="000000"/>
                <w:sz w:val="24"/>
                <w:szCs w:val="24"/>
                <w:highlight w:val="none"/>
              </w:rPr>
              <w:t>玛纳斯县</w:t>
            </w:r>
            <w:r>
              <w:rPr>
                <w:rFonts w:ascii="Times New Roman" w:hAnsi="Times New Roman"/>
                <w:color w:val="000000"/>
                <w:sz w:val="24"/>
                <w:szCs w:val="24"/>
                <w:highlight w:val="none"/>
              </w:rPr>
              <w:t>土地沙化生态保护红线区造成影响。</w:t>
            </w:r>
          </w:p>
          <w:p w14:paraId="00B9ED75">
            <w:pPr>
              <w:pStyle w:val="4"/>
              <w:rPr>
                <w:color w:val="000000"/>
                <w:szCs w:val="24"/>
                <w:highlight w:val="none"/>
              </w:rPr>
            </w:pPr>
            <w:r>
              <w:rPr>
                <w:color w:val="000000"/>
                <w:szCs w:val="24"/>
                <w:highlight w:val="none"/>
              </w:rPr>
              <w:t>5.</w:t>
            </w:r>
            <w:r>
              <w:rPr>
                <w:rFonts w:hint="eastAsia"/>
                <w:color w:val="000000"/>
                <w:szCs w:val="24"/>
                <w:highlight w:val="none"/>
              </w:rPr>
              <w:t>3</w:t>
            </w:r>
            <w:r>
              <w:rPr>
                <w:color w:val="000000"/>
                <w:szCs w:val="24"/>
                <w:highlight w:val="none"/>
              </w:rPr>
              <w:t xml:space="preserve"> 生态环境影响因素及类型</w:t>
            </w:r>
          </w:p>
          <w:p w14:paraId="5170626F">
            <w:pPr>
              <w:pStyle w:val="24"/>
              <w:rPr>
                <w:color w:val="000000"/>
                <w:sz w:val="24"/>
                <w:szCs w:val="21"/>
                <w:highlight w:val="none"/>
              </w:rPr>
            </w:pPr>
            <w:r>
              <w:rPr>
                <w:color w:val="000000"/>
                <w:sz w:val="24"/>
                <w:szCs w:val="21"/>
                <w:highlight w:val="none"/>
              </w:rPr>
              <w:t>本项目井场、道路及施工营地施工过程中不可避免地会对周围生态环境造成不同程度的污染和破坏。</w:t>
            </w:r>
          </w:p>
          <w:p w14:paraId="27B860A0">
            <w:pPr>
              <w:pStyle w:val="24"/>
              <w:rPr>
                <w:color w:val="000000"/>
                <w:sz w:val="24"/>
                <w:szCs w:val="21"/>
                <w:highlight w:val="none"/>
              </w:rPr>
            </w:pPr>
            <w:bookmarkStart w:id="26" w:name="_Hlk44523827"/>
            <w:bookmarkEnd w:id="26"/>
            <w:r>
              <w:rPr>
                <w:color w:val="000000"/>
                <w:sz w:val="24"/>
                <w:szCs w:val="21"/>
                <w:highlight w:val="none"/>
              </w:rPr>
              <w:t>（1）生态环境影响类型</w:t>
            </w:r>
          </w:p>
          <w:p w14:paraId="2B33EE22">
            <w:pPr>
              <w:pStyle w:val="24"/>
              <w:rPr>
                <w:color w:val="000000"/>
                <w:sz w:val="24"/>
                <w:szCs w:val="21"/>
                <w:highlight w:val="none"/>
              </w:rPr>
            </w:pPr>
            <w:r>
              <w:rPr>
                <w:color w:val="000000"/>
                <w:sz w:val="24"/>
                <w:szCs w:val="21"/>
                <w:highlight w:val="none"/>
              </w:rPr>
              <w:t>1）占地对地表土壤、植被影响</w:t>
            </w:r>
          </w:p>
          <w:p w14:paraId="39F96428">
            <w:pPr>
              <w:pStyle w:val="24"/>
              <w:rPr>
                <w:color w:val="000000"/>
                <w:sz w:val="24"/>
                <w:szCs w:val="21"/>
                <w:highlight w:val="none"/>
              </w:rPr>
            </w:pPr>
            <w:bookmarkStart w:id="27" w:name="_Hlk67930575"/>
            <w:r>
              <w:rPr>
                <w:color w:val="000000"/>
                <w:sz w:val="24"/>
                <w:szCs w:val="21"/>
                <w:highlight w:val="none"/>
              </w:rPr>
              <w:t>井场、道路、施工营地施工占地范围内土壤翻出、植被清除，将破坏地表原有稳定砾石层，加剧风蚀，改变原有生态系统结构和功能，属暂时性影响。</w:t>
            </w:r>
            <w:bookmarkEnd w:id="27"/>
            <w:r>
              <w:rPr>
                <w:color w:val="000000"/>
                <w:sz w:val="24"/>
                <w:szCs w:val="21"/>
                <w:highlight w:val="none"/>
              </w:rPr>
              <w:t>施工完成后，临时性占地和影响将消除，使被破坏的生态环境逐步恢复。评价井和预探井封井前井场将会在原来连续分布的生态环境中形成生态斑点，产生地表温度、水分等物理异常，以及干扰地面植被和野生动物繁殖、迁移和栖息，长久影响生态环境的类型和结构。</w:t>
            </w:r>
          </w:p>
          <w:p w14:paraId="5B2DFB81">
            <w:pPr>
              <w:pStyle w:val="24"/>
              <w:rPr>
                <w:color w:val="000000"/>
                <w:sz w:val="24"/>
                <w:szCs w:val="21"/>
                <w:highlight w:val="none"/>
              </w:rPr>
            </w:pPr>
            <w:r>
              <w:rPr>
                <w:color w:val="000000"/>
                <w:sz w:val="24"/>
                <w:szCs w:val="21"/>
                <w:highlight w:val="none"/>
              </w:rPr>
              <w:t>2）污染物排放对生态环境的影响</w:t>
            </w:r>
          </w:p>
          <w:p w14:paraId="35317F29">
            <w:pPr>
              <w:pStyle w:val="24"/>
              <w:rPr>
                <w:rFonts w:ascii="Times New Roman" w:hAnsi="Times New Roman"/>
                <w:color w:val="000000"/>
                <w:sz w:val="24"/>
                <w:szCs w:val="21"/>
                <w:highlight w:val="none"/>
              </w:rPr>
            </w:pPr>
            <w:r>
              <w:rPr>
                <w:color w:val="000000"/>
                <w:sz w:val="24"/>
                <w:szCs w:val="21"/>
                <w:highlight w:val="none"/>
              </w:rPr>
              <w:t>本工程主要污染源集中在钻井工程，其污染源分布广、排放源强</w:t>
            </w:r>
            <w:r>
              <w:rPr>
                <w:rFonts w:ascii="Times New Roman" w:hAnsi="Times New Roman"/>
                <w:color w:val="000000"/>
                <w:sz w:val="24"/>
                <w:szCs w:val="21"/>
                <w:highlight w:val="none"/>
              </w:rPr>
              <w:t>小，污染因子简单，具有影响的全方位性、综合性的特点，其对生态环境影响的途径和程度取决于水环境、空气环境、声环境被污染的程度和固废的产生量及处置方式。</w:t>
            </w:r>
          </w:p>
          <w:p w14:paraId="46D44206">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（2）生态环境影响因素</w:t>
            </w:r>
          </w:p>
          <w:p w14:paraId="7D796C1B">
            <w:pPr>
              <w:pStyle w:val="24"/>
              <w:rPr>
                <w:rFonts w:ascii="Times New Roman" w:hAnsi="Times New Roman"/>
                <w:color w:val="000000"/>
                <w:sz w:val="24"/>
                <w:szCs w:val="21"/>
                <w:highlight w:val="none"/>
              </w:rPr>
            </w:pPr>
            <w:r>
              <w:rPr>
                <w:rFonts w:ascii="Times New Roman" w:hAnsi="Times New Roman"/>
                <w:color w:val="000000"/>
                <w:sz w:val="24"/>
                <w:szCs w:val="21"/>
                <w:highlight w:val="none"/>
              </w:rPr>
              <w:t>环境影响因素识别实际上是对主体的识别，包括：主要工程和辅助工程。对于本项目来讲，主要从钻井工程分析环境影响因素。</w:t>
            </w:r>
          </w:p>
          <w:p w14:paraId="3D8DAC7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部署评价井2口，井场的平整会产生土方的扰动；钻井过程中废物的排放、钻井机械的运输等施工活动均可对地表原生结构造成破坏，对生态环境带来不利影响。在井场选址过程中，应尽量选择动土作业量小的地段，场地平整所产生的土方随地势进行处置，尽可能填入低洼地带；采用钻井泥浆不落地技术；井场材料整齐堆放，严格管理，不得随地洒落，完井后全部回收外运；施工机械划定运行线路，不得随意开行便道，以减少对地表原生结构的破坏。各种措施的采用，可有效减轻钻井过程对生态环境的影响。</w:t>
            </w:r>
          </w:p>
          <w:p w14:paraId="4172DBD8">
            <w:pPr>
              <w:pStyle w:val="24"/>
              <w:rPr>
                <w:rFonts w:ascii="Times New Roman" w:hAnsi="Times New Roman"/>
                <w:color w:val="000000"/>
                <w:sz w:val="24"/>
                <w:szCs w:val="21"/>
                <w:highlight w:val="none"/>
              </w:rPr>
            </w:pPr>
            <w:r>
              <w:rPr>
                <w:rFonts w:ascii="Times New Roman" w:hAnsi="Times New Roman"/>
                <w:color w:val="000000"/>
                <w:sz w:val="24"/>
                <w:szCs w:val="21"/>
                <w:highlight w:val="none"/>
              </w:rPr>
              <w:t>生态环境影响因素，见表4-10。</w:t>
            </w:r>
          </w:p>
          <w:p w14:paraId="43A03FA7">
            <w:pPr>
              <w:pStyle w:val="19"/>
              <w:rPr>
                <w:color w:val="000000"/>
                <w:szCs w:val="21"/>
                <w:highlight w:val="none"/>
              </w:rPr>
            </w:pPr>
            <w:bookmarkStart w:id="28" w:name="_Hlk47519731"/>
            <w:bookmarkEnd w:id="28"/>
            <w:r>
              <w:rPr>
                <w:color w:val="000000"/>
                <w:szCs w:val="21"/>
                <w:highlight w:val="none"/>
              </w:rPr>
              <w:t>表4-1</w:t>
            </w:r>
            <w:r>
              <w:rPr>
                <w:rFonts w:hint="eastAsia"/>
                <w:color w:val="000000"/>
                <w:szCs w:val="21"/>
                <w:highlight w:val="none"/>
              </w:rPr>
              <w:t>0</w:t>
            </w:r>
            <w:r>
              <w:rPr>
                <w:color w:val="000000"/>
                <w:szCs w:val="21"/>
                <w:highlight w:val="none"/>
              </w:rPr>
              <w:t xml:space="preserve">  生态环境影响因素</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6545"/>
            </w:tblGrid>
            <w:tr w14:paraId="0D75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5" w:type="dxa"/>
                  <w:tcBorders>
                    <w:top w:val="single" w:color="auto" w:sz="4" w:space="0"/>
                    <w:left w:val="single" w:color="auto" w:sz="4" w:space="0"/>
                    <w:bottom w:val="single" w:color="auto" w:sz="4" w:space="0"/>
                    <w:right w:val="single" w:color="auto" w:sz="4" w:space="0"/>
                  </w:tcBorders>
                  <w:noWrap w:val="0"/>
                  <w:vAlign w:val="center"/>
                </w:tcPr>
                <w:p w14:paraId="2956F645">
                  <w:pPr>
                    <w:pStyle w:val="25"/>
                    <w:rPr>
                      <w:color w:val="000000"/>
                      <w:highlight w:val="none"/>
                    </w:rPr>
                  </w:pPr>
                  <w:r>
                    <w:rPr>
                      <w:color w:val="000000"/>
                      <w:highlight w:val="none"/>
                    </w:rPr>
                    <w:t>工程活动</w:t>
                  </w:r>
                </w:p>
              </w:tc>
              <w:tc>
                <w:tcPr>
                  <w:tcW w:w="6831" w:type="dxa"/>
                  <w:tcBorders>
                    <w:top w:val="single" w:color="auto" w:sz="4" w:space="0"/>
                    <w:left w:val="nil"/>
                    <w:bottom w:val="single" w:color="auto" w:sz="4" w:space="0"/>
                    <w:right w:val="single" w:color="auto" w:sz="4" w:space="0"/>
                  </w:tcBorders>
                  <w:noWrap w:val="0"/>
                  <w:vAlign w:val="center"/>
                </w:tcPr>
                <w:p w14:paraId="4A68B70F">
                  <w:pPr>
                    <w:pStyle w:val="25"/>
                    <w:rPr>
                      <w:color w:val="000000"/>
                      <w:highlight w:val="none"/>
                    </w:rPr>
                  </w:pPr>
                  <w:r>
                    <w:rPr>
                      <w:color w:val="000000"/>
                      <w:highlight w:val="none"/>
                    </w:rPr>
                    <w:t>主要影响</w:t>
                  </w:r>
                </w:p>
              </w:tc>
            </w:tr>
            <w:tr w14:paraId="294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noWrap w:val="0"/>
                  <w:vAlign w:val="center"/>
                </w:tcPr>
                <w:p w14:paraId="75DEAA9F">
                  <w:pPr>
                    <w:pStyle w:val="25"/>
                    <w:rPr>
                      <w:color w:val="000000"/>
                      <w:highlight w:val="none"/>
                    </w:rPr>
                  </w:pPr>
                  <w:r>
                    <w:rPr>
                      <w:color w:val="000000"/>
                      <w:highlight w:val="none"/>
                    </w:rPr>
                    <w:t>钻井工程</w:t>
                  </w:r>
                </w:p>
              </w:tc>
              <w:tc>
                <w:tcPr>
                  <w:tcW w:w="6831" w:type="dxa"/>
                  <w:tcBorders>
                    <w:top w:val="single" w:color="auto" w:sz="4" w:space="0"/>
                    <w:left w:val="nil"/>
                    <w:bottom w:val="single" w:color="auto" w:sz="4" w:space="0"/>
                    <w:right w:val="single" w:color="auto" w:sz="4" w:space="0"/>
                  </w:tcBorders>
                  <w:noWrap w:val="0"/>
                  <w:vAlign w:val="top"/>
                </w:tcPr>
                <w:p w14:paraId="254868C7">
                  <w:pPr>
                    <w:pStyle w:val="25"/>
                    <w:rPr>
                      <w:color w:val="000000"/>
                      <w:highlight w:val="none"/>
                    </w:rPr>
                  </w:pPr>
                  <w:r>
                    <w:rPr>
                      <w:color w:val="000000"/>
                      <w:highlight w:val="none"/>
                    </w:rPr>
                    <w:t>1、对井场及周围植被的破坏影响；</w:t>
                  </w:r>
                </w:p>
                <w:p w14:paraId="3DDF0322">
                  <w:pPr>
                    <w:pStyle w:val="25"/>
                    <w:rPr>
                      <w:color w:val="000000"/>
                      <w:highlight w:val="none"/>
                    </w:rPr>
                  </w:pPr>
                  <w:r>
                    <w:rPr>
                      <w:color w:val="000000"/>
                      <w:highlight w:val="none"/>
                    </w:rPr>
                    <w:t>2、对井场土壤产生的不利影响。</w:t>
                  </w:r>
                </w:p>
              </w:tc>
            </w:tr>
            <w:tr w14:paraId="569F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noWrap w:val="0"/>
                  <w:vAlign w:val="center"/>
                </w:tcPr>
                <w:p w14:paraId="1ADA3620">
                  <w:pPr>
                    <w:pStyle w:val="25"/>
                    <w:rPr>
                      <w:color w:val="000000"/>
                      <w:highlight w:val="none"/>
                    </w:rPr>
                  </w:pPr>
                  <w:r>
                    <w:rPr>
                      <w:color w:val="000000"/>
                      <w:highlight w:val="none"/>
                    </w:rPr>
                    <w:t>施工营地修建</w:t>
                  </w:r>
                </w:p>
              </w:tc>
              <w:tc>
                <w:tcPr>
                  <w:tcW w:w="6831" w:type="dxa"/>
                  <w:tcBorders>
                    <w:top w:val="single" w:color="auto" w:sz="4" w:space="0"/>
                    <w:left w:val="nil"/>
                    <w:bottom w:val="single" w:color="auto" w:sz="4" w:space="0"/>
                    <w:right w:val="single" w:color="auto" w:sz="4" w:space="0"/>
                  </w:tcBorders>
                  <w:noWrap w:val="0"/>
                  <w:vAlign w:val="top"/>
                </w:tcPr>
                <w:p w14:paraId="1E53BCF2">
                  <w:pPr>
                    <w:pStyle w:val="25"/>
                    <w:rPr>
                      <w:color w:val="000000"/>
                      <w:highlight w:val="none"/>
                    </w:rPr>
                  </w:pPr>
                  <w:r>
                    <w:rPr>
                      <w:color w:val="000000"/>
                      <w:highlight w:val="none"/>
                    </w:rPr>
                    <w:t>3、对施工营地及周围植被的破坏影响。</w:t>
                  </w:r>
                </w:p>
                <w:p w14:paraId="617BE8EE">
                  <w:pPr>
                    <w:pStyle w:val="25"/>
                    <w:rPr>
                      <w:color w:val="000000"/>
                      <w:highlight w:val="none"/>
                    </w:rPr>
                  </w:pPr>
                  <w:r>
                    <w:rPr>
                      <w:color w:val="000000"/>
                      <w:highlight w:val="none"/>
                    </w:rPr>
                    <w:t>4、对施工营地土壤产生的不利影响。</w:t>
                  </w:r>
                </w:p>
              </w:tc>
            </w:tr>
            <w:tr w14:paraId="42BB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noWrap w:val="0"/>
                  <w:vAlign w:val="center"/>
                </w:tcPr>
                <w:p w14:paraId="24A59B3E">
                  <w:pPr>
                    <w:pStyle w:val="25"/>
                    <w:rPr>
                      <w:color w:val="000000"/>
                      <w:highlight w:val="none"/>
                    </w:rPr>
                  </w:pPr>
                  <w:r>
                    <w:rPr>
                      <w:color w:val="000000"/>
                      <w:highlight w:val="none"/>
                    </w:rPr>
                    <w:t>井场道路修建</w:t>
                  </w:r>
                </w:p>
              </w:tc>
              <w:tc>
                <w:tcPr>
                  <w:tcW w:w="6831" w:type="dxa"/>
                  <w:tcBorders>
                    <w:top w:val="single" w:color="auto" w:sz="4" w:space="0"/>
                    <w:left w:val="nil"/>
                    <w:bottom w:val="single" w:color="auto" w:sz="4" w:space="0"/>
                    <w:right w:val="single" w:color="auto" w:sz="4" w:space="0"/>
                  </w:tcBorders>
                  <w:noWrap w:val="0"/>
                  <w:vAlign w:val="top"/>
                </w:tcPr>
                <w:p w14:paraId="298BCE9B">
                  <w:pPr>
                    <w:pStyle w:val="25"/>
                    <w:rPr>
                      <w:color w:val="000000"/>
                      <w:highlight w:val="none"/>
                    </w:rPr>
                  </w:pPr>
                  <w:r>
                    <w:rPr>
                      <w:color w:val="000000"/>
                      <w:highlight w:val="none"/>
                    </w:rPr>
                    <w:t>5、施工过程对道路两侧植被和土壤产生不利影响。</w:t>
                  </w:r>
                </w:p>
              </w:tc>
            </w:tr>
          </w:tbl>
          <w:p w14:paraId="068885C2">
            <w:pPr>
              <w:pStyle w:val="4"/>
              <w:spacing w:before="120" w:beforeLines="50"/>
              <w:rPr>
                <w:color w:val="000000"/>
                <w:szCs w:val="24"/>
                <w:highlight w:val="none"/>
              </w:rPr>
            </w:pPr>
            <w:r>
              <w:rPr>
                <w:color w:val="000000"/>
                <w:szCs w:val="24"/>
                <w:highlight w:val="none"/>
              </w:rPr>
              <w:t>5.</w:t>
            </w:r>
            <w:r>
              <w:rPr>
                <w:rFonts w:hint="eastAsia"/>
                <w:color w:val="000000"/>
                <w:szCs w:val="24"/>
                <w:highlight w:val="none"/>
              </w:rPr>
              <w:t>4</w:t>
            </w:r>
            <w:r>
              <w:rPr>
                <w:color w:val="000000"/>
                <w:szCs w:val="24"/>
                <w:highlight w:val="none"/>
              </w:rPr>
              <w:t xml:space="preserve"> 对植被的影响分析</w:t>
            </w:r>
          </w:p>
          <w:p w14:paraId="0927DB1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本项目钻井工程是造成植被破坏的主要原因。</w:t>
            </w:r>
          </w:p>
          <w:p w14:paraId="1561DAD2">
            <w:pPr>
              <w:pStyle w:val="24"/>
              <w:rPr>
                <w:rFonts w:ascii="Times New Roman" w:hAnsi="Times New Roman"/>
                <w:color w:val="000000"/>
                <w:sz w:val="24"/>
                <w:szCs w:val="21"/>
                <w:highlight w:val="none"/>
              </w:rPr>
            </w:pPr>
            <w:r>
              <w:rPr>
                <w:rFonts w:ascii="Times New Roman" w:hAnsi="Times New Roman"/>
                <w:color w:val="000000"/>
                <w:sz w:val="24"/>
                <w:szCs w:val="21"/>
                <w:highlight w:val="none"/>
              </w:rPr>
              <w:t>（1）工程占地对植被的影响</w:t>
            </w:r>
          </w:p>
          <w:p w14:paraId="7DE9B795">
            <w:pPr>
              <w:pStyle w:val="24"/>
              <w:jc w:val="both"/>
              <w:rPr>
                <w:rFonts w:ascii="Times New Roman" w:hAnsi="Times New Roman"/>
                <w:color w:val="000000"/>
                <w:sz w:val="24"/>
                <w:szCs w:val="21"/>
                <w:highlight w:val="none"/>
              </w:rPr>
            </w:pPr>
            <w:bookmarkStart w:id="29" w:name="_Hlk43446974"/>
            <w:bookmarkEnd w:id="29"/>
            <w:r>
              <w:rPr>
                <w:rFonts w:ascii="Times New Roman" w:hAnsi="Times New Roman"/>
                <w:color w:val="000000"/>
                <w:sz w:val="24"/>
                <w:szCs w:val="21"/>
                <w:highlight w:val="none"/>
              </w:rPr>
              <w:t>钻井过程中的占地包括：井场、入场道路及施工营地占地，对植被的影响主要表现在施工期，主要影响形式是对土地的占用以及施工阶段清场过程中对地表植被的清理及施工过程中的辗压。</w:t>
            </w:r>
          </w:p>
          <w:p w14:paraId="25A3F2C1">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在井场、道路及施工营地施工过程中土地被扰动，地表植被基本被毁。施工结束后重新回到原来的自然状态，但地表植被及地表结构却发生了变化。地表保护层被破坏后，其稳定性下降，防止水土流失的能力也随之下降。本项目临时占地面积为113337m</w:t>
            </w:r>
            <w:r>
              <w:rPr>
                <w:rFonts w:ascii="Times New Roman" w:hAnsi="Times New Roman"/>
                <w:color w:val="000000"/>
                <w:sz w:val="24"/>
                <w:szCs w:val="21"/>
                <w:highlight w:val="none"/>
                <w:vertAlign w:val="superscript"/>
              </w:rPr>
              <w:t>2</w:t>
            </w:r>
            <w:r>
              <w:rPr>
                <w:rFonts w:ascii="Times New Roman" w:hAnsi="Times New Roman"/>
                <w:color w:val="000000"/>
                <w:sz w:val="24"/>
                <w:szCs w:val="21"/>
                <w:highlight w:val="none"/>
              </w:rPr>
              <w:t>，根据《全国生态现状调查与评估（西北卷）》（国家环境保护总局编著，北京：中国环境科学出版社，2006年），准噶尔盆地沙质荒漠地区植被每年每公顷产量750～1200kg，项目区植被覆盖度低，按照750kg/hm</w:t>
            </w:r>
            <w:r>
              <w:rPr>
                <w:rFonts w:ascii="Times New Roman" w:hAnsi="Times New Roman"/>
                <w:color w:val="000000"/>
                <w:sz w:val="24"/>
                <w:szCs w:val="21"/>
                <w:highlight w:val="none"/>
                <w:vertAlign w:val="superscript"/>
              </w:rPr>
              <w:t>2</w:t>
            </w:r>
            <w:r>
              <w:rPr>
                <w:rFonts w:ascii="Times New Roman" w:hAnsi="Times New Roman"/>
                <w:color w:val="000000"/>
                <w:sz w:val="24"/>
                <w:szCs w:val="21"/>
                <w:highlight w:val="none"/>
              </w:rPr>
              <w:t>计算，在3～5年中，生物损失量约为5.86t/a。</w:t>
            </w:r>
          </w:p>
          <w:p w14:paraId="31155FD0">
            <w:pPr>
              <w:widowControl/>
              <w:spacing w:line="360" w:lineRule="auto"/>
              <w:ind w:firstLine="480" w:firstLineChars="200"/>
              <w:jc w:val="both"/>
              <w:rPr>
                <w:color w:val="000000"/>
                <w:highlight w:val="none"/>
              </w:rPr>
            </w:pPr>
            <w:r>
              <w:rPr>
                <w:color w:val="000000"/>
                <w:kern w:val="0"/>
                <w:highlight w:val="none"/>
                <w:lang w:bidi="ar"/>
              </w:rPr>
              <w:t>经估算，项目临时占地范围内分布梭梭</w:t>
            </w:r>
            <w:r>
              <w:rPr>
                <w:rFonts w:hint="eastAsia"/>
                <w:color w:val="000000"/>
                <w:kern w:val="0"/>
                <w:highlight w:val="none"/>
                <w:lang w:bidi="ar"/>
              </w:rPr>
              <w:t>、白梭梭</w:t>
            </w:r>
            <w:r>
              <w:rPr>
                <w:color w:val="000000"/>
                <w:kern w:val="0"/>
                <w:highlight w:val="none"/>
                <w:lang w:bidi="ar"/>
              </w:rPr>
              <w:t>约</w:t>
            </w:r>
            <w:r>
              <w:rPr>
                <w:rFonts w:hint="eastAsia"/>
                <w:color w:val="000000"/>
                <w:kern w:val="0"/>
                <w:highlight w:val="none"/>
                <w:lang w:bidi="ar"/>
              </w:rPr>
              <w:t>100</w:t>
            </w:r>
            <w:r>
              <w:rPr>
                <w:color w:val="000000"/>
                <w:kern w:val="0"/>
                <w:highlight w:val="none"/>
                <w:lang w:bidi="ar"/>
              </w:rPr>
              <w:t>棵，需按照《新疆维吾尔自治区野生保护植物管理条例》《建设项目使用林地审核审批管理办法》（国家林业局令第35条）的规定，依法办理相关手续，</w:t>
            </w:r>
            <w:r>
              <w:rPr>
                <w:color w:val="000000"/>
                <w:highlight w:val="none"/>
              </w:rPr>
              <w:t>对占用的梭梭进行移栽</w:t>
            </w:r>
            <w:r>
              <w:rPr>
                <w:rFonts w:hint="eastAsia"/>
                <w:color w:val="000000"/>
                <w:highlight w:val="none"/>
              </w:rPr>
              <w:t>，梭梭不仅能生在干旱荒漠地区水位较高的风成沙丘、丘间沙地和淤积、湖积龟裂型粘土，以及中、轻度盐渍土上，也能生长在基质极端粗糙、水分异常缺乏的洪积石质戈壁和剥蚀石质山坡及山谷，而且它</w:t>
            </w:r>
            <w:r>
              <w:rPr>
                <w:color w:val="000000"/>
                <w:highlight w:val="none"/>
              </w:rPr>
              <w:t>具有超强的适应干旱能力，抗盐性能强，</w:t>
            </w:r>
            <w:r>
              <w:rPr>
                <w:rFonts w:hint="eastAsia"/>
                <w:color w:val="000000"/>
                <w:highlight w:val="none"/>
              </w:rPr>
              <w:t>移栽成活率可达80%。因此，本项目可采取移栽方式减少对保护植物梭梭的影响。</w:t>
            </w:r>
          </w:p>
          <w:p w14:paraId="768C8FD1">
            <w:pPr>
              <w:widowControl/>
              <w:spacing w:line="360" w:lineRule="auto"/>
              <w:ind w:firstLine="480" w:firstLineChars="200"/>
              <w:jc w:val="both"/>
              <w:rPr>
                <w:rFonts w:hint="eastAsia"/>
                <w:color w:val="000000"/>
                <w:highlight w:val="none"/>
              </w:rPr>
            </w:pPr>
            <w:r>
              <w:rPr>
                <w:color w:val="000000"/>
                <w:kern w:val="0"/>
                <w:highlight w:val="none"/>
                <w:lang w:bidi="ar"/>
              </w:rPr>
              <w:t>同时</w:t>
            </w:r>
            <w:r>
              <w:rPr>
                <w:rFonts w:hint="eastAsia"/>
                <w:color w:val="000000"/>
                <w:kern w:val="0"/>
                <w:highlight w:val="none"/>
                <w:lang w:bidi="ar"/>
              </w:rPr>
              <w:t>应</w:t>
            </w:r>
            <w:r>
              <w:rPr>
                <w:color w:val="000000"/>
                <w:kern w:val="0"/>
                <w:highlight w:val="none"/>
                <w:lang w:bidi="ar"/>
              </w:rPr>
              <w:t>足额缴纳补偿费、地上附着物和林木补偿费等费用，并要求施工及人员活动应尽量避免破坏梭梭等保护植物。在施工结束后，对临时占地进行平整，恢复原有地貌，必要时根据地区的气候特点，选择耐寒、耐旱、抗盐碱沙生植物种进行植被恢复，如当地适生植物梭梭等。</w:t>
            </w:r>
          </w:p>
          <w:p w14:paraId="0928F2EC">
            <w:pPr>
              <w:pStyle w:val="24"/>
              <w:jc w:val="both"/>
              <w:rPr>
                <w:color w:val="000000"/>
                <w:sz w:val="24"/>
                <w:szCs w:val="21"/>
                <w:highlight w:val="none"/>
              </w:rPr>
            </w:pPr>
            <w:bookmarkStart w:id="30" w:name="_Hlk43447011"/>
            <w:bookmarkEnd w:id="30"/>
            <w:r>
              <w:rPr>
                <w:color w:val="000000"/>
                <w:sz w:val="24"/>
                <w:szCs w:val="21"/>
                <w:highlight w:val="none"/>
              </w:rPr>
              <w:t>本项目施工结束后如发现该井不具开发价值或目的层不含油，则进行封井，恢复植被。占用的天然牧草地植被覆盖度较低，随着施工期的结束，被开挖部分将覆土回填，可以减少临时占地对植被的破坏程度。要求井场、入场道路等临时占地在选址过程中，应尽量选择动土作业量小的地段，场地平整所产生的土方随地势进行处置，尽可能填入低洼地带。施工结束即对占地进行植被恢复；运输车辆沿道路行驶，禁止乱压乱碾，只要加强施工管理，项目实施不会对项目区的生态环境造成太大影响。</w:t>
            </w:r>
          </w:p>
          <w:p w14:paraId="08F525BD">
            <w:pPr>
              <w:pStyle w:val="24"/>
              <w:rPr>
                <w:color w:val="000000"/>
                <w:sz w:val="24"/>
                <w:szCs w:val="21"/>
                <w:highlight w:val="none"/>
              </w:rPr>
            </w:pPr>
            <w:bookmarkStart w:id="31" w:name="_Hlk48504594"/>
            <w:bookmarkEnd w:id="31"/>
            <w:r>
              <w:rPr>
                <w:color w:val="000000"/>
                <w:sz w:val="24"/>
                <w:szCs w:val="21"/>
                <w:highlight w:val="none"/>
              </w:rPr>
              <w:t>（2）道路修建对植被的影响</w:t>
            </w:r>
          </w:p>
          <w:p w14:paraId="63CDE147">
            <w:pPr>
              <w:pStyle w:val="24"/>
              <w:jc w:val="both"/>
              <w:rPr>
                <w:color w:val="000000"/>
                <w:sz w:val="24"/>
                <w:szCs w:val="21"/>
                <w:highlight w:val="none"/>
              </w:rPr>
            </w:pPr>
            <w:r>
              <w:rPr>
                <w:color w:val="000000"/>
                <w:sz w:val="24"/>
                <w:szCs w:val="21"/>
                <w:highlight w:val="none"/>
              </w:rPr>
              <w:t>本项目建设过程中需修建油区简易道路。在道路修建过程中，除了路基占用原有土地外，主要影响的是道路两侧的植被。施工完成后，由于区域内有冬季降雪，在融雪季节道路两侧有积水产生，有利于道路两侧植被的自然恢复。</w:t>
            </w:r>
          </w:p>
          <w:p w14:paraId="147A8C14">
            <w:pPr>
              <w:pStyle w:val="24"/>
              <w:rPr>
                <w:color w:val="000000"/>
                <w:sz w:val="24"/>
                <w:szCs w:val="21"/>
                <w:highlight w:val="none"/>
              </w:rPr>
            </w:pPr>
            <w:r>
              <w:rPr>
                <w:color w:val="000000"/>
                <w:sz w:val="24"/>
                <w:szCs w:val="21"/>
                <w:highlight w:val="none"/>
              </w:rPr>
              <w:t>（3）人类活动对植被的影响</w:t>
            </w:r>
          </w:p>
          <w:p w14:paraId="16A51F84">
            <w:pPr>
              <w:pStyle w:val="24"/>
              <w:rPr>
                <w:color w:val="000000"/>
                <w:sz w:val="24"/>
                <w:szCs w:val="21"/>
                <w:highlight w:val="none"/>
              </w:rPr>
            </w:pPr>
            <w:r>
              <w:rPr>
                <w:color w:val="000000"/>
                <w:sz w:val="24"/>
                <w:szCs w:val="21"/>
                <w:highlight w:val="none"/>
              </w:rPr>
              <w:t>项目施工过程对植被的影响主要表现在人类和机械对植物的碾压和砍伐，使原生植被生境发生较大变化。区域单位面积上人口密度的增加将导致工程开发范围内及边缘区域地表土壤被践踏、自然植被减少。但评价区植被分布不均匀，覆盖度较低，因此，人类活动对该区域天然植被产生的不良影响非常有限。</w:t>
            </w:r>
          </w:p>
          <w:p w14:paraId="773D7AB8">
            <w:pPr>
              <w:pStyle w:val="24"/>
              <w:rPr>
                <w:color w:val="000000"/>
                <w:sz w:val="24"/>
                <w:szCs w:val="21"/>
                <w:highlight w:val="none"/>
              </w:rPr>
            </w:pPr>
            <w:r>
              <w:rPr>
                <w:color w:val="000000"/>
                <w:sz w:val="24"/>
                <w:szCs w:val="21"/>
                <w:highlight w:val="none"/>
              </w:rPr>
              <w:t>（4）突发性事故对植被的影响</w:t>
            </w:r>
          </w:p>
          <w:p w14:paraId="31AEA70A">
            <w:pPr>
              <w:pStyle w:val="24"/>
              <w:rPr>
                <w:color w:val="000000"/>
                <w:sz w:val="24"/>
                <w:szCs w:val="21"/>
                <w:highlight w:val="none"/>
              </w:rPr>
            </w:pPr>
            <w:r>
              <w:rPr>
                <w:color w:val="000000"/>
                <w:sz w:val="24"/>
                <w:szCs w:val="21"/>
                <w:highlight w:val="none"/>
              </w:rPr>
              <w:t>项目施工过程中对生态环境造成严重破坏的主要事故类型为原油和含油污水泄漏，其产生的污染物排放均会对评价范围内的植被造成不同程度的影响，影响程度与发生事故时泄漏的油量及是否发生火灾有很大关系。植被体上附着的原油越多，植物死亡率就越高，而且草本植被比乔、灌木更敏感，更易受到致命的影响。如果发生火灾，则植被的地上部分会完全被毁，但如果土壤环境未被破坏，第二年植被将会重新生长。</w:t>
            </w:r>
          </w:p>
          <w:p w14:paraId="6BBA3865">
            <w:pPr>
              <w:pStyle w:val="24"/>
              <w:rPr>
                <w:color w:val="000000"/>
                <w:highlight w:val="none"/>
              </w:rPr>
            </w:pPr>
            <w:r>
              <w:rPr>
                <w:color w:val="000000"/>
                <w:sz w:val="24"/>
                <w:szCs w:val="21"/>
                <w:highlight w:val="none"/>
              </w:rPr>
              <w:t>交通事故通常发生在道路两旁，发生的概率及影响范围均极小，仅对路边很小范围的植被产生严重污染。相对于整个开发区域而言，事故均发生于一个较小的范围内，且可通过对原油的及时清理而减轻其影响，不会对整个区域植被产生明显不利影响。</w:t>
            </w:r>
          </w:p>
          <w:p w14:paraId="41421173">
            <w:pPr>
              <w:pStyle w:val="4"/>
              <w:rPr>
                <w:color w:val="000000"/>
                <w:szCs w:val="24"/>
                <w:highlight w:val="none"/>
              </w:rPr>
            </w:pPr>
            <w:r>
              <w:rPr>
                <w:color w:val="000000"/>
                <w:szCs w:val="24"/>
                <w:highlight w:val="none"/>
              </w:rPr>
              <w:t>5.</w:t>
            </w:r>
            <w:r>
              <w:rPr>
                <w:rFonts w:hint="eastAsia"/>
                <w:color w:val="000000"/>
                <w:szCs w:val="24"/>
                <w:highlight w:val="none"/>
              </w:rPr>
              <w:t>5</w:t>
            </w:r>
            <w:r>
              <w:rPr>
                <w:color w:val="000000"/>
                <w:szCs w:val="24"/>
                <w:highlight w:val="none"/>
              </w:rPr>
              <w:t xml:space="preserve"> 对野生动物的影响分析</w:t>
            </w:r>
          </w:p>
          <w:p w14:paraId="020A6C68">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本项目施工对野生动物的生存环境、分布范围和种群数量的影响主要分为：直接影响和间接影响两个方面。直接影响主要表现为建设项目的占地，使野生动物的原始生存环境被破坏或改变；间接影响主要表现为由于植被的减少或污染破坏而引起野生动物食物来源的减少。</w:t>
            </w:r>
          </w:p>
          <w:p w14:paraId="528143A3">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（1）施工期对野生动物的影响</w:t>
            </w:r>
          </w:p>
          <w:p w14:paraId="7C19D863">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井场建设、钻井过程中，由于机械设备的轰鸣惊扰，人群活动的增加，鸟类和哺乳类动物将远离施工现场，使区域内单位面积上的动物种群数量下降，但此类影响对爬行类和小型啮齿类动物的干扰不大。一些伴人型鸟类如麻雀、乌鸦等，一般在离作业区30m以外活动，待无噪声干扰时较常见于人类生活区附近。因此，随着钻井、试油各个过程的变化，该区域内野生动物的种类和数量将发生一定的变化，原有的戈壁荒漠型鸟类和哺乳类将逐渐避开人类活动的干扰迁至其它区域，而常见的伴人型野生动物种类有所增加。施工完成后，施工人员撤离作业区域，区域内的人为活动逐步减少，野生动物将逐步回归原有生境。</w:t>
            </w:r>
          </w:p>
          <w:p w14:paraId="1005CC1D">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（2）事故对野生动物的影响</w:t>
            </w:r>
          </w:p>
          <w:p w14:paraId="120196A9">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发生事故时常常导致原油及天然气的泄出和渗漏，从而可能影响工程区域内的野生脊椎动物的生存环境。事故类型的不同，对野生动物的影响范围和程度也有所不同。当发生井喷事故时，井场周围200m～500m范围以内的各种小型脊椎动物会因躲避不及造成死亡，局部区域可能影响到的只是一些啮齿类动物、爬行动物和小型鸟类，对大中型动物，特别是对保护动物不会造成影响。如果发生火灾事故，由于生态环境及空气环境的变化，短时间内会使事故周围动物的分布数量下降。</w:t>
            </w:r>
          </w:p>
          <w:p w14:paraId="007FAE12">
            <w:pPr>
              <w:pStyle w:val="24"/>
              <w:rPr>
                <w:rFonts w:ascii="Times New Roman" w:hAnsi="Times New Roman"/>
                <w:color w:val="000000"/>
                <w:sz w:val="24"/>
                <w:szCs w:val="24"/>
                <w:highlight w:val="none"/>
              </w:rPr>
            </w:pPr>
            <w:r>
              <w:rPr>
                <w:rFonts w:ascii="Times New Roman" w:hAnsi="Times New Roman"/>
                <w:color w:val="000000"/>
                <w:sz w:val="24"/>
                <w:szCs w:val="24"/>
                <w:highlight w:val="none"/>
              </w:rPr>
              <w:t>（3）对野生动物生境的影响</w:t>
            </w:r>
          </w:p>
          <w:p w14:paraId="1B94E83B">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区域内各种野生动物经过长期的适应已形成较稳定的取食、饮水、栖息活动范围和分布，施工占地将使原有野生动物的分布、栖息活动范围受到压缩。人为活动的干扰使得区域上空活动的鸟类相对于未干扰时有所减少，而使得局部地段二、三级营养结构中的爬行类（啮齿类）和昆虫类数量有所增加或活动频度增大。这些占地影响对地面活动的野生动物种类产生隔离作用，使原分布区内的种类向外扩散，而钻井作业结束后，随着人类活动和占地的减少，原有生境将逐步恢复，野生动物对新环境适应后其活动和分布范围亦将恢复。</w:t>
            </w:r>
          </w:p>
          <w:p w14:paraId="25DFC8EB">
            <w:pPr>
              <w:pStyle w:val="4"/>
              <w:rPr>
                <w:color w:val="000000"/>
                <w:szCs w:val="24"/>
                <w:highlight w:val="none"/>
              </w:rPr>
            </w:pPr>
            <w:bookmarkStart w:id="32" w:name="_Hlk48510044"/>
            <w:bookmarkEnd w:id="32"/>
            <w:r>
              <w:rPr>
                <w:color w:val="000000"/>
                <w:szCs w:val="24"/>
                <w:highlight w:val="none"/>
              </w:rPr>
              <w:t>5.</w:t>
            </w:r>
            <w:r>
              <w:rPr>
                <w:rFonts w:hint="eastAsia"/>
                <w:color w:val="000000"/>
                <w:szCs w:val="24"/>
                <w:highlight w:val="none"/>
              </w:rPr>
              <w:t>6</w:t>
            </w:r>
            <w:r>
              <w:rPr>
                <w:color w:val="000000"/>
                <w:szCs w:val="24"/>
                <w:highlight w:val="none"/>
              </w:rPr>
              <w:t xml:space="preserve"> 对土壤的影响分析</w:t>
            </w:r>
          </w:p>
          <w:p w14:paraId="3A2FE45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本项目属于“矿产资源地质勘查（含勘探活动和油气资源勘探）”，根据《环境影响评价技术导则土壤环境（试行）》（HJ 964-2018）附录A，本项目为Ⅳ类项目，可不开展土壤环境影响评价，本次环评仅做简单分析。</w:t>
            </w:r>
          </w:p>
          <w:p w14:paraId="75BD6386">
            <w:pPr>
              <w:pStyle w:val="24"/>
              <w:rPr>
                <w:rFonts w:ascii="Times New Roman" w:hAnsi="Times New Roman"/>
                <w:color w:val="000000"/>
                <w:sz w:val="24"/>
                <w:szCs w:val="21"/>
                <w:highlight w:val="none"/>
              </w:rPr>
            </w:pPr>
            <w:r>
              <w:rPr>
                <w:rFonts w:ascii="Times New Roman" w:hAnsi="Times New Roman"/>
                <w:color w:val="000000"/>
                <w:sz w:val="24"/>
                <w:szCs w:val="21"/>
                <w:highlight w:val="none"/>
              </w:rPr>
              <w:t>（1）工程占地影响分析</w:t>
            </w:r>
          </w:p>
          <w:p w14:paraId="30B11330">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本项目占地主要为井场、施工营地及临时道路，施工期扰动总面积达78142m</w:t>
            </w:r>
            <w:r>
              <w:rPr>
                <w:rFonts w:ascii="Times New Roman" w:hAnsi="Times New Roman"/>
                <w:color w:val="000000"/>
                <w:sz w:val="24"/>
                <w:szCs w:val="21"/>
                <w:highlight w:val="none"/>
                <w:vertAlign w:val="superscript"/>
              </w:rPr>
              <w:t>2</w:t>
            </w:r>
            <w:r>
              <w:rPr>
                <w:rFonts w:ascii="Times New Roman" w:hAnsi="Times New Roman"/>
                <w:color w:val="000000"/>
                <w:sz w:val="24"/>
                <w:szCs w:val="21"/>
                <w:highlight w:val="none"/>
              </w:rPr>
              <w:t>，均为临时占地。最主要的危害是破坏了地表结构，增加了土壤风蚀量和沙漠化的可能性。</w:t>
            </w:r>
          </w:p>
          <w:p w14:paraId="2C9FD3CF">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在进行井场施工时，将对作业范围内的土壤表层进行干扰和破坏，土壤表层结构（包括：紧实度）、肥力将受到影响，土壤易受到侵蚀。</w:t>
            </w:r>
          </w:p>
          <w:p w14:paraId="4CD28A13">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当施工结束后，人为活动的范围缩小，将使受到破坏的地表逐渐得到恢复，风蚀和荒漠化影响将随着天然植被的恢复逐渐得到控制。</w:t>
            </w:r>
          </w:p>
          <w:p w14:paraId="41AAC450">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（2）固体废物对土壤环境的影响</w:t>
            </w:r>
          </w:p>
          <w:p w14:paraId="634C3C0B">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在钻井过程中会产生钻井岩屑，本项目采用泥浆不落地技术，可以有效减缓钻井岩屑对土壤的影响范围和程度。</w:t>
            </w:r>
          </w:p>
          <w:p w14:paraId="35F0DB17">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（3）事故状态下对土壤环境的影响</w:t>
            </w:r>
          </w:p>
          <w:p w14:paraId="14B9CC57">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井喷是油田开发过程中的意外事故，钻井和试油作业中均可能发生井喷。一次井喷可抛洒大量的天然气和原油，其中的轻组分挥发，而重组分油对土壤有一定的影响。井喷会造成大量原油覆盖在土壤表层，使土壤表层的土壤透气性下降，理化性状发生变化，对影响范围内的土壤表层造成严重的污染。</w:t>
            </w:r>
          </w:p>
          <w:p w14:paraId="26D23A3A">
            <w:pPr>
              <w:pStyle w:val="24"/>
              <w:jc w:val="both"/>
              <w:rPr>
                <w:color w:val="000000"/>
                <w:highlight w:val="none"/>
              </w:rPr>
            </w:pPr>
            <w:r>
              <w:rPr>
                <w:rFonts w:ascii="Times New Roman" w:hAnsi="Times New Roman"/>
                <w:color w:val="000000"/>
                <w:sz w:val="24"/>
                <w:szCs w:val="21"/>
                <w:highlight w:val="none"/>
              </w:rPr>
              <w:t>井喷持续时间越长，对土壤造成的污染越严重。但根据已有的相关资料，井喷事故主要影响事故区域内的表层土壤。</w:t>
            </w:r>
          </w:p>
          <w:p w14:paraId="0DD482C1">
            <w:pPr>
              <w:pStyle w:val="4"/>
              <w:rPr>
                <w:color w:val="000000"/>
                <w:szCs w:val="24"/>
                <w:highlight w:val="none"/>
              </w:rPr>
            </w:pPr>
            <w:r>
              <w:rPr>
                <w:color w:val="000000"/>
                <w:szCs w:val="24"/>
                <w:highlight w:val="none"/>
              </w:rPr>
              <w:t>5.</w:t>
            </w:r>
            <w:r>
              <w:rPr>
                <w:rFonts w:hint="eastAsia"/>
                <w:color w:val="000000"/>
                <w:szCs w:val="24"/>
                <w:highlight w:val="none"/>
              </w:rPr>
              <w:t xml:space="preserve">7 </w:t>
            </w:r>
            <w:r>
              <w:rPr>
                <w:color w:val="000000"/>
                <w:szCs w:val="24"/>
                <w:highlight w:val="none"/>
              </w:rPr>
              <w:t>景观影响分析</w:t>
            </w:r>
          </w:p>
          <w:p w14:paraId="65B69BE9">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景观是指地表空间相对稳定的景物或景象，是一个空间高度异质性的区域，由相互作用的景观元素或生态系统，按一定的空间组合规律及相似的形式重复出现而形成。</w:t>
            </w:r>
          </w:p>
          <w:p w14:paraId="6602418A">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项目区周边属于景观生态等级自然体系和人工体系的复合体，它是由荒漠生态系统、道路、油田设施有规律地相间组成。拟建工程占地面积小，不会使景观发生太大变化，对景观生态影响较小。</w:t>
            </w:r>
          </w:p>
          <w:p w14:paraId="4A33BAC2">
            <w:pPr>
              <w:pStyle w:val="4"/>
              <w:rPr>
                <w:color w:val="000000"/>
                <w:szCs w:val="24"/>
                <w:highlight w:val="none"/>
              </w:rPr>
            </w:pPr>
            <w:r>
              <w:rPr>
                <w:color w:val="000000"/>
                <w:szCs w:val="24"/>
                <w:highlight w:val="none"/>
              </w:rPr>
              <w:t>5.</w:t>
            </w:r>
            <w:r>
              <w:rPr>
                <w:rFonts w:hint="eastAsia"/>
                <w:color w:val="000000"/>
                <w:szCs w:val="24"/>
                <w:highlight w:val="none"/>
              </w:rPr>
              <w:t xml:space="preserve">8 </w:t>
            </w:r>
            <w:r>
              <w:rPr>
                <w:color w:val="000000"/>
                <w:szCs w:val="24"/>
                <w:highlight w:val="none"/>
              </w:rPr>
              <w:t>水土流失影响分析</w:t>
            </w:r>
          </w:p>
          <w:p w14:paraId="4708CA7D">
            <w:pPr>
              <w:widowControl/>
              <w:spacing w:line="360" w:lineRule="auto"/>
              <w:ind w:firstLine="480" w:firstLineChars="200"/>
              <w:jc w:val="left"/>
              <w:rPr>
                <w:color w:val="000000"/>
                <w:highlight w:val="none"/>
              </w:rPr>
            </w:pPr>
            <w:r>
              <w:rPr>
                <w:color w:val="000000"/>
                <w:kern w:val="0"/>
                <w:highlight w:val="none"/>
                <w:lang w:bidi="ar"/>
              </w:rPr>
              <w:t>本项目建设将破坏地表原有稳定结构，如砾石层等，对地表造成扰动，增大风蚀量。施工作业范围内的土壤地表表层遭到破坏，下层的粉细物质暴露在地层表面，在风力的作用下，风蚀量会明显加大，这种影响在短时间内不会完全恢复。但随着时间的推移，风蚀量会随着地表新保护层的逐渐形成而减弱。项目在建设过程中，应避免在大风天气作业，土石方开挖时应分层开挖、分层堆放，堆放的土方应压实并采用苫布遮盖，避免风蚀从而造成水土流失。</w:t>
            </w:r>
          </w:p>
          <w:p w14:paraId="2D42B49A">
            <w:pPr>
              <w:pStyle w:val="4"/>
              <w:rPr>
                <w:color w:val="000000"/>
                <w:szCs w:val="24"/>
                <w:highlight w:val="none"/>
              </w:rPr>
            </w:pPr>
            <w:r>
              <w:rPr>
                <w:color w:val="000000"/>
                <w:szCs w:val="24"/>
                <w:highlight w:val="none"/>
              </w:rPr>
              <w:t>6 环境风险分析</w:t>
            </w:r>
          </w:p>
          <w:p w14:paraId="4F65E844">
            <w:pPr>
              <w:pStyle w:val="24"/>
              <w:rPr>
                <w:color w:val="000000"/>
                <w:sz w:val="24"/>
                <w:szCs w:val="21"/>
                <w:highlight w:val="none"/>
              </w:rPr>
            </w:pPr>
            <w:r>
              <w:rPr>
                <w:color w:val="000000"/>
                <w:sz w:val="24"/>
                <w:szCs w:val="21"/>
                <w:highlight w:val="none"/>
              </w:rPr>
              <w:t>环境风险评价应以突发性事故导致的危险物质环境急性损害防控为目标，对建设项目的环境风险进行分析、预测和评估，提出环境风险预防、控制、减缓措施，明确环境风险监控及应急处置要求，为建设项目环境风险防控提供科学依据。</w:t>
            </w:r>
          </w:p>
          <w:p w14:paraId="3CD1C29B">
            <w:pPr>
              <w:pStyle w:val="3"/>
              <w:rPr>
                <w:color w:val="000000"/>
                <w:szCs w:val="24"/>
                <w:highlight w:val="none"/>
              </w:rPr>
            </w:pPr>
            <w:bookmarkStart w:id="33" w:name="_Hlk48510090"/>
            <w:bookmarkEnd w:id="33"/>
            <w:r>
              <w:rPr>
                <w:color w:val="000000"/>
                <w:szCs w:val="24"/>
                <w:highlight w:val="none"/>
              </w:rPr>
              <w:t>6.1 评价依据</w:t>
            </w:r>
          </w:p>
          <w:p w14:paraId="00EAE2CE">
            <w:pPr>
              <w:autoSpaceDE w:val="0"/>
              <w:autoSpaceDN w:val="0"/>
              <w:spacing w:line="360" w:lineRule="auto"/>
              <w:ind w:firstLine="480" w:firstLineChars="200"/>
              <w:jc w:val="both"/>
              <w:rPr>
                <w:color w:val="000000"/>
                <w:kern w:val="0"/>
                <w:highlight w:val="none"/>
              </w:rPr>
            </w:pPr>
            <w:r>
              <w:rPr>
                <w:color w:val="000000"/>
                <w:kern w:val="0"/>
                <w:highlight w:val="none"/>
              </w:rPr>
              <w:t>对照《建设项目环境风险评价技术导则》（HJ169-2018）附录C.1.1中，本项目钻井过程中涉及的危险物质施工期主要为柴油，试油期主要是柴油、原油和伴生气（天然气），钻井期井场设有柴油罐（20m</w:t>
            </w:r>
            <w:r>
              <w:rPr>
                <w:color w:val="000000"/>
                <w:kern w:val="0"/>
                <w:highlight w:val="none"/>
                <w:vertAlign w:val="superscript"/>
              </w:rPr>
              <w:t>3</w:t>
            </w:r>
            <w:r>
              <w:rPr>
                <w:color w:val="000000"/>
                <w:kern w:val="0"/>
                <w:highlight w:val="none"/>
              </w:rPr>
              <w:t>），预计柴油存在量16.7t，试油期设置4个临时储罐共计80m</w:t>
            </w:r>
            <w:r>
              <w:rPr>
                <w:color w:val="000000"/>
                <w:kern w:val="0"/>
                <w:highlight w:val="none"/>
                <w:vertAlign w:val="superscript"/>
              </w:rPr>
              <w:t>3</w:t>
            </w:r>
            <w:r>
              <w:rPr>
                <w:color w:val="000000"/>
                <w:kern w:val="0"/>
                <w:highlight w:val="none"/>
              </w:rPr>
              <w:t>，原油存在量约66.4t。项目区已</w:t>
            </w:r>
            <w:r>
              <w:rPr>
                <w:rFonts w:hint="eastAsia"/>
                <w:color w:val="000000"/>
                <w:kern w:val="0"/>
                <w:highlight w:val="none"/>
              </w:rPr>
              <w:t>评价井</w:t>
            </w:r>
            <w:r>
              <w:rPr>
                <w:color w:val="000000"/>
                <w:kern w:val="0"/>
                <w:highlight w:val="none"/>
              </w:rPr>
              <w:t>在录井过程中未监测到H</w:t>
            </w:r>
            <w:r>
              <w:rPr>
                <w:color w:val="000000"/>
                <w:kern w:val="0"/>
                <w:highlight w:val="none"/>
                <w:vertAlign w:val="subscript"/>
              </w:rPr>
              <w:t>2</w:t>
            </w:r>
            <w:r>
              <w:rPr>
                <w:color w:val="000000"/>
                <w:kern w:val="0"/>
                <w:highlight w:val="none"/>
              </w:rPr>
              <w:t>S气体，硫化氢仅可能在井喷时产生，井场不存在该物质。</w:t>
            </w:r>
          </w:p>
          <w:p w14:paraId="0EA04AE9">
            <w:pPr>
              <w:autoSpaceDE w:val="0"/>
              <w:autoSpaceDN w:val="0"/>
              <w:spacing w:line="360" w:lineRule="auto"/>
              <w:ind w:firstLine="480" w:firstLineChars="200"/>
              <w:jc w:val="both"/>
              <w:rPr>
                <w:b/>
                <w:color w:val="000000"/>
                <w:sz w:val="21"/>
                <w:szCs w:val="21"/>
                <w:highlight w:val="none"/>
              </w:rPr>
            </w:pPr>
            <w:r>
              <w:rPr>
                <w:color w:val="000000"/>
                <w:kern w:val="0"/>
                <w:highlight w:val="none"/>
              </w:rPr>
              <w:t>本项目Q值见表4-1</w:t>
            </w:r>
            <w:r>
              <w:rPr>
                <w:rFonts w:hint="eastAsia"/>
                <w:color w:val="000000"/>
                <w:kern w:val="0"/>
                <w:highlight w:val="none"/>
              </w:rPr>
              <w:t>1</w:t>
            </w:r>
            <w:r>
              <w:rPr>
                <w:color w:val="000000"/>
                <w:kern w:val="0"/>
                <w:highlight w:val="none"/>
              </w:rPr>
              <w:t>。</w:t>
            </w:r>
          </w:p>
          <w:p w14:paraId="07EA9D45">
            <w:pPr>
              <w:overflowPunct w:val="0"/>
              <w:adjustRightInd/>
              <w:ind w:firstLine="422" w:firstLineChars="200"/>
              <w:rPr>
                <w:b/>
                <w:color w:val="000000"/>
                <w:sz w:val="21"/>
                <w:szCs w:val="21"/>
                <w:highlight w:val="none"/>
              </w:rPr>
            </w:pPr>
            <w:r>
              <w:rPr>
                <w:b/>
                <w:color w:val="000000"/>
                <w:sz w:val="21"/>
                <w:szCs w:val="21"/>
                <w:highlight w:val="none"/>
              </w:rPr>
              <w:t>表4-1</w:t>
            </w:r>
            <w:r>
              <w:rPr>
                <w:rFonts w:hint="eastAsia"/>
                <w:b/>
                <w:color w:val="000000"/>
                <w:sz w:val="21"/>
                <w:szCs w:val="21"/>
                <w:highlight w:val="none"/>
              </w:rPr>
              <w:t>1</w:t>
            </w:r>
            <w:r>
              <w:rPr>
                <w:b/>
                <w:color w:val="000000"/>
                <w:sz w:val="21"/>
                <w:szCs w:val="21"/>
                <w:highlight w:val="none"/>
              </w:rPr>
              <w:t xml:space="preserve">   危险物质与临界量比值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1861"/>
              <w:gridCol w:w="1717"/>
              <w:gridCol w:w="1760"/>
            </w:tblGrid>
            <w:tr w14:paraId="6D4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cBorders>
                  <w:noWrap w:val="0"/>
                  <w:vAlign w:val="center"/>
                </w:tcPr>
                <w:p w14:paraId="599B9239">
                  <w:pPr>
                    <w:pStyle w:val="11"/>
                    <w:rPr>
                      <w:color w:val="000000"/>
                      <w:szCs w:val="21"/>
                      <w:highlight w:val="none"/>
                    </w:rPr>
                  </w:pPr>
                  <w:r>
                    <w:rPr>
                      <w:color w:val="000000"/>
                      <w:szCs w:val="21"/>
                      <w:highlight w:val="none"/>
                    </w:rPr>
                    <w:t>物质名称</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DFC675C">
                  <w:pPr>
                    <w:pStyle w:val="11"/>
                    <w:rPr>
                      <w:color w:val="000000"/>
                      <w:szCs w:val="21"/>
                      <w:highlight w:val="none"/>
                    </w:rPr>
                  </w:pPr>
                  <w:r>
                    <w:rPr>
                      <w:color w:val="000000"/>
                      <w:szCs w:val="21"/>
                      <w:highlight w:val="none"/>
                    </w:rPr>
                    <w:t>临界量</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92ADFDF">
                  <w:pPr>
                    <w:pStyle w:val="11"/>
                    <w:rPr>
                      <w:color w:val="000000"/>
                      <w:szCs w:val="21"/>
                      <w:highlight w:val="none"/>
                    </w:rPr>
                  </w:pPr>
                  <w:r>
                    <w:rPr>
                      <w:color w:val="000000"/>
                      <w:szCs w:val="21"/>
                      <w:highlight w:val="none"/>
                    </w:rPr>
                    <w:t>最大存在总量</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A977499">
                  <w:pPr>
                    <w:pStyle w:val="11"/>
                    <w:rPr>
                      <w:color w:val="000000"/>
                      <w:szCs w:val="21"/>
                      <w:highlight w:val="none"/>
                    </w:rPr>
                  </w:pPr>
                  <w:r>
                    <w:rPr>
                      <w:color w:val="000000"/>
                      <w:szCs w:val="21"/>
                      <w:highlight w:val="none"/>
                    </w:rPr>
                    <w:t>Q</w:t>
                  </w:r>
                </w:p>
              </w:tc>
            </w:tr>
            <w:tr w14:paraId="13B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cBorders>
                  <w:noWrap w:val="0"/>
                  <w:vAlign w:val="center"/>
                </w:tcPr>
                <w:p w14:paraId="4482623A">
                  <w:pPr>
                    <w:pStyle w:val="11"/>
                    <w:rPr>
                      <w:color w:val="000000"/>
                      <w:szCs w:val="21"/>
                      <w:highlight w:val="none"/>
                    </w:rPr>
                  </w:pPr>
                  <w:r>
                    <w:rPr>
                      <w:color w:val="000000"/>
                      <w:szCs w:val="21"/>
                      <w:highlight w:val="none"/>
                    </w:rPr>
                    <w:t>柴油</w:t>
                  </w:r>
                </w:p>
              </w:tc>
              <w:tc>
                <w:tcPr>
                  <w:tcW w:w="1861" w:type="dxa"/>
                  <w:tcBorders>
                    <w:top w:val="single" w:color="auto" w:sz="4" w:space="0"/>
                    <w:left w:val="single" w:color="auto" w:sz="4" w:space="0"/>
                    <w:right w:val="single" w:color="auto" w:sz="4" w:space="0"/>
                  </w:tcBorders>
                  <w:noWrap w:val="0"/>
                  <w:vAlign w:val="center"/>
                </w:tcPr>
                <w:p w14:paraId="6379F808">
                  <w:pPr>
                    <w:pStyle w:val="11"/>
                    <w:rPr>
                      <w:color w:val="000000"/>
                      <w:szCs w:val="21"/>
                      <w:highlight w:val="none"/>
                    </w:rPr>
                  </w:pPr>
                  <w:r>
                    <w:rPr>
                      <w:color w:val="000000"/>
                      <w:szCs w:val="21"/>
                      <w:highlight w:val="none"/>
                    </w:rPr>
                    <w:t>2500t</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962491A">
                  <w:pPr>
                    <w:pStyle w:val="11"/>
                    <w:rPr>
                      <w:color w:val="000000"/>
                      <w:szCs w:val="21"/>
                      <w:highlight w:val="none"/>
                    </w:rPr>
                  </w:pPr>
                  <w:r>
                    <w:rPr>
                      <w:color w:val="000000"/>
                      <w:szCs w:val="21"/>
                      <w:highlight w:val="none"/>
                    </w:rPr>
                    <w:t>16.7t</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8810328">
                  <w:pPr>
                    <w:pStyle w:val="11"/>
                    <w:rPr>
                      <w:color w:val="000000"/>
                      <w:szCs w:val="21"/>
                      <w:highlight w:val="none"/>
                    </w:rPr>
                  </w:pPr>
                  <w:r>
                    <w:rPr>
                      <w:color w:val="000000"/>
                      <w:szCs w:val="21"/>
                      <w:highlight w:val="none"/>
                    </w:rPr>
                    <w:t>0.007</w:t>
                  </w:r>
                </w:p>
              </w:tc>
            </w:tr>
            <w:tr w14:paraId="1BE7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919" w:type="dxa"/>
                  <w:tcBorders>
                    <w:top w:val="single" w:color="auto" w:sz="4" w:space="0"/>
                    <w:left w:val="single" w:color="auto" w:sz="4" w:space="0"/>
                    <w:bottom w:val="single" w:color="auto" w:sz="4" w:space="0"/>
                    <w:right w:val="single" w:color="auto" w:sz="4" w:space="0"/>
                  </w:tcBorders>
                  <w:noWrap w:val="0"/>
                  <w:vAlign w:val="center"/>
                </w:tcPr>
                <w:p w14:paraId="7676522F">
                  <w:pPr>
                    <w:pStyle w:val="11"/>
                    <w:rPr>
                      <w:color w:val="000000"/>
                      <w:szCs w:val="21"/>
                      <w:highlight w:val="none"/>
                    </w:rPr>
                  </w:pPr>
                  <w:r>
                    <w:rPr>
                      <w:color w:val="000000"/>
                      <w:szCs w:val="21"/>
                      <w:highlight w:val="none"/>
                    </w:rPr>
                    <w:t>试油期原油</w:t>
                  </w:r>
                </w:p>
              </w:tc>
              <w:tc>
                <w:tcPr>
                  <w:tcW w:w="1861" w:type="dxa"/>
                  <w:tcBorders>
                    <w:left w:val="single" w:color="auto" w:sz="4" w:space="0"/>
                    <w:bottom w:val="single" w:color="auto" w:sz="4" w:space="0"/>
                    <w:right w:val="single" w:color="auto" w:sz="4" w:space="0"/>
                  </w:tcBorders>
                  <w:noWrap w:val="0"/>
                  <w:vAlign w:val="center"/>
                </w:tcPr>
                <w:p w14:paraId="4AF21AE0">
                  <w:pPr>
                    <w:pStyle w:val="11"/>
                    <w:rPr>
                      <w:color w:val="000000"/>
                      <w:szCs w:val="21"/>
                      <w:highlight w:val="none"/>
                    </w:rPr>
                  </w:pPr>
                  <w:r>
                    <w:rPr>
                      <w:color w:val="000000"/>
                      <w:szCs w:val="21"/>
                      <w:highlight w:val="none"/>
                    </w:rPr>
                    <w:t>2500t</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8D98C9C">
                  <w:pPr>
                    <w:pStyle w:val="11"/>
                    <w:rPr>
                      <w:color w:val="000000"/>
                      <w:szCs w:val="21"/>
                      <w:highlight w:val="none"/>
                    </w:rPr>
                  </w:pPr>
                  <w:r>
                    <w:rPr>
                      <w:color w:val="000000"/>
                      <w:szCs w:val="21"/>
                      <w:highlight w:val="none"/>
                    </w:rPr>
                    <w:t>66.4t</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EF8328C">
                  <w:pPr>
                    <w:pStyle w:val="11"/>
                    <w:rPr>
                      <w:color w:val="000000"/>
                      <w:szCs w:val="21"/>
                      <w:highlight w:val="none"/>
                    </w:rPr>
                  </w:pPr>
                  <w:r>
                    <w:rPr>
                      <w:color w:val="000000"/>
                      <w:szCs w:val="21"/>
                      <w:highlight w:val="none"/>
                    </w:rPr>
                    <w:t>0.03</w:t>
                  </w:r>
                </w:p>
              </w:tc>
            </w:tr>
            <w:tr w14:paraId="4408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919" w:type="dxa"/>
                  <w:tcBorders>
                    <w:top w:val="single" w:color="auto" w:sz="4" w:space="0"/>
                    <w:left w:val="single" w:color="auto" w:sz="4" w:space="0"/>
                    <w:bottom w:val="single" w:color="auto" w:sz="4" w:space="0"/>
                    <w:right w:val="single" w:color="auto" w:sz="4" w:space="0"/>
                  </w:tcBorders>
                  <w:noWrap w:val="0"/>
                  <w:vAlign w:val="center"/>
                </w:tcPr>
                <w:p w14:paraId="647C217D">
                  <w:pPr>
                    <w:pStyle w:val="26"/>
                    <w:rPr>
                      <w:rFonts w:ascii="Times New Roman" w:hAnsi="Times New Roman"/>
                      <w:b w:val="0"/>
                      <w:bCs/>
                      <w:color w:val="000000"/>
                      <w:highlight w:val="none"/>
                    </w:rPr>
                  </w:pPr>
                  <w:r>
                    <w:rPr>
                      <w:rFonts w:ascii="Times New Roman" w:hAnsi="Times New Roman"/>
                      <w:b w:val="0"/>
                      <w:bCs/>
                      <w:color w:val="000000"/>
                      <w:highlight w:val="none"/>
                    </w:rPr>
                    <w:t>硫化氢</w:t>
                  </w:r>
                </w:p>
              </w:tc>
              <w:tc>
                <w:tcPr>
                  <w:tcW w:w="1861" w:type="dxa"/>
                  <w:tcBorders>
                    <w:left w:val="single" w:color="auto" w:sz="4" w:space="0"/>
                    <w:bottom w:val="single" w:color="auto" w:sz="4" w:space="0"/>
                    <w:right w:val="single" w:color="auto" w:sz="4" w:space="0"/>
                  </w:tcBorders>
                  <w:noWrap w:val="0"/>
                  <w:vAlign w:val="center"/>
                </w:tcPr>
                <w:p w14:paraId="04E5756B">
                  <w:pPr>
                    <w:pStyle w:val="26"/>
                    <w:rPr>
                      <w:rFonts w:ascii="Times New Roman" w:hAnsi="Times New Roman"/>
                      <w:b w:val="0"/>
                      <w:bCs/>
                      <w:color w:val="000000"/>
                      <w:highlight w:val="none"/>
                    </w:rPr>
                  </w:pPr>
                  <w:r>
                    <w:rPr>
                      <w:rFonts w:ascii="Times New Roman" w:hAnsi="Times New Roman"/>
                      <w:b w:val="0"/>
                      <w:bCs/>
                      <w:color w:val="000000"/>
                      <w:highlight w:val="none"/>
                    </w:rPr>
                    <w:t>2.5t</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352AAC6">
                  <w:pPr>
                    <w:pStyle w:val="26"/>
                    <w:rPr>
                      <w:rFonts w:ascii="Times New Roman" w:hAnsi="Times New Roman"/>
                      <w:b w:val="0"/>
                      <w:bCs/>
                      <w:color w:val="000000"/>
                      <w:highlight w:val="none"/>
                    </w:rPr>
                  </w:pPr>
                  <w:r>
                    <w:rPr>
                      <w:rFonts w:ascii="Times New Roman" w:hAnsi="Times New Roman"/>
                      <w:b w:val="0"/>
                      <w:bCs/>
                      <w:color w:val="000000"/>
                      <w:highlight w:val="none"/>
                    </w:rPr>
                    <w:t>0</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C503AD2">
                  <w:pPr>
                    <w:pStyle w:val="26"/>
                    <w:rPr>
                      <w:rFonts w:ascii="Times New Roman" w:hAnsi="Times New Roman"/>
                      <w:b w:val="0"/>
                      <w:bCs/>
                      <w:color w:val="000000"/>
                      <w:highlight w:val="none"/>
                    </w:rPr>
                  </w:pPr>
                  <w:r>
                    <w:rPr>
                      <w:rFonts w:ascii="Times New Roman" w:hAnsi="Times New Roman"/>
                      <w:b w:val="0"/>
                      <w:bCs/>
                      <w:color w:val="000000"/>
                      <w:highlight w:val="none"/>
                    </w:rPr>
                    <w:t>0</w:t>
                  </w:r>
                </w:p>
              </w:tc>
            </w:tr>
            <w:tr w14:paraId="43FC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919" w:type="dxa"/>
                  <w:tcBorders>
                    <w:top w:val="single" w:color="auto" w:sz="4" w:space="0"/>
                    <w:left w:val="single" w:color="auto" w:sz="4" w:space="0"/>
                    <w:bottom w:val="single" w:color="auto" w:sz="4" w:space="0"/>
                    <w:right w:val="single" w:color="auto" w:sz="4" w:space="0"/>
                  </w:tcBorders>
                  <w:noWrap w:val="0"/>
                  <w:vAlign w:val="center"/>
                </w:tcPr>
                <w:p w14:paraId="252E2FFF">
                  <w:pPr>
                    <w:pStyle w:val="26"/>
                    <w:rPr>
                      <w:rFonts w:ascii="Times New Roman" w:hAnsi="Times New Roman"/>
                      <w:b w:val="0"/>
                      <w:bCs/>
                      <w:color w:val="000000"/>
                      <w:highlight w:val="none"/>
                    </w:rPr>
                  </w:pPr>
                  <w:r>
                    <w:rPr>
                      <w:rFonts w:ascii="Times New Roman" w:hAnsi="Times New Roman"/>
                      <w:b w:val="0"/>
                      <w:bCs/>
                      <w:color w:val="000000"/>
                      <w:highlight w:val="none"/>
                    </w:rPr>
                    <w:t>甲烷</w:t>
                  </w:r>
                </w:p>
              </w:tc>
              <w:tc>
                <w:tcPr>
                  <w:tcW w:w="1861" w:type="dxa"/>
                  <w:tcBorders>
                    <w:left w:val="single" w:color="auto" w:sz="4" w:space="0"/>
                    <w:bottom w:val="single" w:color="auto" w:sz="4" w:space="0"/>
                    <w:right w:val="single" w:color="auto" w:sz="4" w:space="0"/>
                  </w:tcBorders>
                  <w:noWrap w:val="0"/>
                  <w:vAlign w:val="center"/>
                </w:tcPr>
                <w:p w14:paraId="52F720D4">
                  <w:pPr>
                    <w:pStyle w:val="26"/>
                    <w:rPr>
                      <w:rFonts w:ascii="Times New Roman" w:hAnsi="Times New Roman"/>
                      <w:b w:val="0"/>
                      <w:bCs/>
                      <w:color w:val="000000"/>
                      <w:highlight w:val="none"/>
                    </w:rPr>
                  </w:pPr>
                  <w:r>
                    <w:rPr>
                      <w:rFonts w:ascii="Times New Roman" w:hAnsi="Times New Roman"/>
                      <w:b w:val="0"/>
                      <w:bCs/>
                      <w:color w:val="000000"/>
                      <w:highlight w:val="none"/>
                    </w:rPr>
                    <w:t>10t</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E72D424">
                  <w:pPr>
                    <w:pStyle w:val="26"/>
                    <w:rPr>
                      <w:rFonts w:ascii="Times New Roman" w:hAnsi="Times New Roman"/>
                      <w:b w:val="0"/>
                      <w:bCs/>
                      <w:color w:val="000000"/>
                      <w:highlight w:val="none"/>
                    </w:rPr>
                  </w:pPr>
                  <w:r>
                    <w:rPr>
                      <w:rFonts w:ascii="Times New Roman" w:hAnsi="Times New Roman"/>
                      <w:b w:val="0"/>
                      <w:bCs/>
                      <w:color w:val="000000"/>
                      <w:highlight w:val="none"/>
                    </w:rPr>
                    <w:t>0</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D7FBA5D">
                  <w:pPr>
                    <w:pStyle w:val="26"/>
                    <w:rPr>
                      <w:rFonts w:ascii="Times New Roman" w:hAnsi="Times New Roman"/>
                      <w:b w:val="0"/>
                      <w:bCs/>
                      <w:color w:val="000000"/>
                      <w:highlight w:val="none"/>
                    </w:rPr>
                  </w:pPr>
                  <w:r>
                    <w:rPr>
                      <w:rFonts w:ascii="Times New Roman" w:hAnsi="Times New Roman"/>
                      <w:b w:val="0"/>
                      <w:bCs/>
                      <w:color w:val="000000"/>
                      <w:highlight w:val="none"/>
                    </w:rPr>
                    <w:t>0</w:t>
                  </w:r>
                </w:p>
              </w:tc>
            </w:tr>
            <w:tr w14:paraId="3D6A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cBorders>
                  <w:noWrap w:val="0"/>
                  <w:vAlign w:val="center"/>
                </w:tcPr>
                <w:p w14:paraId="6F15773B">
                  <w:pPr>
                    <w:pStyle w:val="11"/>
                    <w:rPr>
                      <w:color w:val="000000"/>
                      <w:szCs w:val="21"/>
                      <w:highlight w:val="none"/>
                    </w:rPr>
                  </w:pPr>
                  <w:r>
                    <w:rPr>
                      <w:color w:val="000000"/>
                      <w:szCs w:val="21"/>
                      <w:highlight w:val="none"/>
                    </w:rPr>
                    <w:t>合计</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0D98D5FF">
                  <w:pPr>
                    <w:pStyle w:val="11"/>
                    <w:rPr>
                      <w:color w:val="000000"/>
                      <w:szCs w:val="21"/>
                      <w:highlight w:val="none"/>
                    </w:rPr>
                  </w:pPr>
                  <w:r>
                    <w:rPr>
                      <w:color w:val="000000"/>
                      <w:szCs w:val="21"/>
                      <w:highlight w:val="none"/>
                    </w:rPr>
                    <w:t>/</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0BDA7F4">
                  <w:pPr>
                    <w:pStyle w:val="11"/>
                    <w:rPr>
                      <w:color w:val="000000"/>
                      <w:szCs w:val="21"/>
                      <w:highlight w:val="none"/>
                    </w:rPr>
                  </w:pPr>
                  <w:r>
                    <w:rPr>
                      <w:color w:val="000000"/>
                      <w:szCs w:val="21"/>
                      <w:highlight w:val="none"/>
                    </w:rPr>
                    <w:t>/</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D65DC4F">
                  <w:pPr>
                    <w:pStyle w:val="11"/>
                    <w:rPr>
                      <w:color w:val="000000"/>
                      <w:szCs w:val="21"/>
                      <w:highlight w:val="none"/>
                    </w:rPr>
                  </w:pPr>
                  <w:r>
                    <w:rPr>
                      <w:color w:val="000000"/>
                      <w:szCs w:val="21"/>
                      <w:highlight w:val="none"/>
                    </w:rPr>
                    <w:t>0.037</w:t>
                  </w:r>
                </w:p>
              </w:tc>
            </w:tr>
          </w:tbl>
          <w:p w14:paraId="3C4B107D">
            <w:pPr>
              <w:jc w:val="left"/>
              <w:rPr>
                <w:bCs/>
                <w:color w:val="000000"/>
                <w:kern w:val="0"/>
                <w:sz w:val="21"/>
                <w:szCs w:val="21"/>
                <w:highlight w:val="none"/>
              </w:rPr>
            </w:pPr>
            <w:r>
              <w:rPr>
                <w:bCs/>
                <w:color w:val="000000"/>
                <w:kern w:val="0"/>
                <w:sz w:val="21"/>
                <w:szCs w:val="21"/>
                <w:highlight w:val="none"/>
              </w:rPr>
              <w:t>临界量：对照《建设项目环境风险评价技术导则》（HJ169-2018）附录B.1中第381号。</w:t>
            </w:r>
          </w:p>
          <w:p w14:paraId="6BCC5DCC">
            <w:pPr>
              <w:numPr>
                <w:ilvl w:val="0"/>
                <w:numId w:val="7"/>
              </w:numPr>
              <w:autoSpaceDE w:val="0"/>
              <w:autoSpaceDN w:val="0"/>
              <w:spacing w:before="120" w:beforeLines="50" w:line="360" w:lineRule="auto"/>
              <w:ind w:firstLine="480" w:firstLineChars="200"/>
              <w:jc w:val="left"/>
              <w:rPr>
                <w:color w:val="000000"/>
                <w:highlight w:val="none"/>
              </w:rPr>
            </w:pPr>
            <w:r>
              <w:rPr>
                <w:color w:val="000000"/>
                <w:kern w:val="0"/>
                <w:highlight w:val="none"/>
              </w:rPr>
              <w:t>当存在多种危险废物时，计算该风险物质的总量与其临界量比值Q&lt;1时，可确定该项目环境风险潜势为</w:t>
            </w:r>
            <w:r>
              <w:rPr>
                <w:bCs/>
                <w:color w:val="000000"/>
                <w:kern w:val="0"/>
                <w:highlight w:val="none"/>
              </w:rPr>
              <w:fldChar w:fldCharType="begin"/>
            </w:r>
            <w:r>
              <w:rPr>
                <w:bCs/>
                <w:color w:val="000000"/>
                <w:kern w:val="0"/>
                <w:highlight w:val="none"/>
              </w:rPr>
              <w:instrText xml:space="preserve"> = 1 \* ROMAN \* MERGEFORMAT </w:instrText>
            </w:r>
            <w:r>
              <w:rPr>
                <w:bCs/>
                <w:color w:val="000000"/>
                <w:kern w:val="0"/>
                <w:highlight w:val="none"/>
              </w:rPr>
              <w:fldChar w:fldCharType="separate"/>
            </w:r>
            <w:r>
              <w:rPr>
                <w:bCs/>
                <w:color w:val="000000"/>
                <w:kern w:val="0"/>
                <w:highlight w:val="none"/>
              </w:rPr>
              <w:t>I</w:t>
            </w:r>
            <w:r>
              <w:rPr>
                <w:bCs/>
                <w:color w:val="000000"/>
                <w:kern w:val="0"/>
                <w:highlight w:val="none"/>
              </w:rPr>
              <w:fldChar w:fldCharType="end"/>
            </w:r>
            <w:r>
              <w:rPr>
                <w:bCs/>
                <w:color w:val="000000"/>
                <w:kern w:val="0"/>
                <w:highlight w:val="none"/>
              </w:rPr>
              <w:t>，可开展简单分析。</w:t>
            </w:r>
          </w:p>
          <w:p w14:paraId="59D1367F">
            <w:pPr>
              <w:pStyle w:val="4"/>
              <w:rPr>
                <w:color w:val="000000"/>
                <w:szCs w:val="24"/>
                <w:highlight w:val="none"/>
              </w:rPr>
            </w:pPr>
            <w:r>
              <w:rPr>
                <w:color w:val="000000"/>
                <w:szCs w:val="24"/>
                <w:highlight w:val="none"/>
              </w:rPr>
              <w:t>6.2 环境敏感目标概况</w:t>
            </w:r>
          </w:p>
          <w:p w14:paraId="4FB6977A">
            <w:pPr>
              <w:spacing w:line="360" w:lineRule="auto"/>
              <w:ind w:firstLine="480" w:firstLineChars="200"/>
              <w:jc w:val="both"/>
              <w:rPr>
                <w:color w:val="000000"/>
                <w:highlight w:val="none"/>
              </w:rPr>
            </w:pPr>
            <w:r>
              <w:rPr>
                <w:bCs/>
                <w:color w:val="000000"/>
                <w:highlight w:val="none"/>
              </w:rPr>
              <w:t>本项目所在区不属于自然保护区、风景名胜区、水源保护区等环境敏感区，井场周边3km范围内无居民点、学校、医院。</w:t>
            </w:r>
            <w:r>
              <w:rPr>
                <w:color w:val="000000"/>
                <w:highlight w:val="none"/>
              </w:rPr>
              <w:t>项目区内无环境风险敏感目标。</w:t>
            </w:r>
          </w:p>
          <w:p w14:paraId="632A9E7F">
            <w:pPr>
              <w:pStyle w:val="4"/>
              <w:rPr>
                <w:color w:val="000000"/>
                <w:szCs w:val="24"/>
                <w:highlight w:val="none"/>
              </w:rPr>
            </w:pPr>
            <w:r>
              <w:rPr>
                <w:color w:val="000000"/>
                <w:szCs w:val="24"/>
                <w:highlight w:val="none"/>
              </w:rPr>
              <w:t>6.3 风险识别</w:t>
            </w:r>
          </w:p>
          <w:p w14:paraId="4D0457FF">
            <w:pPr>
              <w:pStyle w:val="30"/>
              <w:spacing w:line="360" w:lineRule="auto"/>
              <w:ind w:firstLine="480"/>
              <w:jc w:val="both"/>
              <w:rPr>
                <w:rFonts w:ascii="Times New Roman" w:hAnsi="Times New Roman"/>
                <w:color w:val="000000"/>
                <w:highlight w:val="none"/>
              </w:rPr>
            </w:pPr>
            <w:r>
              <w:rPr>
                <w:rFonts w:ascii="Times New Roman" w:hAnsi="Times New Roman"/>
                <w:color w:val="000000"/>
                <w:kern w:val="2"/>
                <w:highlight w:val="none"/>
              </w:rPr>
              <w:t>（1）物质危险性识别</w:t>
            </w:r>
          </w:p>
          <w:p w14:paraId="504D044D">
            <w:pPr>
              <w:autoSpaceDE w:val="0"/>
              <w:autoSpaceDN w:val="0"/>
              <w:spacing w:line="360" w:lineRule="auto"/>
              <w:ind w:firstLine="480" w:firstLineChars="200"/>
              <w:jc w:val="both"/>
              <w:rPr>
                <w:color w:val="000000"/>
                <w:highlight w:val="none"/>
              </w:rPr>
            </w:pPr>
            <w:r>
              <w:rPr>
                <w:color w:val="000000"/>
                <w:highlight w:val="none"/>
              </w:rPr>
              <w:t>本工程涉及的环境风险物质主要为：原油、天然气和柴油。其主要物化、毒理性质、危险等级划分，见表</w:t>
            </w:r>
            <w:r>
              <w:rPr>
                <w:color w:val="000000"/>
                <w:kern w:val="0"/>
                <w:highlight w:val="none"/>
              </w:rPr>
              <w:t>4-1</w:t>
            </w:r>
            <w:r>
              <w:rPr>
                <w:rFonts w:hint="eastAsia"/>
                <w:color w:val="000000"/>
                <w:kern w:val="0"/>
                <w:highlight w:val="none"/>
              </w:rPr>
              <w:t>2</w:t>
            </w:r>
            <w:r>
              <w:rPr>
                <w:color w:val="000000"/>
                <w:highlight w:val="none"/>
              </w:rPr>
              <w:t>。</w:t>
            </w:r>
          </w:p>
          <w:p w14:paraId="25502196">
            <w:pPr>
              <w:widowControl/>
              <w:rPr>
                <w:b/>
                <w:bCs/>
                <w:color w:val="000000"/>
                <w:sz w:val="21"/>
                <w:szCs w:val="21"/>
                <w:highlight w:val="none"/>
              </w:rPr>
            </w:pPr>
            <w:r>
              <w:rPr>
                <w:b/>
                <w:bCs/>
                <w:color w:val="000000"/>
                <w:kern w:val="0"/>
                <w:sz w:val="21"/>
                <w:szCs w:val="21"/>
                <w:highlight w:val="none"/>
                <w:lang w:bidi="ar"/>
              </w:rPr>
              <w:t>表4-1</w:t>
            </w:r>
            <w:r>
              <w:rPr>
                <w:rFonts w:hint="eastAsia"/>
                <w:b/>
                <w:bCs/>
                <w:color w:val="000000"/>
                <w:kern w:val="0"/>
                <w:sz w:val="21"/>
                <w:szCs w:val="21"/>
                <w:highlight w:val="none"/>
                <w:lang w:bidi="ar"/>
              </w:rPr>
              <w:t>2</w:t>
            </w:r>
            <w:r>
              <w:rPr>
                <w:b/>
                <w:bCs/>
                <w:color w:val="000000"/>
                <w:kern w:val="0"/>
                <w:sz w:val="21"/>
                <w:szCs w:val="21"/>
                <w:highlight w:val="none"/>
                <w:lang w:bidi="ar"/>
              </w:rPr>
              <w:t xml:space="preserve">    原油、天然气和柴油的理化性质及危险级别分类情况</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625"/>
              <w:gridCol w:w="1480"/>
              <w:gridCol w:w="2822"/>
              <w:gridCol w:w="1915"/>
              <w:gridCol w:w="1145"/>
            </w:tblGrid>
            <w:tr w14:paraId="061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612A0001">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序号</w:t>
                  </w:r>
                </w:p>
              </w:tc>
              <w:tc>
                <w:tcPr>
                  <w:tcW w:w="368" w:type="pct"/>
                  <w:noWrap w:val="0"/>
                  <w:vAlign w:val="center"/>
                </w:tcPr>
                <w:p w14:paraId="08A3F1A4">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名称</w:t>
                  </w:r>
                </w:p>
              </w:tc>
              <w:tc>
                <w:tcPr>
                  <w:tcW w:w="872" w:type="pct"/>
                  <w:noWrap w:val="0"/>
                  <w:vAlign w:val="center"/>
                </w:tcPr>
                <w:p w14:paraId="7A5D214F">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组分</w:t>
                  </w:r>
                </w:p>
              </w:tc>
              <w:tc>
                <w:tcPr>
                  <w:tcW w:w="1662" w:type="pct"/>
                  <w:noWrap w:val="0"/>
                  <w:vAlign w:val="center"/>
                </w:tcPr>
                <w:p w14:paraId="110B2BEA">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毒性</w:t>
                  </w:r>
                </w:p>
              </w:tc>
              <w:tc>
                <w:tcPr>
                  <w:tcW w:w="1128" w:type="pct"/>
                  <w:noWrap w:val="0"/>
                  <w:vAlign w:val="center"/>
                </w:tcPr>
                <w:p w14:paraId="28FA69AD">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燃烧爆炸特性参数</w:t>
                  </w:r>
                </w:p>
              </w:tc>
              <w:tc>
                <w:tcPr>
                  <w:tcW w:w="674" w:type="pct"/>
                  <w:noWrap w:val="0"/>
                  <w:vAlign w:val="center"/>
                </w:tcPr>
                <w:p w14:paraId="1582CF7A">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危险</w:t>
                  </w:r>
                </w:p>
                <w:p w14:paraId="261E68DB">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级别</w:t>
                  </w:r>
                </w:p>
              </w:tc>
            </w:tr>
            <w:tr w14:paraId="6BBB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1F75C7E7">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1</w:t>
                  </w:r>
                </w:p>
              </w:tc>
              <w:tc>
                <w:tcPr>
                  <w:tcW w:w="368" w:type="pct"/>
                  <w:noWrap w:val="0"/>
                  <w:vAlign w:val="center"/>
                </w:tcPr>
                <w:p w14:paraId="68B9B385">
                  <w:pPr>
                    <w:pStyle w:val="7"/>
                    <w:jc w:val="center"/>
                    <w:rPr>
                      <w:color w:val="000000"/>
                      <w:sz w:val="21"/>
                      <w:szCs w:val="21"/>
                      <w:highlight w:val="none"/>
                    </w:rPr>
                  </w:pPr>
                  <w:r>
                    <w:rPr>
                      <w:color w:val="000000"/>
                      <w:sz w:val="21"/>
                      <w:szCs w:val="21"/>
                      <w:highlight w:val="none"/>
                    </w:rPr>
                    <w:t>原油</w:t>
                  </w:r>
                </w:p>
              </w:tc>
              <w:tc>
                <w:tcPr>
                  <w:tcW w:w="872" w:type="pct"/>
                  <w:noWrap w:val="0"/>
                  <w:vAlign w:val="center"/>
                </w:tcPr>
                <w:p w14:paraId="014917B0">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kern w:val="0"/>
                      <w:sz w:val="21"/>
                      <w:szCs w:val="21"/>
                      <w:highlight w:val="none"/>
                      <w:lang w:bidi="ar"/>
                    </w:rPr>
                    <w:t>有各种烃类和非烃类化合物所组成的复杂混合物</w:t>
                  </w:r>
                </w:p>
              </w:tc>
              <w:tc>
                <w:tcPr>
                  <w:tcW w:w="1662" w:type="pct"/>
                  <w:noWrap w:val="0"/>
                  <w:vAlign w:val="center"/>
                </w:tcPr>
                <w:p w14:paraId="645BA542">
                  <w:pPr>
                    <w:widowControl/>
                    <w:rPr>
                      <w:color w:val="000000"/>
                      <w:sz w:val="21"/>
                      <w:szCs w:val="21"/>
                      <w:highlight w:val="none"/>
                    </w:rPr>
                  </w:pPr>
                  <w:r>
                    <w:rPr>
                      <w:color w:val="000000"/>
                      <w:kern w:val="0"/>
                      <w:sz w:val="21"/>
                      <w:szCs w:val="21"/>
                      <w:highlight w:val="none"/>
                      <w:lang w:bidi="ar"/>
                    </w:rPr>
                    <w:t>原油本身无明显毒性。遇热分解出有毒的烟雾，吸入大量可引起危害：有刺激和麻痹作用，吸入急中毒者有上呼吸道刺激症状。流泪，随之出现头晕、头痛、恶心、运动失调及酒醉样症状</w:t>
                  </w:r>
                </w:p>
              </w:tc>
              <w:tc>
                <w:tcPr>
                  <w:tcW w:w="1128" w:type="pct"/>
                  <w:noWrap w:val="0"/>
                  <w:vAlign w:val="center"/>
                </w:tcPr>
                <w:p w14:paraId="73B3EDA9">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热值：41870kJ/kg</w:t>
                  </w:r>
                </w:p>
                <w:p w14:paraId="439C9290">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火焰温度：1100°C沸点：300%～325%C</w:t>
                  </w:r>
                </w:p>
                <w:p w14:paraId="1DC24E55">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闪点：23.59C</w:t>
                  </w:r>
                </w:p>
                <w:p w14:paraId="2DB1E6AD">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爆炸极限：1.1%～6.4%(v)</w:t>
                  </w:r>
                </w:p>
                <w:p w14:paraId="301808FF">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自然燃点：380～530°C</w:t>
                  </w:r>
                </w:p>
              </w:tc>
              <w:tc>
                <w:tcPr>
                  <w:tcW w:w="674" w:type="pct"/>
                  <w:noWrap w:val="0"/>
                  <w:vAlign w:val="center"/>
                </w:tcPr>
                <w:p w14:paraId="49CDF26D">
                  <w:pPr>
                    <w:widowControl/>
                    <w:rPr>
                      <w:color w:val="000000"/>
                      <w:sz w:val="21"/>
                      <w:szCs w:val="21"/>
                      <w:highlight w:val="none"/>
                    </w:rPr>
                  </w:pPr>
                  <w:r>
                    <w:rPr>
                      <w:color w:val="000000"/>
                      <w:kern w:val="0"/>
                      <w:sz w:val="21"/>
                      <w:szCs w:val="21"/>
                      <w:highlight w:val="none"/>
                      <w:lang w:bidi="ar"/>
                    </w:rPr>
                    <w:t>属于高闪点液体</w:t>
                  </w:r>
                </w:p>
              </w:tc>
            </w:tr>
            <w:tr w14:paraId="24FB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618DE099">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2</w:t>
                  </w:r>
                </w:p>
              </w:tc>
              <w:tc>
                <w:tcPr>
                  <w:tcW w:w="368" w:type="pct"/>
                  <w:noWrap w:val="0"/>
                  <w:vAlign w:val="center"/>
                </w:tcPr>
                <w:p w14:paraId="58964E01">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天然气</w:t>
                  </w:r>
                </w:p>
              </w:tc>
              <w:tc>
                <w:tcPr>
                  <w:tcW w:w="872" w:type="pct"/>
                  <w:noWrap w:val="0"/>
                  <w:vAlign w:val="center"/>
                </w:tcPr>
                <w:p w14:paraId="0BA439BF">
                  <w:pPr>
                    <w:widowControl/>
                    <w:rPr>
                      <w:color w:val="000000"/>
                      <w:sz w:val="21"/>
                      <w:szCs w:val="21"/>
                      <w:highlight w:val="none"/>
                    </w:rPr>
                  </w:pPr>
                  <w:r>
                    <w:rPr>
                      <w:color w:val="000000"/>
                      <w:kern w:val="0"/>
                      <w:sz w:val="21"/>
                      <w:szCs w:val="21"/>
                      <w:highlight w:val="none"/>
                      <w:lang w:bidi="ar"/>
                    </w:rPr>
                    <w:t>多种可燃性气体的总称，主要成分包括：甲烷、乙烷等</w:t>
                  </w:r>
                </w:p>
              </w:tc>
              <w:tc>
                <w:tcPr>
                  <w:tcW w:w="1662" w:type="pct"/>
                  <w:noWrap w:val="0"/>
                  <w:vAlign w:val="center"/>
                </w:tcPr>
                <w:p w14:paraId="71AC4B07">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伴生气中主要包括天然</w:t>
                  </w:r>
                </w:p>
                <w:p w14:paraId="3614BEBD">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气，天然气中含有的甲</w:t>
                  </w:r>
                </w:p>
                <w:p w14:paraId="59080494">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烷，是一种无毒气体，当空气中大量弥漫这种气体时它会造成人因氧气不足而呼吸困难，进而失去知觉、昏迷甚至残废</w:t>
                  </w:r>
                </w:p>
              </w:tc>
              <w:tc>
                <w:tcPr>
                  <w:tcW w:w="1128" w:type="pct"/>
                  <w:noWrap w:val="0"/>
                  <w:vAlign w:val="center"/>
                </w:tcPr>
                <w:p w14:paraId="612C93D8">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热值：50009kJ/kg</w:t>
                  </w:r>
                </w:p>
                <w:p w14:paraId="2D2075E2">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爆炸极限：5%～14%(v)</w:t>
                  </w:r>
                </w:p>
                <w:p w14:paraId="4E8CE21A">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自然燃点：482～632</w:t>
                  </w:r>
                  <w:r>
                    <w:rPr>
                      <w:rFonts w:ascii="Times New Roman" w:hAnsi="Times New Roman" w:cs="Times New Roman"/>
                      <w:color w:val="000000"/>
                      <w:sz w:val="21"/>
                      <w:szCs w:val="21"/>
                      <w:highlight w:val="none"/>
                    </w:rPr>
                    <w:t>°C</w:t>
                  </w:r>
                </w:p>
              </w:tc>
              <w:tc>
                <w:tcPr>
                  <w:tcW w:w="674" w:type="pct"/>
                  <w:noWrap w:val="0"/>
                  <w:vAlign w:val="center"/>
                </w:tcPr>
                <w:p w14:paraId="1B402C80">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属于5.1类中易燃气体，在危险货物品名表中编号</w:t>
                  </w:r>
                </w:p>
                <w:p w14:paraId="52600BE1">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21007</w:t>
                  </w:r>
                </w:p>
              </w:tc>
            </w:tr>
            <w:tr w14:paraId="0A5B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7494BB37">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3</w:t>
                  </w:r>
                </w:p>
              </w:tc>
              <w:tc>
                <w:tcPr>
                  <w:tcW w:w="368" w:type="pct"/>
                  <w:noWrap w:val="0"/>
                  <w:vAlign w:val="center"/>
                </w:tcPr>
                <w:p w14:paraId="59B48468">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柴油</w:t>
                  </w:r>
                </w:p>
              </w:tc>
              <w:tc>
                <w:tcPr>
                  <w:tcW w:w="872" w:type="pct"/>
                  <w:noWrap w:val="0"/>
                  <w:vAlign w:val="center"/>
                </w:tcPr>
                <w:p w14:paraId="151F0C18">
                  <w:pPr>
                    <w:widowControl/>
                    <w:rPr>
                      <w:color w:val="000000"/>
                      <w:sz w:val="21"/>
                      <w:szCs w:val="21"/>
                      <w:highlight w:val="none"/>
                    </w:rPr>
                  </w:pPr>
                  <w:r>
                    <w:rPr>
                      <w:color w:val="000000"/>
                      <w:kern w:val="0"/>
                      <w:sz w:val="21"/>
                      <w:szCs w:val="21"/>
                      <w:highlight w:val="none"/>
                      <w:lang w:bidi="ar"/>
                    </w:rPr>
                    <w:t>复杂烃类（碳原子数10～22）混合物</w:t>
                  </w:r>
                </w:p>
              </w:tc>
              <w:tc>
                <w:tcPr>
                  <w:tcW w:w="1662" w:type="pct"/>
                  <w:noWrap w:val="0"/>
                  <w:vAlign w:val="center"/>
                </w:tcPr>
                <w:p w14:paraId="0D129950">
                  <w:pPr>
                    <w:pStyle w:val="13"/>
                    <w:spacing w:before="0"/>
                    <w:ind w:left="0"/>
                    <w:jc w:val="center"/>
                    <w:rPr>
                      <w:rFonts w:ascii="Times New Roman" w:hAnsi="Times New Roman" w:cs="Times New Roman"/>
                      <w:i w:val="0"/>
                      <w:iCs w:val="0"/>
                      <w:color w:val="000000"/>
                      <w:sz w:val="21"/>
                      <w:szCs w:val="21"/>
                      <w:highlight w:val="none"/>
                    </w:rPr>
                  </w:pPr>
                  <w:r>
                    <w:rPr>
                      <w:rFonts w:ascii="Times New Roman" w:hAnsi="Times New Roman" w:cs="Times New Roman"/>
                      <w:i w:val="0"/>
                      <w:iCs w:val="0"/>
                      <w:color w:val="000000"/>
                      <w:sz w:val="21"/>
                      <w:szCs w:val="21"/>
                      <w:highlight w:val="none"/>
                    </w:rPr>
                    <w:t>柴油的毒性类似于煤油，但由于添加剂（如硫化酯类）的影响，毒性可能比煤油略大。主要有麻醉和刺激作用。柴油的雾滴吸入后可致吸入性肺炎。皮肤接触柴油可致接触性皮炎。多见于两手、腕部与前臂</w:t>
                  </w:r>
                </w:p>
              </w:tc>
              <w:tc>
                <w:tcPr>
                  <w:tcW w:w="1128" w:type="pct"/>
                  <w:noWrap w:val="0"/>
                  <w:vAlign w:val="center"/>
                </w:tcPr>
                <w:p w14:paraId="094D8154">
                  <w:pPr>
                    <w:pStyle w:val="7"/>
                    <w:jc w:val="center"/>
                    <w:rPr>
                      <w:color w:val="000000"/>
                      <w:sz w:val="21"/>
                      <w:szCs w:val="21"/>
                      <w:highlight w:val="none"/>
                    </w:rPr>
                  </w:pPr>
                  <w:r>
                    <w:rPr>
                      <w:color w:val="000000"/>
                      <w:sz w:val="21"/>
                      <w:szCs w:val="21"/>
                      <w:highlight w:val="none"/>
                    </w:rPr>
                    <w:t>热值3.3×10</w:t>
                  </w:r>
                  <w:r>
                    <w:rPr>
                      <w:color w:val="000000"/>
                      <w:sz w:val="21"/>
                      <w:szCs w:val="21"/>
                      <w:highlight w:val="none"/>
                      <w:vertAlign w:val="superscript"/>
                    </w:rPr>
                    <w:t>7</w:t>
                  </w:r>
                  <w:r>
                    <w:rPr>
                      <w:color w:val="000000"/>
                      <w:sz w:val="21"/>
                      <w:szCs w:val="21"/>
                      <w:highlight w:val="none"/>
                    </w:rPr>
                    <w:t>J/L沸点范围有180～370°C和350～410°C两类闪点：38°C</w:t>
                  </w:r>
                </w:p>
              </w:tc>
              <w:tc>
                <w:tcPr>
                  <w:tcW w:w="674" w:type="pct"/>
                  <w:noWrap w:val="0"/>
                  <w:vAlign w:val="center"/>
                </w:tcPr>
                <w:p w14:paraId="6C4B77B2">
                  <w:pPr>
                    <w:widowControl/>
                    <w:rPr>
                      <w:color w:val="000000"/>
                      <w:sz w:val="21"/>
                      <w:szCs w:val="21"/>
                      <w:highlight w:val="none"/>
                    </w:rPr>
                  </w:pPr>
                  <w:r>
                    <w:rPr>
                      <w:color w:val="000000"/>
                      <w:kern w:val="0"/>
                      <w:sz w:val="21"/>
                      <w:szCs w:val="21"/>
                      <w:highlight w:val="none"/>
                      <w:lang w:bidi="ar"/>
                    </w:rPr>
                    <w:t>属于高闪点液体</w:t>
                  </w:r>
                </w:p>
              </w:tc>
            </w:tr>
          </w:tbl>
          <w:p w14:paraId="175553E3">
            <w:pPr>
              <w:pStyle w:val="30"/>
              <w:spacing w:line="360" w:lineRule="auto"/>
              <w:ind w:firstLine="480"/>
              <w:jc w:val="both"/>
              <w:rPr>
                <w:rFonts w:ascii="Times New Roman" w:hAnsi="Times New Roman"/>
                <w:color w:val="000000"/>
                <w:kern w:val="2"/>
                <w:highlight w:val="none"/>
              </w:rPr>
            </w:pPr>
            <w:r>
              <w:rPr>
                <w:rFonts w:ascii="Times New Roman" w:hAnsi="Times New Roman"/>
                <w:color w:val="000000"/>
                <w:kern w:val="2"/>
                <w:highlight w:val="none"/>
              </w:rPr>
              <w:t>（2）生产设施风险识别</w:t>
            </w:r>
          </w:p>
          <w:p w14:paraId="154AAF4D">
            <w:pPr>
              <w:pStyle w:val="30"/>
              <w:spacing w:line="360" w:lineRule="auto"/>
              <w:ind w:firstLine="480"/>
              <w:jc w:val="both"/>
              <w:rPr>
                <w:rFonts w:ascii="Times New Roman" w:hAnsi="Times New Roman"/>
                <w:color w:val="000000"/>
                <w:kern w:val="2"/>
                <w:highlight w:val="none"/>
                <w:lang w:val="zh-CN"/>
              </w:rPr>
            </w:pPr>
            <w:r>
              <w:rPr>
                <w:rFonts w:ascii="Times New Roman" w:hAnsi="Times New Roman"/>
                <w:color w:val="000000"/>
                <w:kern w:val="2"/>
                <w:highlight w:val="none"/>
              </w:rPr>
              <w:t>1）</w:t>
            </w:r>
            <w:r>
              <w:rPr>
                <w:rFonts w:ascii="Times New Roman" w:hAnsi="Times New Roman"/>
                <w:color w:val="000000"/>
                <w:kern w:val="2"/>
                <w:highlight w:val="none"/>
                <w:lang w:val="zh-CN"/>
              </w:rPr>
              <w:t>井喷事故风险</w:t>
            </w:r>
          </w:p>
          <w:p w14:paraId="4548546D">
            <w:pPr>
              <w:pStyle w:val="30"/>
              <w:spacing w:line="360" w:lineRule="auto"/>
              <w:ind w:firstLine="480"/>
              <w:jc w:val="both"/>
              <w:rPr>
                <w:rFonts w:ascii="Times New Roman" w:hAnsi="Times New Roman"/>
                <w:color w:val="000000"/>
                <w:kern w:val="2"/>
                <w:highlight w:val="none"/>
                <w:lang w:val="zh-CN"/>
              </w:rPr>
            </w:pPr>
            <w:r>
              <w:rPr>
                <w:rFonts w:ascii="Times New Roman" w:hAnsi="Times New Roman"/>
                <w:color w:val="000000"/>
                <w:kern w:val="2"/>
                <w:highlight w:val="none"/>
                <w:lang w:val="zh-CN"/>
              </w:rPr>
              <w:t>井喷为井场常见事故。钻井过程中遇到地下油、气、水层时，油、气或水窜进井内的钻井液里，加快了钻井液流动和循环的速度。如果井底压力小于地层压力，地层流体将进入井筒并推动钻井液外溢，即发生溢流。此时，如果对地下油、气压力平衡控制不当，不能及时控制溢流，会造成油、气、水或其他混合物迅速喷到地面，即发生井喷。井喷会引发油气泄漏及火灾爆炸，对空气环境、水环境及生态环境造成危害，致使人员伤亡、财产损失。</w:t>
            </w:r>
          </w:p>
          <w:p w14:paraId="7E05B771">
            <w:pPr>
              <w:pStyle w:val="30"/>
              <w:spacing w:line="360" w:lineRule="auto"/>
              <w:ind w:firstLine="480"/>
              <w:jc w:val="both"/>
              <w:rPr>
                <w:rFonts w:ascii="Times New Roman" w:hAnsi="Times New Roman"/>
                <w:color w:val="000000"/>
                <w:kern w:val="2"/>
                <w:highlight w:val="none"/>
                <w:lang w:val="zh-CN"/>
              </w:rPr>
            </w:pPr>
            <w:r>
              <w:rPr>
                <w:rFonts w:ascii="Times New Roman" w:hAnsi="Times New Roman"/>
                <w:color w:val="000000"/>
                <w:kern w:val="2"/>
                <w:highlight w:val="none"/>
              </w:rPr>
              <w:t>2）</w:t>
            </w:r>
            <w:r>
              <w:rPr>
                <w:rFonts w:ascii="Times New Roman" w:hAnsi="Times New Roman"/>
                <w:color w:val="000000"/>
                <w:kern w:val="2"/>
                <w:highlight w:val="none"/>
                <w:lang w:val="zh-CN"/>
              </w:rPr>
              <w:t>井漏事故风险</w:t>
            </w:r>
          </w:p>
          <w:p w14:paraId="75E75B77">
            <w:pPr>
              <w:pStyle w:val="30"/>
              <w:spacing w:line="360" w:lineRule="auto"/>
              <w:ind w:firstLine="480"/>
              <w:jc w:val="both"/>
              <w:rPr>
                <w:rFonts w:ascii="Times New Roman" w:hAnsi="Times New Roman"/>
                <w:color w:val="000000"/>
                <w:kern w:val="2"/>
                <w:highlight w:val="none"/>
                <w:lang w:val="zh-CN"/>
              </w:rPr>
            </w:pPr>
            <w:r>
              <w:rPr>
                <w:rFonts w:ascii="Times New Roman" w:hAnsi="Times New Roman"/>
                <w:color w:val="000000"/>
                <w:kern w:val="2"/>
                <w:highlight w:val="none"/>
                <w:lang w:val="zh-CN"/>
              </w:rPr>
              <w:t>钻井施工表层套管下入深度不够或固井质量不好可能引发污染地下水事故，如：钻井液漏失造成地下水污染，油气上窜造成地下水污染等。</w:t>
            </w:r>
          </w:p>
          <w:p w14:paraId="162294BA">
            <w:pPr>
              <w:pStyle w:val="30"/>
              <w:spacing w:line="360" w:lineRule="auto"/>
              <w:ind w:firstLine="480"/>
              <w:jc w:val="both"/>
              <w:rPr>
                <w:rFonts w:ascii="Times New Roman" w:hAnsi="Times New Roman"/>
                <w:color w:val="000000"/>
                <w:kern w:val="2"/>
                <w:highlight w:val="none"/>
              </w:rPr>
            </w:pPr>
            <w:r>
              <w:rPr>
                <w:rFonts w:ascii="Times New Roman" w:hAnsi="Times New Roman"/>
                <w:color w:val="000000"/>
                <w:kern w:val="2"/>
                <w:highlight w:val="none"/>
              </w:rPr>
              <w:t>3）储罐泄漏</w:t>
            </w:r>
          </w:p>
          <w:p w14:paraId="580A3DE9">
            <w:pPr>
              <w:pStyle w:val="30"/>
              <w:spacing w:line="360" w:lineRule="auto"/>
              <w:ind w:firstLine="480"/>
              <w:jc w:val="both"/>
              <w:rPr>
                <w:rFonts w:ascii="Times New Roman" w:hAnsi="Times New Roman"/>
                <w:color w:val="000000"/>
                <w:kern w:val="2"/>
                <w:highlight w:val="none"/>
              </w:rPr>
            </w:pPr>
            <w:r>
              <w:rPr>
                <w:rFonts w:ascii="Times New Roman" w:hAnsi="Times New Roman"/>
                <w:color w:val="000000"/>
                <w:kern w:val="2"/>
                <w:highlight w:val="none"/>
              </w:rPr>
              <w:t>钻井及试油期井场设置柴油储罐（1座，规格</w:t>
            </w:r>
            <w:r>
              <w:rPr>
                <w:rFonts w:ascii="Times New Roman" w:hAnsi="Times New Roman"/>
                <w:color w:val="000000"/>
                <w:highlight w:val="none"/>
              </w:rPr>
              <w:t>20m</w:t>
            </w:r>
            <w:r>
              <w:rPr>
                <w:rFonts w:ascii="Times New Roman" w:hAnsi="Times New Roman"/>
                <w:color w:val="000000"/>
                <w:highlight w:val="none"/>
                <w:vertAlign w:val="superscript"/>
              </w:rPr>
              <w:t>3</w:t>
            </w:r>
            <w:r>
              <w:rPr>
                <w:rFonts w:ascii="Times New Roman" w:hAnsi="Times New Roman"/>
                <w:color w:val="000000"/>
                <w:kern w:val="2"/>
                <w:highlight w:val="none"/>
              </w:rPr>
              <w:t>），试油期井场设置有</w:t>
            </w:r>
            <w:r>
              <w:rPr>
                <w:rFonts w:hint="eastAsia" w:ascii="Times New Roman" w:hAnsi="Times New Roman"/>
                <w:color w:val="000000"/>
                <w:kern w:val="2"/>
                <w:highlight w:val="none"/>
              </w:rPr>
              <w:t>井下作业废水</w:t>
            </w:r>
            <w:r>
              <w:rPr>
                <w:rFonts w:ascii="Times New Roman" w:hAnsi="Times New Roman"/>
                <w:color w:val="000000"/>
                <w:kern w:val="2"/>
                <w:highlight w:val="none"/>
              </w:rPr>
              <w:t>储罐和原油储罐，储罐因质量、操作运行和管理等环节存在缺陷和失误，可能会发生泄漏，对周围地下水、土壤、大气等环境造成污染。</w:t>
            </w:r>
          </w:p>
          <w:p w14:paraId="2AA964AE">
            <w:pPr>
              <w:pStyle w:val="30"/>
              <w:spacing w:line="360" w:lineRule="auto"/>
              <w:ind w:firstLine="480"/>
              <w:jc w:val="both"/>
              <w:rPr>
                <w:rFonts w:ascii="Times New Roman" w:hAnsi="Times New Roman"/>
                <w:color w:val="000000"/>
                <w:highlight w:val="none"/>
              </w:rPr>
            </w:pPr>
            <w:r>
              <w:rPr>
                <w:rFonts w:ascii="Times New Roman" w:hAnsi="Times New Roman"/>
                <w:color w:val="000000"/>
                <w:highlight w:val="none"/>
              </w:rPr>
              <w:t>4）采出液及柴油运输风险</w:t>
            </w:r>
          </w:p>
          <w:p w14:paraId="1A0BCBA2">
            <w:pPr>
              <w:pStyle w:val="30"/>
              <w:spacing w:line="360" w:lineRule="auto"/>
              <w:ind w:firstLine="480"/>
              <w:jc w:val="both"/>
              <w:rPr>
                <w:rFonts w:ascii="Times New Roman" w:hAnsi="Times New Roman"/>
                <w:color w:val="000000"/>
                <w:highlight w:val="none"/>
              </w:rPr>
            </w:pPr>
            <w:r>
              <w:rPr>
                <w:rFonts w:ascii="Times New Roman" w:hAnsi="Times New Roman"/>
                <w:color w:val="000000"/>
                <w:highlight w:val="none"/>
              </w:rPr>
              <w:t>本项目试油期采出液由罐车拉运至</w:t>
            </w:r>
            <w:r>
              <w:rPr>
                <w:rFonts w:hint="eastAsia" w:ascii="Times New Roman" w:hAnsi="Times New Roman"/>
                <w:color w:val="000000"/>
                <w:spacing w:val="4"/>
                <w:highlight w:val="none"/>
              </w:rPr>
              <w:t>石西集中处理站</w:t>
            </w:r>
            <w:r>
              <w:rPr>
                <w:rFonts w:ascii="Times New Roman" w:hAnsi="Times New Roman"/>
                <w:color w:val="000000"/>
                <w:highlight w:val="none"/>
              </w:rPr>
              <w:t>，项目钻试期使用的柴油燃料采用柴油罐车拉运至井场，运输过程中因车辆本身的设计、制造、操作、管理等各环节有存在缺陷的可能性，可能发生泄漏事故的风险。事故发生时罐车内液体溢出，对周围环境造成直接污染，泄漏的油气如遇到明火还可能发生火灾、爆炸事故。</w:t>
            </w:r>
          </w:p>
          <w:p w14:paraId="497FC4F2">
            <w:pPr>
              <w:pStyle w:val="24"/>
              <w:adjustRightInd/>
              <w:snapToGrid/>
              <w:ind w:firstLine="0" w:firstLineChars="0"/>
              <w:rPr>
                <w:rFonts w:ascii="Times New Roman" w:hAnsi="Times New Roman"/>
                <w:b/>
                <w:bCs/>
                <w:color w:val="000000"/>
                <w:sz w:val="24"/>
                <w:szCs w:val="21"/>
                <w:highlight w:val="none"/>
              </w:rPr>
            </w:pPr>
            <w:r>
              <w:rPr>
                <w:rFonts w:ascii="Times New Roman" w:hAnsi="Times New Roman"/>
                <w:b/>
                <w:bCs/>
                <w:color w:val="000000"/>
                <w:sz w:val="24"/>
                <w:szCs w:val="21"/>
                <w:highlight w:val="none"/>
              </w:rPr>
              <w:t>6.4 环境风险分析</w:t>
            </w:r>
          </w:p>
          <w:p w14:paraId="47A4F50D">
            <w:pPr>
              <w:pStyle w:val="37"/>
              <w:spacing w:line="360" w:lineRule="auto"/>
              <w:ind w:firstLine="480"/>
              <w:jc w:val="both"/>
              <w:rPr>
                <w:color w:val="000000"/>
                <w:highlight w:val="none"/>
              </w:rPr>
            </w:pPr>
            <w:r>
              <w:rPr>
                <w:rFonts w:hint="eastAsia" w:hAnsi="宋体" w:cs="宋体"/>
                <w:color w:val="000000"/>
                <w:highlight w:val="none"/>
              </w:rPr>
              <w:t>（1）</w:t>
            </w:r>
            <w:r>
              <w:rPr>
                <w:color w:val="000000"/>
                <w:highlight w:val="none"/>
              </w:rPr>
              <w:t>井喷环境影响分析</w:t>
            </w:r>
          </w:p>
          <w:p w14:paraId="4C5D442E">
            <w:pPr>
              <w:pStyle w:val="37"/>
              <w:spacing w:line="360" w:lineRule="auto"/>
              <w:ind w:firstLine="480"/>
              <w:jc w:val="both"/>
              <w:rPr>
                <w:color w:val="000000"/>
                <w:highlight w:val="none"/>
              </w:rPr>
            </w:pPr>
            <w:r>
              <w:rPr>
                <w:color w:val="000000"/>
                <w:highlight w:val="none"/>
              </w:rPr>
              <w:t>井喷事故一旦发生，大量的油气喷出井口，散落于井场周围，据类比资料显示，井喷范围内土壤表层可见有蜡状的原油喷散物，井喷的影响范围及影响程度较大。但从事故井区土壤剖面分析，井喷事故后石油类污染物主要聚集在土壤剖面1m以内。井喷事故对地下水体的影响概率不大，若及时采取有效措施治理污染，井喷不会造成地下水污染。</w:t>
            </w:r>
          </w:p>
          <w:p w14:paraId="20F795BB">
            <w:pPr>
              <w:pStyle w:val="37"/>
              <w:spacing w:line="360" w:lineRule="auto"/>
              <w:ind w:firstLine="480"/>
              <w:jc w:val="both"/>
              <w:rPr>
                <w:color w:val="000000"/>
                <w:highlight w:val="none"/>
              </w:rPr>
            </w:pPr>
            <w:r>
              <w:rPr>
                <w:rFonts w:hint="eastAsia" w:hAnsi="宋体" w:cs="宋体"/>
                <w:color w:val="000000"/>
                <w:highlight w:val="none"/>
              </w:rPr>
              <w:t>（2）</w:t>
            </w:r>
            <w:r>
              <w:rPr>
                <w:color w:val="000000"/>
                <w:highlight w:val="none"/>
              </w:rPr>
              <w:t>泄漏环境影响分析</w:t>
            </w:r>
          </w:p>
          <w:p w14:paraId="66919994">
            <w:pPr>
              <w:pStyle w:val="37"/>
              <w:spacing w:line="360" w:lineRule="auto"/>
              <w:ind w:firstLine="480"/>
              <w:jc w:val="both"/>
              <w:rPr>
                <w:rFonts w:ascii="Times New Roman"/>
                <w:color w:val="000000"/>
                <w:highlight w:val="none"/>
              </w:rPr>
            </w:pPr>
            <w:r>
              <w:rPr>
                <w:rFonts w:hint="eastAsia"/>
                <w:color w:val="000000"/>
                <w:highlight w:val="none"/>
              </w:rPr>
              <w:t>本项目</w:t>
            </w:r>
            <w:r>
              <w:rPr>
                <w:rFonts w:ascii="Times New Roman"/>
                <w:color w:val="000000"/>
                <w:highlight w:val="none"/>
              </w:rPr>
              <w:t>在钻井和试油过程中会在井场布置柴油储罐、试油</w:t>
            </w:r>
            <w:r>
              <w:rPr>
                <w:rFonts w:hint="eastAsia" w:ascii="Times New Roman"/>
                <w:color w:val="000000"/>
                <w:highlight w:val="none"/>
              </w:rPr>
              <w:t>采出液</w:t>
            </w:r>
            <w:r>
              <w:rPr>
                <w:rFonts w:ascii="Times New Roman"/>
                <w:color w:val="000000"/>
                <w:highlight w:val="none"/>
              </w:rPr>
              <w:t>储罐等，一旦储罐发生泄漏，会对周围环境空气、水体、土壤造成一定的不利影响。</w:t>
            </w:r>
          </w:p>
          <w:p w14:paraId="06CBCA22">
            <w:pPr>
              <w:pStyle w:val="37"/>
              <w:spacing w:line="360" w:lineRule="auto"/>
              <w:ind w:firstLine="480"/>
              <w:jc w:val="both"/>
              <w:rPr>
                <w:rFonts w:ascii="Times New Roman"/>
                <w:color w:val="000000"/>
                <w:highlight w:val="none"/>
              </w:rPr>
            </w:pPr>
            <w:r>
              <w:rPr>
                <w:rFonts w:hint="eastAsia" w:ascii="Times New Roman"/>
                <w:color w:val="000000"/>
                <w:highlight w:val="none"/>
              </w:rPr>
              <w:t>①</w:t>
            </w:r>
            <w:r>
              <w:rPr>
                <w:rFonts w:ascii="Times New Roman"/>
                <w:color w:val="000000"/>
                <w:highlight w:val="none"/>
              </w:rPr>
              <w:t>对大气环境的影响</w:t>
            </w:r>
          </w:p>
          <w:p w14:paraId="16CAB0A5">
            <w:pPr>
              <w:pStyle w:val="37"/>
              <w:spacing w:line="360" w:lineRule="auto"/>
              <w:ind w:firstLine="480"/>
              <w:jc w:val="both"/>
              <w:rPr>
                <w:rFonts w:ascii="Times New Roman"/>
                <w:color w:val="000000"/>
                <w:highlight w:val="none"/>
              </w:rPr>
            </w:pPr>
            <w:r>
              <w:rPr>
                <w:rFonts w:ascii="Times New Roman"/>
                <w:color w:val="000000"/>
                <w:highlight w:val="none"/>
              </w:rPr>
              <w:t>对大气环境的影响，主要考虑柴油储罐、</w:t>
            </w:r>
            <w:r>
              <w:rPr>
                <w:rFonts w:hint="eastAsia" w:ascii="Times New Roman"/>
                <w:color w:val="000000"/>
                <w:highlight w:val="none"/>
              </w:rPr>
              <w:t>采出液</w:t>
            </w:r>
            <w:r>
              <w:rPr>
                <w:rFonts w:ascii="Times New Roman"/>
                <w:color w:val="000000"/>
                <w:highlight w:val="none"/>
              </w:rPr>
              <w:t>储罐泄漏的影响，</w:t>
            </w:r>
            <w:r>
              <w:rPr>
                <w:rFonts w:hint="eastAsia"/>
                <w:color w:val="000000"/>
                <w:highlight w:val="none"/>
              </w:rPr>
              <w:t>本项目</w:t>
            </w:r>
            <w:r>
              <w:rPr>
                <w:rFonts w:ascii="Times New Roman"/>
                <w:color w:val="000000"/>
                <w:highlight w:val="none"/>
              </w:rPr>
              <w:t>评价范围内无自然保护区、风景名胜区、水源保护区、学校、医院、集中居住区等环境敏感点，即使发生泄漏造成周围居民点发生急性中毒和慢性中毒危险性较小，因吸入中毒引起生命危险可能性就更小。</w:t>
            </w:r>
          </w:p>
          <w:p w14:paraId="00795ACB">
            <w:pPr>
              <w:pStyle w:val="37"/>
              <w:spacing w:line="360" w:lineRule="auto"/>
              <w:ind w:firstLine="480"/>
              <w:jc w:val="both"/>
              <w:rPr>
                <w:rFonts w:ascii="Times New Roman"/>
                <w:color w:val="000000"/>
                <w:highlight w:val="none"/>
              </w:rPr>
            </w:pPr>
            <w:r>
              <w:rPr>
                <w:rFonts w:hint="eastAsia" w:ascii="Times New Roman"/>
                <w:color w:val="000000"/>
                <w:highlight w:val="none"/>
              </w:rPr>
              <w:t>②</w:t>
            </w:r>
            <w:r>
              <w:rPr>
                <w:rFonts w:ascii="Times New Roman"/>
                <w:color w:val="000000"/>
                <w:highlight w:val="none"/>
              </w:rPr>
              <w:t>对土壤</w:t>
            </w:r>
            <w:r>
              <w:rPr>
                <w:rFonts w:hint="eastAsia" w:ascii="Times New Roman"/>
                <w:color w:val="000000"/>
                <w:highlight w:val="none"/>
              </w:rPr>
              <w:t>和植物</w:t>
            </w:r>
            <w:r>
              <w:rPr>
                <w:rFonts w:ascii="Times New Roman"/>
                <w:color w:val="000000"/>
                <w:highlight w:val="none"/>
              </w:rPr>
              <w:t>的影响</w:t>
            </w:r>
          </w:p>
          <w:p w14:paraId="193EFC90">
            <w:pPr>
              <w:pStyle w:val="37"/>
              <w:spacing w:line="360" w:lineRule="auto"/>
              <w:ind w:firstLine="480"/>
              <w:jc w:val="both"/>
              <w:rPr>
                <w:color w:val="000000"/>
                <w:highlight w:val="none"/>
              </w:rPr>
            </w:pPr>
            <w:r>
              <w:rPr>
                <w:color w:val="000000"/>
                <w:highlight w:val="none"/>
              </w:rPr>
              <w:t>泄漏的油类物质可使土壤透气性下降、土壤理化性状发生变化。泄漏情况发生时，油类物质渗入土壤孔隙，使土壤透气性和呼吸作用减弱，影响土壤中的微生物生存，破坏土壤结构，增加土壤中石油类污染物，造成土地肥力下降，改变土壤的理化性质，影响土壤正常的结构和功能</w:t>
            </w:r>
            <w:r>
              <w:rPr>
                <w:rFonts w:hint="eastAsia"/>
                <w:color w:val="000000"/>
                <w:highlight w:val="none"/>
              </w:rPr>
              <w:t>，</w:t>
            </w:r>
            <w:r>
              <w:rPr>
                <w:color w:val="000000"/>
                <w:highlight w:val="none"/>
              </w:rPr>
              <w:t>从而造成植物生物的死亡。</w:t>
            </w:r>
            <w:r>
              <w:rPr>
                <w:rFonts w:hint="eastAsia"/>
                <w:color w:val="000000"/>
                <w:highlight w:val="none"/>
              </w:rPr>
              <w:t>由于项目区无植被分布，不会对植被产生影响。</w:t>
            </w:r>
          </w:p>
          <w:p w14:paraId="42512D1B">
            <w:pPr>
              <w:pStyle w:val="37"/>
              <w:spacing w:line="360" w:lineRule="auto"/>
              <w:ind w:firstLine="480"/>
              <w:jc w:val="both"/>
              <w:rPr>
                <w:color w:val="000000"/>
                <w:highlight w:val="none"/>
              </w:rPr>
            </w:pPr>
            <w:r>
              <w:rPr>
                <w:rFonts w:hint="eastAsia"/>
                <w:color w:val="000000"/>
                <w:highlight w:val="none"/>
              </w:rPr>
              <w:t>③</w:t>
            </w:r>
            <w:r>
              <w:rPr>
                <w:color w:val="000000"/>
                <w:highlight w:val="none"/>
              </w:rPr>
              <w:t>对地下水的影响</w:t>
            </w:r>
          </w:p>
          <w:p w14:paraId="0B69A1E7">
            <w:pPr>
              <w:pStyle w:val="37"/>
              <w:spacing w:line="360" w:lineRule="auto"/>
              <w:ind w:firstLine="480"/>
              <w:jc w:val="both"/>
              <w:rPr>
                <w:color w:val="000000"/>
                <w:highlight w:val="none"/>
              </w:rPr>
            </w:pPr>
            <w:r>
              <w:rPr>
                <w:color w:val="000000"/>
                <w:highlight w:val="none"/>
              </w:rPr>
              <w:t>尽管液体在土壤渗漏过程中土壤层吸附会延缓液体的下渗进入地下水，但在长期的作用下，发生渗漏的液体仍可能对地下水造成污染。</w:t>
            </w:r>
            <w:r>
              <w:rPr>
                <w:rFonts w:hint="eastAsia"/>
                <w:color w:val="000000"/>
                <w:highlight w:val="none"/>
              </w:rPr>
              <w:t>本项目</w:t>
            </w:r>
            <w:r>
              <w:rPr>
                <w:color w:val="000000"/>
                <w:highlight w:val="none"/>
              </w:rPr>
              <w:t>勘探周期较短，</w:t>
            </w:r>
            <w:r>
              <w:rPr>
                <w:rFonts w:hint="eastAsia"/>
                <w:color w:val="000000"/>
                <w:highlight w:val="none"/>
              </w:rPr>
              <w:t>各类</w:t>
            </w:r>
            <w:r>
              <w:rPr>
                <w:color w:val="000000"/>
                <w:highlight w:val="none"/>
              </w:rPr>
              <w:t>储罐均采取钢制储罐，发生泄漏的概率极小，同时一旦发生泄漏会在较短时间内发现并采取的堵漏措施，出现长期连续性泄漏的可能性很低，发生渗漏污染地下水的风险事故概率较低。</w:t>
            </w:r>
          </w:p>
          <w:p w14:paraId="71F9C871">
            <w:pPr>
              <w:pStyle w:val="38"/>
              <w:spacing w:line="360" w:lineRule="auto"/>
              <w:ind w:firstLine="0"/>
              <w:jc w:val="both"/>
              <w:rPr>
                <w:color w:val="000000"/>
                <w:highlight w:val="none"/>
              </w:rPr>
            </w:pPr>
            <w:r>
              <w:rPr>
                <w:rFonts w:ascii="Times New Roman"/>
                <w:color w:val="000000"/>
                <w:highlight w:val="none"/>
              </w:rPr>
              <w:t>6.5</w:t>
            </w:r>
            <w:r>
              <w:rPr>
                <w:rFonts w:hint="eastAsia" w:ascii="Times New Roman"/>
                <w:color w:val="000000"/>
                <w:highlight w:val="none"/>
              </w:rPr>
              <w:t xml:space="preserve"> </w:t>
            </w:r>
            <w:r>
              <w:rPr>
                <w:rFonts w:hint="eastAsia"/>
                <w:color w:val="000000"/>
                <w:highlight w:val="none"/>
              </w:rPr>
              <w:t>试采液</w:t>
            </w:r>
            <w:r>
              <w:rPr>
                <w:color w:val="000000"/>
                <w:highlight w:val="none"/>
              </w:rPr>
              <w:t>处理说明</w:t>
            </w:r>
          </w:p>
          <w:p w14:paraId="2EF10687">
            <w:pPr>
              <w:pStyle w:val="24"/>
              <w:jc w:val="both"/>
              <w:rPr>
                <w:bCs/>
                <w:color w:val="000000"/>
                <w:highlight w:val="none"/>
              </w:rPr>
            </w:pPr>
            <w:r>
              <w:rPr>
                <w:rFonts w:hint="eastAsia"/>
                <w:color w:val="000000"/>
                <w:sz w:val="24"/>
                <w:szCs w:val="21"/>
                <w:highlight w:val="none"/>
              </w:rPr>
              <w:t>本项目</w:t>
            </w:r>
            <w:r>
              <w:rPr>
                <w:color w:val="000000"/>
                <w:sz w:val="24"/>
                <w:szCs w:val="21"/>
                <w:highlight w:val="none"/>
              </w:rPr>
              <w:t>试油过程中会采用多种措施使地层流体进入井筒，采出地面，进入地面方罐中。</w:t>
            </w:r>
            <w:r>
              <w:rPr>
                <w:rFonts w:hint="eastAsia"/>
                <w:color w:val="000000"/>
                <w:sz w:val="24"/>
                <w:szCs w:val="21"/>
                <w:highlight w:val="none"/>
              </w:rPr>
              <w:t>工程</w:t>
            </w:r>
            <w:r>
              <w:rPr>
                <w:color w:val="000000"/>
                <w:sz w:val="24"/>
                <w:szCs w:val="21"/>
                <w:highlight w:val="none"/>
              </w:rPr>
              <w:t>试油期</w:t>
            </w:r>
            <w:r>
              <w:rPr>
                <w:rFonts w:hint="eastAsia"/>
                <w:color w:val="000000"/>
                <w:sz w:val="24"/>
                <w:szCs w:val="21"/>
                <w:highlight w:val="none"/>
              </w:rPr>
              <w:t>试采液</w:t>
            </w:r>
            <w:r>
              <w:rPr>
                <w:color w:val="000000"/>
                <w:sz w:val="24"/>
                <w:szCs w:val="21"/>
                <w:highlight w:val="none"/>
              </w:rPr>
              <w:t>由罐车拉运</w:t>
            </w:r>
            <w:r>
              <w:rPr>
                <w:rFonts w:hint="eastAsia"/>
                <w:color w:val="000000"/>
                <w:sz w:val="24"/>
                <w:szCs w:val="21"/>
                <w:highlight w:val="none"/>
              </w:rPr>
              <w:t>至</w:t>
            </w:r>
            <w:r>
              <w:rPr>
                <w:rFonts w:hint="eastAsia"/>
                <w:color w:val="000000"/>
                <w:spacing w:val="4"/>
                <w:sz w:val="24"/>
                <w:szCs w:val="21"/>
                <w:highlight w:val="none"/>
              </w:rPr>
              <w:t>石西集中处理站</w:t>
            </w:r>
            <w:r>
              <w:rPr>
                <w:color w:val="000000"/>
                <w:sz w:val="24"/>
                <w:szCs w:val="21"/>
                <w:highlight w:val="none"/>
              </w:rPr>
              <w:t>进行处理。</w:t>
            </w:r>
            <w:bookmarkEnd w:id="17"/>
            <w:bookmarkEnd w:id="23"/>
            <w:bookmarkEnd w:id="24"/>
            <w:bookmarkEnd w:id="25"/>
            <w:bookmarkStart w:id="34" w:name="_Hlk43201977"/>
            <w:bookmarkEnd w:id="34"/>
          </w:p>
        </w:tc>
      </w:tr>
      <w:tr w14:paraId="035EB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879" w:type="dxa"/>
            <w:noWrap w:val="0"/>
            <w:tcMar>
              <w:left w:w="28" w:type="dxa"/>
              <w:right w:w="28" w:type="dxa"/>
            </w:tcMar>
            <w:vAlign w:val="center"/>
          </w:tcPr>
          <w:p w14:paraId="71E24B5E">
            <w:pPr>
              <w:pStyle w:val="14"/>
              <w:spacing w:before="0" w:beforeAutospacing="0" w:after="0" w:afterAutospacing="0"/>
              <w:jc w:val="center"/>
              <w:rPr>
                <w:rFonts w:ascii="Times New Roman" w:hAnsi="Times New Roman"/>
                <w:bCs/>
                <w:color w:val="000000"/>
                <w:kern w:val="2"/>
                <w:highlight w:val="none"/>
              </w:rPr>
            </w:pPr>
            <w:r>
              <w:rPr>
                <w:rFonts w:ascii="Times New Roman" w:hAnsi="Times New Roman"/>
                <w:bCs/>
                <w:color w:val="000000"/>
                <w:spacing w:val="10"/>
                <w:kern w:val="2"/>
                <w:highlight w:val="none"/>
              </w:rPr>
              <w:t>运营期生态环境影响分析</w:t>
            </w:r>
          </w:p>
        </w:tc>
        <w:tc>
          <w:tcPr>
            <w:tcW w:w="8363" w:type="dxa"/>
            <w:noWrap w:val="0"/>
            <w:vAlign w:val="top"/>
          </w:tcPr>
          <w:p w14:paraId="5502CFA4">
            <w:pPr>
              <w:pStyle w:val="24"/>
              <w:jc w:val="both"/>
              <w:rPr>
                <w:bCs/>
                <w:color w:val="000000"/>
                <w:highlight w:val="none"/>
              </w:rPr>
            </w:pPr>
            <w:r>
              <w:rPr>
                <w:color w:val="000000"/>
                <w:sz w:val="24"/>
                <w:szCs w:val="21"/>
                <w:highlight w:val="none"/>
              </w:rPr>
              <w:t>本项目无营运期，试油结束后视试油结果决定是否转为生产井，若可转为生产井，则应当在产能开发建设前开展其环境影响评价工作。如发现该井不具开发价值或目的层不含油，则进行封井，拆除井口装置，最后清理场地，清除各种固体废弃物，恢复至相对自然的地貌。封井后，人员撤离，区域内没有了人为的扰动，井场范围内的自然植被会逐渐得以恢复，有助于区域生态环境的改善。</w:t>
            </w:r>
          </w:p>
        </w:tc>
      </w:tr>
      <w:tr w14:paraId="5FE87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80" w:hRule="atLeast"/>
          <w:jc w:val="center"/>
        </w:trPr>
        <w:tc>
          <w:tcPr>
            <w:tcW w:w="879" w:type="dxa"/>
            <w:noWrap w:val="0"/>
            <w:vAlign w:val="center"/>
          </w:tcPr>
          <w:p w14:paraId="43FABE19">
            <w:pPr>
              <w:pStyle w:val="14"/>
              <w:spacing w:before="0" w:beforeAutospacing="0" w:after="0" w:afterAutospacing="0"/>
              <w:jc w:val="center"/>
              <w:rPr>
                <w:rFonts w:ascii="Times New Roman" w:hAnsi="Times New Roman"/>
                <w:bCs/>
                <w:color w:val="000000"/>
                <w:kern w:val="2"/>
                <w:highlight w:val="none"/>
              </w:rPr>
            </w:pPr>
            <w:r>
              <w:rPr>
                <w:rFonts w:ascii="Times New Roman" w:hAnsi="Times New Roman"/>
                <w:bCs/>
                <w:color w:val="000000"/>
                <w:kern w:val="2"/>
                <w:highlight w:val="none"/>
              </w:rPr>
              <w:t>选址选线环境合理性分析</w:t>
            </w:r>
          </w:p>
        </w:tc>
        <w:tc>
          <w:tcPr>
            <w:tcW w:w="8363" w:type="dxa"/>
            <w:noWrap w:val="0"/>
            <w:vAlign w:val="center"/>
          </w:tcPr>
          <w:p w14:paraId="66491526">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根据《井场布置原则和技术要求》（SY/T5958-94）中5.1井场布置技术要求“一般油、气井口距民房100m以外”。根据《石油天然气钻井井控技术规范》（GB/T31033-2014）中井控设计要求“油气井井口距高压线及其他永久性设施不小于75m；距居宅不小于100m；距铁路及高速公路不小于200m；距学校、医院、油库、人口密集及高危场所等不小于500m”。本项目钻井不在铁路、高速公路、国道、省等重要交通干线两侧200m范围以内，符合《新疆维吾尔自治区重点行业环境准入条件（修订）》（新环发〔2017〕1号）要求。</w:t>
            </w:r>
          </w:p>
          <w:p w14:paraId="773EE3F6">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本项目不在自然保护区、风景名胜区、饮用水水源保护区等特殊敏感区域和重要生态敏感区域内，符合区域经济发展规划、环保规划，无重大环境制约因素。本工程土地利用类型为灌木林地，不占用基本农田。对项目区的生态影响呈点状分布，仅影响井场占地范围内土壤、植被等。本工程钻井结束后对临时占地进行地貌恢复，工程造成的生物量损失较小。</w:t>
            </w:r>
          </w:p>
          <w:p w14:paraId="1BD81B0A">
            <w:pPr>
              <w:pStyle w:val="24"/>
              <w:jc w:val="both"/>
              <w:rPr>
                <w:rFonts w:hint="default" w:ascii="Times New Roman" w:hAnsi="Times New Roman" w:cs="Times New Roman"/>
                <w:color w:val="000000"/>
                <w:sz w:val="24"/>
                <w:szCs w:val="21"/>
                <w:highlight w:val="none"/>
              </w:rPr>
            </w:pPr>
            <w:r>
              <w:rPr>
                <w:rFonts w:hint="default" w:ascii="Times New Roman" w:hAnsi="Times New Roman" w:cs="Times New Roman"/>
                <w:color w:val="000000"/>
                <w:sz w:val="24"/>
                <w:szCs w:val="21"/>
                <w:highlight w:val="none"/>
              </w:rPr>
              <w:t>本项目莫173井位于玛纳斯县土地沙化生态保护红线区。严格执行《关于加强生态保护红线管理的通知（试行）》（自然资发〔2022〕142号）相关要求。</w:t>
            </w:r>
          </w:p>
          <w:p w14:paraId="62809F7E">
            <w:pPr>
              <w:pStyle w:val="14"/>
              <w:widowControl w:val="0"/>
              <w:spacing w:before="0" w:beforeAutospacing="0" w:after="0" w:afterAutospacing="0" w:line="360" w:lineRule="auto"/>
              <w:ind w:firstLine="480" w:firstLineChars="200"/>
              <w:jc w:val="both"/>
              <w:rPr>
                <w:rFonts w:hint="default" w:ascii="Times New Roman" w:hAnsi="Times New Roman" w:cs="Times New Roman"/>
                <w:color w:val="000000"/>
                <w:highlight w:val="none"/>
              </w:rPr>
            </w:pPr>
            <w:r>
              <w:rPr>
                <w:rFonts w:hint="default" w:ascii="Times New Roman" w:hAnsi="Times New Roman" w:cs="Times New Roman"/>
                <w:color w:val="000000"/>
                <w:highlight w:val="none"/>
              </w:rPr>
              <w:t>本项目施工期严格规范作业，限制施工人员活动，仅在井场范围内进行施工活动，严禁破坏生态保护红线区生态环境。本项目已开展不可避让论证报告，见附件2。本项目已获取临时用地批复《关于新疆油田公司2024年部署采气一厂盆10区块莫173井项目临时用地的批复》昌州自然资函〔2025〕42号见附件3。本项目无历史遗留问题。本项目实施严格监督管理制度，细化施工期间部门责任管理制度，严格保护生态红线区环境。</w:t>
            </w:r>
          </w:p>
          <w:p w14:paraId="37849938">
            <w:pPr>
              <w:pStyle w:val="24"/>
              <w:jc w:val="both"/>
              <w:rPr>
                <w:color w:val="000000"/>
                <w:highlight w:val="none"/>
              </w:rPr>
            </w:pPr>
            <w:r>
              <w:rPr>
                <w:rFonts w:hint="eastAsia" w:ascii="Times New Roman" w:hAnsi="Times New Roman" w:cs="Times New Roman"/>
                <w:color w:val="000000"/>
                <w:sz w:val="24"/>
                <w:szCs w:val="21"/>
                <w:highlight w:val="none"/>
              </w:rPr>
              <w:t>根据</w:t>
            </w:r>
            <w:r>
              <w:rPr>
                <w:rFonts w:hint="default" w:ascii="Times New Roman" w:hAnsi="Times New Roman" w:cs="Times New Roman"/>
                <w:color w:val="000000"/>
                <w:sz w:val="24"/>
                <w:szCs w:val="21"/>
                <w:highlight w:val="none"/>
              </w:rPr>
              <w:t>《关于在国土空间规划中统筹划定落实三条控制线的指导意见》</w:t>
            </w:r>
            <w:r>
              <w:rPr>
                <w:rFonts w:hint="eastAsia" w:ascii="Times New Roman" w:hAnsi="Times New Roman" w:cs="Times New Roman"/>
                <w:color w:val="000000"/>
                <w:sz w:val="24"/>
                <w:szCs w:val="21"/>
                <w:highlight w:val="none"/>
              </w:rPr>
              <w:t>（2019年11月1日）第二条第四款中指出：生态保护红线内，自然保护地核心保护区原则上禁止人为活动，其他区域严格禁止开发性、生产性建设活动，在符合现行法律法规前提下，除国家重大战略项目外，仅允许对生态功能不造成破坏的有限人为活动，其中包括因国家重大能源资源安全需要开展的战略性能源资源勘查，公益性自然资源调查和地质勘查。</w:t>
            </w:r>
            <w:r>
              <w:rPr>
                <w:rFonts w:hint="default" w:ascii="Times New Roman" w:hAnsi="Times New Roman" w:cs="Times New Roman"/>
                <w:color w:val="000000"/>
                <w:sz w:val="24"/>
                <w:szCs w:val="21"/>
                <w:highlight w:val="none"/>
              </w:rPr>
              <w:t>本项目是落实国家能源局部署的新疆油田重点开发工程。因出油点位于生态保护红线内，若进行避让，则无法开展钻探作业，直接影响北疆油气开发进度，阻碍国家能源战略落地。从保障国家能源开发战略实施及工程可行性角度出发，本项目占用生态保护红线具有不可避让性。</w:t>
            </w:r>
          </w:p>
        </w:tc>
      </w:tr>
      <w:tr w14:paraId="22352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879" w:type="dxa"/>
            <w:noWrap w:val="0"/>
            <w:vAlign w:val="center"/>
          </w:tcPr>
          <w:p w14:paraId="25F8295F">
            <w:pPr>
              <w:pStyle w:val="14"/>
              <w:spacing w:before="0" w:beforeAutospacing="0" w:after="0" w:afterAutospacing="0"/>
              <w:jc w:val="center"/>
              <w:rPr>
                <w:rFonts w:ascii="Times New Roman" w:hAnsi="Times New Roman"/>
                <w:bCs/>
                <w:color w:val="000000"/>
                <w:kern w:val="2"/>
                <w:highlight w:val="none"/>
              </w:rPr>
            </w:pPr>
          </w:p>
        </w:tc>
        <w:tc>
          <w:tcPr>
            <w:tcW w:w="8363" w:type="dxa"/>
            <w:noWrap w:val="0"/>
            <w:vAlign w:val="center"/>
          </w:tcPr>
          <w:p w14:paraId="5863568E">
            <w:pPr>
              <w:pStyle w:val="24"/>
              <w:jc w:val="both"/>
              <w:rPr>
                <w:rFonts w:hint="eastAsia" w:ascii="Times New Roman" w:hAnsi="Times New Roman"/>
                <w:color w:val="000000"/>
                <w:sz w:val="24"/>
                <w:szCs w:val="21"/>
                <w:highlight w:val="none"/>
              </w:rPr>
            </w:pPr>
            <w:r>
              <w:rPr>
                <w:rFonts w:hint="eastAsia" w:ascii="Times New Roman" w:hAnsi="Times New Roman"/>
                <w:color w:val="000000"/>
                <w:sz w:val="24"/>
                <w:szCs w:val="21"/>
                <w:highlight w:val="none"/>
              </w:rPr>
              <w:t>根据《新疆维吾尔自治区“三线一单”生态环境分区管控方案》（2021年2月21日）中的要求：确实无法避让的，应依法依规履行手续，强化减缓生态环境影响和生态补偿措施。</w:t>
            </w:r>
          </w:p>
          <w:p w14:paraId="2A1F2DA9">
            <w:pPr>
              <w:pStyle w:val="24"/>
              <w:jc w:val="both"/>
              <w:rPr>
                <w:color w:val="000000"/>
                <w:highlight w:val="none"/>
              </w:rPr>
            </w:pPr>
            <w:r>
              <w:rPr>
                <w:rFonts w:ascii="Times New Roman" w:hAnsi="Times New Roman"/>
                <w:color w:val="000000"/>
                <w:sz w:val="24"/>
                <w:szCs w:val="21"/>
                <w:highlight w:val="none"/>
              </w:rPr>
              <w:t>综上，本项目选址、选线是合理的。</w:t>
            </w:r>
          </w:p>
          <w:p w14:paraId="53A25EBB">
            <w:pPr>
              <w:pStyle w:val="24"/>
              <w:jc w:val="both"/>
              <w:rPr>
                <w:rFonts w:hint="eastAsia" w:ascii="Times New Roman" w:hAnsi="Times New Roman"/>
                <w:color w:val="000000"/>
                <w:sz w:val="24"/>
                <w:szCs w:val="21"/>
                <w:highlight w:val="none"/>
                <w:lang w:eastAsia="zh-CN"/>
              </w:rPr>
            </w:pPr>
          </w:p>
          <w:p w14:paraId="27F31724">
            <w:pPr>
              <w:ind w:firstLine="263" w:firstLineChars="0"/>
              <w:jc w:val="both"/>
              <w:rPr>
                <w:color w:val="000000"/>
                <w:highlight w:val="none"/>
              </w:rPr>
            </w:pPr>
          </w:p>
        </w:tc>
      </w:tr>
    </w:tbl>
    <w:p w14:paraId="1DE186CB">
      <w:pPr>
        <w:pStyle w:val="14"/>
        <w:jc w:val="center"/>
        <w:rPr>
          <w:rFonts w:ascii="Times New Roman" w:hAnsi="Times New Roman"/>
          <w:snapToGrid w:val="0"/>
          <w:color w:val="000000"/>
          <w:sz w:val="36"/>
          <w:szCs w:val="36"/>
          <w:highlight w:val="none"/>
        </w:rPr>
        <w:sectPr>
          <w:footerReference r:id="rId5" w:type="default"/>
          <w:pgSz w:w="11906" w:h="16838"/>
          <w:pgMar w:top="1701" w:right="1531" w:bottom="1701" w:left="1531" w:header="851" w:footer="1077" w:gutter="0"/>
          <w:pgNumType w:start="1"/>
          <w:cols w:space="720" w:num="1"/>
          <w:docGrid w:linePitch="312" w:charSpace="0"/>
        </w:sectPr>
      </w:pPr>
    </w:p>
    <w:p w14:paraId="3D292F1E">
      <w:pPr>
        <w:pStyle w:val="14"/>
        <w:spacing w:before="0" w:beforeAutospacing="0" w:after="0" w:afterAutospacing="0" w:line="14" w:lineRule="auto"/>
        <w:jc w:val="center"/>
        <w:rPr>
          <w:rFonts w:ascii="Times New Roman" w:hAnsi="Times New Roman"/>
          <w:snapToGrid w:val="0"/>
          <w:color w:val="000000"/>
          <w:sz w:val="30"/>
          <w:szCs w:val="30"/>
          <w:highlight w:val="none"/>
        </w:rPr>
      </w:pPr>
    </w:p>
    <w:p w14:paraId="3BA53AD7">
      <w:pPr>
        <w:pStyle w:val="14"/>
        <w:jc w:val="center"/>
        <w:outlineLvl w:val="0"/>
        <w:rPr>
          <w:rFonts w:ascii="Times New Roman" w:hAnsi="Times New Roman" w:eastAsia="黑体"/>
          <w:snapToGrid w:val="0"/>
          <w:color w:val="000000"/>
          <w:sz w:val="30"/>
          <w:szCs w:val="30"/>
          <w:highlight w:val="none"/>
        </w:rPr>
      </w:pPr>
      <w:r>
        <w:rPr>
          <w:rFonts w:ascii="Times New Roman" w:hAnsi="Times New Roman" w:eastAsia="黑体"/>
          <w:snapToGrid w:val="0"/>
          <w:color w:val="000000"/>
          <w:sz w:val="30"/>
          <w:szCs w:val="30"/>
          <w:highlight w:val="none"/>
        </w:rPr>
        <w:t>五、主要生态环境保护措施</w:t>
      </w:r>
    </w:p>
    <w:tbl>
      <w:tblPr>
        <w:tblStyle w:val="16"/>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14:paraId="0A681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09" w:hRule="atLeast"/>
          <w:jc w:val="center"/>
        </w:trPr>
        <w:tc>
          <w:tcPr>
            <w:tcW w:w="753" w:type="dxa"/>
            <w:noWrap w:val="0"/>
            <w:tcMar>
              <w:left w:w="28" w:type="dxa"/>
              <w:right w:w="28" w:type="dxa"/>
            </w:tcMar>
            <w:vAlign w:val="center"/>
          </w:tcPr>
          <w:p w14:paraId="659CCBF0">
            <w:pPr>
              <w:rPr>
                <w:bCs/>
                <w:color w:val="000000"/>
                <w:highlight w:val="none"/>
              </w:rPr>
            </w:pPr>
            <w:r>
              <w:rPr>
                <w:bCs/>
                <w:color w:val="000000"/>
                <w:spacing w:val="10"/>
                <w:highlight w:val="none"/>
              </w:rPr>
              <w:t>施工期生态环境保护措施</w:t>
            </w:r>
          </w:p>
        </w:tc>
        <w:tc>
          <w:tcPr>
            <w:tcW w:w="8457" w:type="dxa"/>
            <w:noWrap w:val="0"/>
            <w:vAlign w:val="top"/>
          </w:tcPr>
          <w:p w14:paraId="4281AD65">
            <w:pPr>
              <w:pStyle w:val="3"/>
              <w:rPr>
                <w:color w:val="000000"/>
                <w:szCs w:val="24"/>
                <w:highlight w:val="none"/>
              </w:rPr>
            </w:pPr>
            <w:bookmarkStart w:id="35" w:name="_Hlk26201142"/>
            <w:r>
              <w:rPr>
                <w:color w:val="000000"/>
                <w:szCs w:val="24"/>
                <w:highlight w:val="none"/>
              </w:rPr>
              <w:t>1 大气污染防治措施</w:t>
            </w:r>
          </w:p>
          <w:bookmarkEnd w:id="35"/>
          <w:p w14:paraId="52A8D0E5">
            <w:pPr>
              <w:pStyle w:val="24"/>
              <w:rPr>
                <w:rFonts w:ascii="Times New Roman" w:hAnsi="Times New Roman"/>
                <w:color w:val="000000"/>
                <w:sz w:val="24"/>
                <w:szCs w:val="21"/>
                <w:highlight w:val="none"/>
              </w:rPr>
            </w:pPr>
            <w:r>
              <w:rPr>
                <w:rFonts w:ascii="Times New Roman" w:hAnsi="Times New Roman"/>
                <w:color w:val="000000"/>
                <w:sz w:val="24"/>
                <w:szCs w:val="21"/>
                <w:highlight w:val="none"/>
              </w:rPr>
              <w:t>（1）尽量利用现有公路网络；其次是对使用频繁的道路路面进行洒水处理，运输车辆进入施工区域，应以中、低速行驶（速度</w:t>
            </w:r>
            <w:r>
              <w:rPr>
                <w:rFonts w:hint="eastAsia" w:ascii="Times New Roman" w:hAnsi="Times New Roman"/>
                <w:color w:val="000000"/>
                <w:sz w:val="24"/>
                <w:szCs w:val="21"/>
                <w:highlight w:val="none"/>
              </w:rPr>
              <w:t>＜</w:t>
            </w:r>
            <w:r>
              <w:rPr>
                <w:rFonts w:ascii="Times New Roman" w:hAnsi="Times New Roman"/>
                <w:color w:val="000000"/>
                <w:sz w:val="24"/>
                <w:szCs w:val="21"/>
                <w:highlight w:val="none"/>
              </w:rPr>
              <w:t>40km/h）。</w:t>
            </w:r>
          </w:p>
          <w:p w14:paraId="3D9E5145">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井场设备的放置进行合理优化，尽可能少占土地，对工作区域外的场地严禁车辆和人员进入、占用，避免破坏植被和造成土地松动；作业场地保持一定湿度，进出车辆严格限速，装卸器材文明作业，防止沙尘飞扬。</w:t>
            </w:r>
          </w:p>
          <w:p w14:paraId="112F99E2">
            <w:pPr>
              <w:pStyle w:val="24"/>
              <w:rPr>
                <w:rFonts w:ascii="Times New Roman" w:hAnsi="Times New Roman"/>
                <w:color w:val="000000"/>
                <w:sz w:val="24"/>
                <w:szCs w:val="21"/>
                <w:highlight w:val="none"/>
              </w:rPr>
            </w:pPr>
            <w:r>
              <w:rPr>
                <w:rFonts w:ascii="Times New Roman" w:hAnsi="Times New Roman"/>
                <w:color w:val="000000"/>
                <w:sz w:val="24"/>
                <w:szCs w:val="21"/>
                <w:highlight w:val="none"/>
              </w:rPr>
              <w:t>（3）定期对钻机、柴油发电机等设备进行维护，定期对柴油发电机进行污染物排放检测，确保其污染物排放达到《非道路柴油移动机械污染物排放控制技术要求》（HJ 1014-2020）中的标准要求。</w:t>
            </w:r>
          </w:p>
          <w:p w14:paraId="0820CD0C">
            <w:pPr>
              <w:pStyle w:val="24"/>
              <w:rPr>
                <w:rFonts w:ascii="Times New Roman" w:hAnsi="Times New Roman"/>
                <w:color w:val="000000"/>
                <w:sz w:val="24"/>
                <w:szCs w:val="21"/>
                <w:highlight w:val="none"/>
              </w:rPr>
            </w:pPr>
            <w:r>
              <w:rPr>
                <w:rFonts w:ascii="Times New Roman" w:hAnsi="Times New Roman"/>
                <w:color w:val="000000"/>
                <w:sz w:val="24"/>
                <w:szCs w:val="21"/>
                <w:highlight w:val="none"/>
              </w:rPr>
              <w:t>（4）禁止焚烧原油、废油品及各类废弃物，防止产生废气污染。</w:t>
            </w:r>
          </w:p>
          <w:p w14:paraId="62986E6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（5）钻井材料集中堆放，下垫上盖，防止起尘。</w:t>
            </w:r>
          </w:p>
          <w:p w14:paraId="2C8D3850">
            <w:pPr>
              <w:pStyle w:val="24"/>
              <w:rPr>
                <w:rFonts w:ascii="Times New Roman" w:hAnsi="Times New Roman"/>
                <w:color w:val="000000"/>
                <w:sz w:val="24"/>
                <w:szCs w:val="21"/>
                <w:highlight w:val="none"/>
              </w:rPr>
            </w:pPr>
            <w:r>
              <w:rPr>
                <w:rFonts w:ascii="Times New Roman" w:hAnsi="Times New Roman"/>
                <w:color w:val="000000"/>
                <w:sz w:val="24"/>
                <w:szCs w:val="21"/>
                <w:highlight w:val="none"/>
              </w:rPr>
              <w:t>（6）采用技术质量可靠的设备、仪表控制、阀门等，烃类机泵采用无泄漏屏蔽泵。</w:t>
            </w:r>
          </w:p>
          <w:p w14:paraId="3E4949C8">
            <w:pPr>
              <w:pStyle w:val="24"/>
              <w:rPr>
                <w:rFonts w:ascii="Times New Roman" w:hAnsi="Times New Roman"/>
                <w:color w:val="000000"/>
                <w:sz w:val="24"/>
                <w:szCs w:val="21"/>
                <w:highlight w:val="none"/>
              </w:rPr>
            </w:pPr>
            <w:r>
              <w:rPr>
                <w:rFonts w:ascii="Times New Roman" w:hAnsi="Times New Roman"/>
                <w:color w:val="000000"/>
                <w:sz w:val="24"/>
                <w:szCs w:val="21"/>
                <w:highlight w:val="none"/>
              </w:rPr>
              <w:t>（7）钻井期和试油期对井场的设备、阀门等进行定期的检查、检修，以减少跑、冒、滴、漏的发生，消除事故隐患，防止油气泄漏进入大气环境。一旦发生泄漏事故，紧急切断油、气源，从而最大限度地减少烃类及油的排放量。</w:t>
            </w:r>
          </w:p>
          <w:p w14:paraId="2AA484ED">
            <w:pPr>
              <w:pStyle w:val="24"/>
              <w:rPr>
                <w:rFonts w:ascii="Times New Roman" w:hAnsi="Times New Roman"/>
                <w:color w:val="000000"/>
                <w:sz w:val="24"/>
                <w:szCs w:val="21"/>
                <w:highlight w:val="none"/>
              </w:rPr>
            </w:pPr>
            <w:r>
              <w:rPr>
                <w:rFonts w:ascii="Times New Roman" w:hAnsi="Times New Roman"/>
                <w:color w:val="000000"/>
                <w:sz w:val="24"/>
                <w:szCs w:val="21"/>
                <w:highlight w:val="none"/>
              </w:rPr>
              <w:t>（8）</w:t>
            </w:r>
            <w:r>
              <w:rPr>
                <w:rFonts w:ascii="Times New Roman" w:hAnsi="Times New Roman"/>
                <w:color w:val="000000"/>
                <w:sz w:val="24"/>
                <w:szCs w:val="21"/>
                <w:highlight w:val="none"/>
                <w:lang w:bidi="ar"/>
              </w:rPr>
              <w:t>试油期若伴生气量较小、不具备回收利用条件时，经过液气分离后通过放散管点火排放。</w:t>
            </w:r>
            <w:r>
              <w:rPr>
                <w:rFonts w:ascii="Times New Roman" w:hAnsi="Times New Roman"/>
                <w:color w:val="000000"/>
                <w:kern w:val="0"/>
                <w:sz w:val="24"/>
                <w:szCs w:val="21"/>
                <w:highlight w:val="none"/>
              </w:rPr>
              <w:t>若</w:t>
            </w:r>
            <w:r>
              <w:rPr>
                <w:rFonts w:ascii="Times New Roman" w:hAnsi="Times New Roman"/>
                <w:color w:val="000000"/>
                <w:sz w:val="24"/>
                <w:szCs w:val="21"/>
                <w:highlight w:val="none"/>
              </w:rPr>
              <w:t>伴生气</w:t>
            </w:r>
            <w:r>
              <w:rPr>
                <w:rFonts w:ascii="Times New Roman" w:hAnsi="Times New Roman"/>
                <w:color w:val="000000"/>
                <w:kern w:val="0"/>
                <w:sz w:val="24"/>
                <w:szCs w:val="21"/>
                <w:highlight w:val="none"/>
              </w:rPr>
              <w:t>量较大时，应采取撬装天然气回收装置进行回收。</w:t>
            </w:r>
          </w:p>
          <w:p w14:paraId="7BE8DDE5">
            <w:pPr>
              <w:pStyle w:val="24"/>
              <w:jc w:val="both"/>
              <w:rPr>
                <w:rFonts w:ascii="Times New Roman" w:hAnsi="Times New Roman"/>
                <w:color w:val="000000"/>
                <w:sz w:val="24"/>
                <w:szCs w:val="21"/>
                <w:highlight w:val="none"/>
              </w:rPr>
            </w:pPr>
            <w:r>
              <w:rPr>
                <w:rFonts w:ascii="Times New Roman" w:hAnsi="Times New Roman"/>
                <w:color w:val="000000"/>
                <w:sz w:val="24"/>
                <w:szCs w:val="21"/>
                <w:highlight w:val="none"/>
              </w:rPr>
              <w:t>（9）试油期原油运载工具（汽车油罐车）加强管控，采用底部装载或顶部浸没式装载方式，采用顶部浸没式装载的，出口管口距离罐底部高度应小于200mm。</w:t>
            </w:r>
          </w:p>
          <w:p w14:paraId="22B6B595">
            <w:pPr>
              <w:pStyle w:val="23"/>
              <w:jc w:val="both"/>
              <w:rPr>
                <w:color w:val="000000"/>
                <w:sz w:val="28"/>
                <w:szCs w:val="28"/>
                <w:highlight w:val="none"/>
              </w:rPr>
            </w:pPr>
            <w:r>
              <w:rPr>
                <w:color w:val="000000"/>
                <w:sz w:val="28"/>
                <w:szCs w:val="28"/>
                <w:highlight w:val="none"/>
              </w:rPr>
              <w:t>2 水污染防治措施</w:t>
            </w:r>
          </w:p>
          <w:p w14:paraId="4279B763">
            <w:pPr>
              <w:spacing w:line="360" w:lineRule="auto"/>
              <w:jc w:val="both"/>
              <w:rPr>
                <w:b/>
                <w:color w:val="000000"/>
                <w:highlight w:val="none"/>
              </w:rPr>
            </w:pPr>
            <w:r>
              <w:rPr>
                <w:b/>
                <w:color w:val="000000"/>
                <w:highlight w:val="none"/>
              </w:rPr>
              <w:t>2.1 废水处置</w:t>
            </w:r>
          </w:p>
          <w:p w14:paraId="2CC9252C">
            <w:pPr>
              <w:numPr>
                <w:ilvl w:val="0"/>
                <w:numId w:val="8"/>
              </w:numPr>
              <w:spacing w:line="360" w:lineRule="auto"/>
              <w:ind w:firstLine="480" w:firstLineChars="200"/>
              <w:jc w:val="both"/>
              <w:rPr>
                <w:color w:val="000000"/>
                <w:highlight w:val="none"/>
              </w:rPr>
            </w:pPr>
            <w:r>
              <w:rPr>
                <w:color w:val="000000"/>
                <w:highlight w:val="none"/>
              </w:rPr>
              <w:t>采用“钻井泥浆不落地技术”，严格落实防渗措施，钻井液循环使用，不外排。</w:t>
            </w:r>
          </w:p>
          <w:p w14:paraId="23F151FF">
            <w:pPr>
              <w:pStyle w:val="24"/>
              <w:numPr>
                <w:ilvl w:val="0"/>
                <w:numId w:val="8"/>
              </w:numPr>
              <w:adjustRightInd/>
              <w:snapToGrid/>
              <w:jc w:val="both"/>
              <w:rPr>
                <w:rFonts w:ascii="Times New Roman" w:hAnsi="Times New Roman"/>
                <w:color w:val="000000"/>
                <w:sz w:val="24"/>
                <w:szCs w:val="24"/>
                <w:highlight w:val="none"/>
              </w:rPr>
            </w:pPr>
            <w:r>
              <w:rPr>
                <w:rFonts w:ascii="Times New Roman" w:hAnsi="Times New Roman"/>
                <w:color w:val="000000"/>
                <w:sz w:val="24"/>
                <w:szCs w:val="24"/>
                <w:highlight w:val="none"/>
              </w:rPr>
              <w:t>洗井废水采用专用废液收集罐收集后</w:t>
            </w:r>
            <w:r>
              <w:rPr>
                <w:rFonts w:ascii="Times New Roman" w:hAnsi="Times New Roman"/>
                <w:color w:val="000000"/>
                <w:spacing w:val="4"/>
                <w:sz w:val="24"/>
                <w:szCs w:val="24"/>
                <w:highlight w:val="none"/>
              </w:rPr>
              <w:t>拉</w:t>
            </w:r>
            <w:r>
              <w:rPr>
                <w:rFonts w:ascii="Times New Roman" w:hAnsi="Times New Roman"/>
                <w:color w:val="000000"/>
                <w:sz w:val="24"/>
                <w:szCs w:val="24"/>
                <w:highlight w:val="none"/>
              </w:rPr>
              <w:t>运至石西集中处理站修井废液池中后再回收至石西采出水处理系统处理，处理达标后回注油藏。</w:t>
            </w:r>
          </w:p>
          <w:p w14:paraId="4559DA54">
            <w:pPr>
              <w:pStyle w:val="24"/>
              <w:numPr>
                <w:ilvl w:val="0"/>
                <w:numId w:val="8"/>
              </w:numPr>
              <w:adjustRightInd/>
              <w:snapToGrid/>
              <w:jc w:val="both"/>
              <w:rPr>
                <w:rFonts w:ascii="Times New Roman" w:hAnsi="Times New Roman"/>
                <w:color w:val="000000"/>
                <w:sz w:val="24"/>
                <w:szCs w:val="24"/>
                <w:highlight w:val="none"/>
              </w:rPr>
            </w:pPr>
            <w:r>
              <w:rPr>
                <w:rFonts w:ascii="Times New Roman" w:hAnsi="Times New Roman"/>
                <w:color w:val="000000"/>
                <w:sz w:val="24"/>
                <w:szCs w:val="24"/>
                <w:highlight w:val="none"/>
              </w:rPr>
              <w:t>项目产生的压裂返排液进入罐车</w:t>
            </w:r>
            <w:r>
              <w:rPr>
                <w:rFonts w:hint="eastAsia" w:ascii="Times New Roman" w:hAnsi="Times New Roman"/>
                <w:color w:val="000000"/>
                <w:sz w:val="24"/>
                <w:szCs w:val="24"/>
                <w:highlight w:val="none"/>
              </w:rPr>
              <w:t>拉运至</w:t>
            </w:r>
            <w:r>
              <w:rPr>
                <w:rFonts w:ascii="Times New Roman" w:hAnsi="Times New Roman"/>
                <w:color w:val="000000"/>
                <w:sz w:val="24"/>
                <w:szCs w:val="24"/>
                <w:highlight w:val="none"/>
              </w:rPr>
              <w:t>石西集中处理站修井废液池中后再回收至石西采出水处理系统处理，达到《碎屑岩油藏注水水质指标技术要求及分析方法》（SY/T5329-2022）中标准后回注油藏。</w:t>
            </w:r>
          </w:p>
          <w:p w14:paraId="0126C84E">
            <w:pPr>
              <w:pStyle w:val="24"/>
              <w:numPr>
                <w:ilvl w:val="0"/>
                <w:numId w:val="8"/>
              </w:numPr>
              <w:adjustRightInd/>
              <w:snapToGrid/>
              <w:jc w:val="both"/>
              <w:rPr>
                <w:rFonts w:ascii="Times New Roman" w:hAnsi="Times New Roman"/>
                <w:color w:val="000000"/>
                <w:sz w:val="24"/>
                <w:szCs w:val="24"/>
                <w:highlight w:val="none"/>
              </w:rPr>
            </w:pPr>
            <w:r>
              <w:rPr>
                <w:rFonts w:ascii="Times New Roman" w:hAnsi="Times New Roman"/>
                <w:color w:val="000000"/>
                <w:sz w:val="24"/>
                <w:szCs w:val="24"/>
                <w:highlight w:val="none"/>
              </w:rPr>
              <w:t>生活污水排入生活营地内的防渗污水收集池，拉运至石西油田作业区生活区污水处理站处理。</w:t>
            </w:r>
          </w:p>
          <w:p w14:paraId="1028168B">
            <w:pPr>
              <w:spacing w:line="360" w:lineRule="auto"/>
              <w:jc w:val="both"/>
              <w:rPr>
                <w:b/>
                <w:color w:val="000000"/>
                <w:highlight w:val="none"/>
              </w:rPr>
            </w:pPr>
            <w:r>
              <w:rPr>
                <w:b/>
                <w:color w:val="000000"/>
                <w:highlight w:val="none"/>
              </w:rPr>
              <w:t>2.2 污染防治措施</w:t>
            </w:r>
          </w:p>
          <w:p w14:paraId="3A1772D8">
            <w:pPr>
              <w:numPr>
                <w:ilvl w:val="0"/>
                <w:numId w:val="9"/>
              </w:numPr>
              <w:spacing w:line="360" w:lineRule="auto"/>
              <w:ind w:firstLine="480" w:firstLineChars="200"/>
              <w:jc w:val="both"/>
              <w:rPr>
                <w:color w:val="000000"/>
                <w:highlight w:val="none"/>
              </w:rPr>
            </w:pPr>
            <w:r>
              <w:rPr>
                <w:color w:val="000000"/>
                <w:highlight w:val="none"/>
              </w:rPr>
              <w:t>防渗</w:t>
            </w:r>
          </w:p>
          <w:p w14:paraId="0794F89A">
            <w:pPr>
              <w:pStyle w:val="24"/>
              <w:adjustRightInd/>
              <w:snapToGrid/>
              <w:rPr>
                <w:rFonts w:ascii="Times New Roman" w:hAnsi="Times New Roman"/>
                <w:color w:val="000000"/>
                <w:sz w:val="24"/>
                <w:szCs w:val="21"/>
                <w:highlight w:val="none"/>
              </w:rPr>
            </w:pPr>
            <w:r>
              <w:rPr>
                <w:rFonts w:ascii="Times New Roman" w:hAnsi="Times New Roman"/>
                <w:color w:val="000000"/>
                <w:sz w:val="24"/>
                <w:szCs w:val="21"/>
                <w:highlight w:val="none"/>
              </w:rPr>
              <w:t>根据《环境影响评价技术导则地下水环境》（HJ 610-2016）表7和《石油化工工程防渗工程技术规范》（GB/T50934-2013）的要求，施工期生活污水收集池、柴油发电机用柴油罐区、钻井施工作业区设置防渗措施，防渗措施见表5-1。</w:t>
            </w:r>
          </w:p>
          <w:p w14:paraId="7B836006">
            <w:pPr>
              <w:pStyle w:val="20"/>
              <w:rPr>
                <w:rFonts w:ascii="Times New Roman" w:cs="Times New Roman"/>
                <w:bCs/>
                <w:color w:val="000000"/>
                <w:sz w:val="21"/>
                <w:szCs w:val="21"/>
                <w:highlight w:val="none"/>
              </w:rPr>
            </w:pPr>
            <w:r>
              <w:rPr>
                <w:rFonts w:ascii="Times New Roman" w:cs="Times New Roman"/>
                <w:bCs/>
                <w:color w:val="000000"/>
                <w:sz w:val="21"/>
                <w:szCs w:val="21"/>
                <w:highlight w:val="none"/>
              </w:rPr>
              <w:t>表5-1    场地防渗措施</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012"/>
              <w:gridCol w:w="1287"/>
              <w:gridCol w:w="3457"/>
            </w:tblGrid>
            <w:tr w14:paraId="6EB3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01" w:type="pct"/>
                  <w:noWrap w:val="0"/>
                  <w:vAlign w:val="center"/>
                </w:tcPr>
                <w:p w14:paraId="0257D130">
                  <w:pPr>
                    <w:autoSpaceDE w:val="0"/>
                    <w:autoSpaceDN w:val="0"/>
                    <w:rPr>
                      <w:color w:val="000000"/>
                      <w:sz w:val="21"/>
                      <w:szCs w:val="21"/>
                      <w:highlight w:val="none"/>
                    </w:rPr>
                  </w:pPr>
                  <w:r>
                    <w:rPr>
                      <w:color w:val="000000"/>
                      <w:sz w:val="21"/>
                      <w:szCs w:val="21"/>
                      <w:highlight w:val="none"/>
                    </w:rPr>
                    <w:t>场地</w:t>
                  </w:r>
                </w:p>
              </w:tc>
              <w:tc>
                <w:tcPr>
                  <w:tcW w:w="615" w:type="pct"/>
                  <w:noWrap w:val="0"/>
                  <w:vAlign w:val="center"/>
                </w:tcPr>
                <w:p w14:paraId="528EA0E2">
                  <w:pPr>
                    <w:autoSpaceDE w:val="0"/>
                    <w:autoSpaceDN w:val="0"/>
                    <w:rPr>
                      <w:color w:val="000000"/>
                      <w:sz w:val="21"/>
                      <w:szCs w:val="21"/>
                      <w:highlight w:val="none"/>
                    </w:rPr>
                  </w:pPr>
                  <w:r>
                    <w:rPr>
                      <w:color w:val="000000"/>
                      <w:sz w:val="21"/>
                      <w:szCs w:val="21"/>
                      <w:highlight w:val="none"/>
                    </w:rPr>
                    <w:t>防渗分区</w:t>
                  </w:r>
                </w:p>
              </w:tc>
              <w:tc>
                <w:tcPr>
                  <w:tcW w:w="782" w:type="pct"/>
                  <w:noWrap w:val="0"/>
                  <w:vAlign w:val="center"/>
                </w:tcPr>
                <w:p w14:paraId="0F37759E">
                  <w:pPr>
                    <w:autoSpaceDE w:val="0"/>
                    <w:autoSpaceDN w:val="0"/>
                    <w:rPr>
                      <w:color w:val="000000"/>
                      <w:sz w:val="21"/>
                      <w:szCs w:val="21"/>
                      <w:highlight w:val="none"/>
                    </w:rPr>
                  </w:pPr>
                  <w:r>
                    <w:rPr>
                      <w:color w:val="000000"/>
                      <w:sz w:val="21"/>
                      <w:szCs w:val="21"/>
                      <w:highlight w:val="none"/>
                    </w:rPr>
                    <w:t>污染物类型</w:t>
                  </w:r>
                </w:p>
              </w:tc>
              <w:tc>
                <w:tcPr>
                  <w:tcW w:w="2100" w:type="pct"/>
                  <w:noWrap w:val="0"/>
                  <w:vAlign w:val="center"/>
                </w:tcPr>
                <w:p w14:paraId="7C376B95">
                  <w:pPr>
                    <w:autoSpaceDE w:val="0"/>
                    <w:autoSpaceDN w:val="0"/>
                    <w:rPr>
                      <w:color w:val="000000"/>
                      <w:sz w:val="21"/>
                      <w:szCs w:val="21"/>
                      <w:highlight w:val="none"/>
                    </w:rPr>
                  </w:pPr>
                  <w:r>
                    <w:rPr>
                      <w:color w:val="000000"/>
                      <w:sz w:val="21"/>
                      <w:szCs w:val="21"/>
                      <w:highlight w:val="none"/>
                    </w:rPr>
                    <w:t>防渗措施</w:t>
                  </w:r>
                </w:p>
              </w:tc>
            </w:tr>
            <w:tr w14:paraId="28EF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501" w:type="pct"/>
                  <w:noWrap w:val="0"/>
                  <w:vAlign w:val="center"/>
                </w:tcPr>
                <w:p w14:paraId="1FFA0A8B">
                  <w:pPr>
                    <w:autoSpaceDE w:val="0"/>
                    <w:autoSpaceDN w:val="0"/>
                    <w:rPr>
                      <w:color w:val="000000"/>
                      <w:sz w:val="21"/>
                      <w:szCs w:val="21"/>
                      <w:highlight w:val="none"/>
                    </w:rPr>
                  </w:pPr>
                  <w:r>
                    <w:rPr>
                      <w:color w:val="000000"/>
                      <w:sz w:val="21"/>
                      <w:szCs w:val="21"/>
                      <w:highlight w:val="none"/>
                    </w:rPr>
                    <w:t>生活污水收集池</w:t>
                  </w:r>
                </w:p>
              </w:tc>
              <w:tc>
                <w:tcPr>
                  <w:tcW w:w="615" w:type="pct"/>
                  <w:noWrap w:val="0"/>
                  <w:vAlign w:val="center"/>
                </w:tcPr>
                <w:p w14:paraId="1CE74042">
                  <w:pPr>
                    <w:autoSpaceDE w:val="0"/>
                    <w:autoSpaceDN w:val="0"/>
                    <w:rPr>
                      <w:color w:val="000000"/>
                      <w:sz w:val="21"/>
                      <w:szCs w:val="21"/>
                      <w:highlight w:val="none"/>
                    </w:rPr>
                  </w:pPr>
                  <w:r>
                    <w:rPr>
                      <w:color w:val="000000"/>
                      <w:sz w:val="21"/>
                      <w:szCs w:val="21"/>
                      <w:highlight w:val="none"/>
                    </w:rPr>
                    <w:t>一般防渗区</w:t>
                  </w:r>
                </w:p>
              </w:tc>
              <w:tc>
                <w:tcPr>
                  <w:tcW w:w="782" w:type="pct"/>
                  <w:noWrap w:val="0"/>
                  <w:vAlign w:val="center"/>
                </w:tcPr>
                <w:p w14:paraId="2920288B">
                  <w:pPr>
                    <w:autoSpaceDE w:val="0"/>
                    <w:autoSpaceDN w:val="0"/>
                    <w:rPr>
                      <w:color w:val="000000"/>
                      <w:sz w:val="21"/>
                      <w:szCs w:val="21"/>
                      <w:highlight w:val="none"/>
                    </w:rPr>
                  </w:pPr>
                  <w:r>
                    <w:rPr>
                      <w:color w:val="000000"/>
                      <w:sz w:val="21"/>
                      <w:szCs w:val="21"/>
                      <w:highlight w:val="none"/>
                    </w:rPr>
                    <w:t>COD、BOD、NH</w:t>
                  </w:r>
                  <w:r>
                    <w:rPr>
                      <w:color w:val="000000"/>
                      <w:sz w:val="21"/>
                      <w:szCs w:val="21"/>
                      <w:highlight w:val="none"/>
                      <w:vertAlign w:val="subscript"/>
                    </w:rPr>
                    <w:t>3</w:t>
                  </w:r>
                  <w:r>
                    <w:rPr>
                      <w:color w:val="000000"/>
                      <w:sz w:val="21"/>
                      <w:szCs w:val="21"/>
                      <w:highlight w:val="none"/>
                    </w:rPr>
                    <w:t>-N、SS</w:t>
                  </w:r>
                </w:p>
              </w:tc>
              <w:tc>
                <w:tcPr>
                  <w:tcW w:w="2100" w:type="pct"/>
                  <w:noWrap w:val="0"/>
                  <w:vAlign w:val="center"/>
                </w:tcPr>
                <w:p w14:paraId="1408AA5D">
                  <w:pPr>
                    <w:autoSpaceDE w:val="0"/>
                    <w:autoSpaceDN w:val="0"/>
                    <w:rPr>
                      <w:color w:val="000000"/>
                      <w:sz w:val="21"/>
                      <w:szCs w:val="21"/>
                      <w:highlight w:val="none"/>
                    </w:rPr>
                  </w:pPr>
                  <w:r>
                    <w:rPr>
                      <w:color w:val="000000"/>
                      <w:sz w:val="21"/>
                      <w:szCs w:val="21"/>
                      <w:highlight w:val="none"/>
                    </w:rPr>
                    <w:t>防渗膜防渗系数≤1.0×10</w:t>
                  </w:r>
                  <w:r>
                    <w:rPr>
                      <w:color w:val="000000"/>
                      <w:sz w:val="21"/>
                      <w:szCs w:val="21"/>
                      <w:highlight w:val="none"/>
                      <w:vertAlign w:val="superscript"/>
                    </w:rPr>
                    <w:t>-7</w:t>
                  </w:r>
                  <w:r>
                    <w:rPr>
                      <w:color w:val="000000"/>
                      <w:sz w:val="21"/>
                      <w:szCs w:val="21"/>
                      <w:highlight w:val="none"/>
                    </w:rPr>
                    <w:t>cm/s（厚度不小于0.75mm）；或等效黏土防渗层≥1.5m，防渗系数≤1.0×10</w:t>
                  </w:r>
                  <w:r>
                    <w:rPr>
                      <w:color w:val="000000"/>
                      <w:sz w:val="21"/>
                      <w:szCs w:val="21"/>
                      <w:highlight w:val="none"/>
                      <w:vertAlign w:val="superscript"/>
                    </w:rPr>
                    <w:t>-7</w:t>
                  </w:r>
                  <w:r>
                    <w:rPr>
                      <w:color w:val="000000"/>
                      <w:sz w:val="21"/>
                      <w:szCs w:val="21"/>
                      <w:highlight w:val="none"/>
                    </w:rPr>
                    <w:t>cm/s</w:t>
                  </w:r>
                </w:p>
              </w:tc>
            </w:tr>
            <w:tr w14:paraId="5D7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1501" w:type="pct"/>
                  <w:noWrap w:val="0"/>
                  <w:vAlign w:val="center"/>
                </w:tcPr>
                <w:p w14:paraId="0DBFB61E">
                  <w:pPr>
                    <w:autoSpaceDE w:val="0"/>
                    <w:autoSpaceDN w:val="0"/>
                    <w:rPr>
                      <w:color w:val="000000"/>
                      <w:sz w:val="21"/>
                      <w:szCs w:val="21"/>
                      <w:highlight w:val="none"/>
                    </w:rPr>
                  </w:pPr>
                  <w:r>
                    <w:rPr>
                      <w:color w:val="000000"/>
                      <w:sz w:val="21"/>
                      <w:szCs w:val="21"/>
                      <w:highlight w:val="none"/>
                    </w:rPr>
                    <w:t>柴油罐、放喷池、油水罐、岩屑罐区、钻井液不落地设备区</w:t>
                  </w:r>
                </w:p>
              </w:tc>
              <w:tc>
                <w:tcPr>
                  <w:tcW w:w="615" w:type="pct"/>
                  <w:noWrap w:val="0"/>
                  <w:vAlign w:val="center"/>
                </w:tcPr>
                <w:p w14:paraId="0A0C6EF9">
                  <w:pPr>
                    <w:autoSpaceDE w:val="0"/>
                    <w:autoSpaceDN w:val="0"/>
                    <w:rPr>
                      <w:color w:val="000000"/>
                      <w:sz w:val="21"/>
                      <w:szCs w:val="21"/>
                      <w:highlight w:val="none"/>
                    </w:rPr>
                  </w:pPr>
                  <w:r>
                    <w:rPr>
                      <w:color w:val="000000"/>
                      <w:sz w:val="21"/>
                      <w:szCs w:val="21"/>
                      <w:highlight w:val="none"/>
                    </w:rPr>
                    <w:t>重点防渗区</w:t>
                  </w:r>
                </w:p>
              </w:tc>
              <w:tc>
                <w:tcPr>
                  <w:tcW w:w="782" w:type="pct"/>
                  <w:noWrap w:val="0"/>
                  <w:vAlign w:val="center"/>
                </w:tcPr>
                <w:p w14:paraId="11D2EDD8">
                  <w:pPr>
                    <w:autoSpaceDE w:val="0"/>
                    <w:autoSpaceDN w:val="0"/>
                    <w:rPr>
                      <w:color w:val="000000"/>
                      <w:sz w:val="21"/>
                      <w:szCs w:val="21"/>
                      <w:highlight w:val="none"/>
                    </w:rPr>
                  </w:pPr>
                  <w:r>
                    <w:rPr>
                      <w:color w:val="000000"/>
                      <w:sz w:val="21"/>
                      <w:szCs w:val="21"/>
                      <w:highlight w:val="none"/>
                    </w:rPr>
                    <w:t>石油类</w:t>
                  </w:r>
                </w:p>
              </w:tc>
              <w:tc>
                <w:tcPr>
                  <w:tcW w:w="2100" w:type="pct"/>
                  <w:noWrap w:val="0"/>
                  <w:vAlign w:val="center"/>
                </w:tcPr>
                <w:p w14:paraId="50BF459D">
                  <w:pPr>
                    <w:autoSpaceDE w:val="0"/>
                    <w:autoSpaceDN w:val="0"/>
                    <w:rPr>
                      <w:color w:val="000000"/>
                      <w:sz w:val="21"/>
                      <w:szCs w:val="21"/>
                      <w:highlight w:val="none"/>
                    </w:rPr>
                  </w:pPr>
                  <w:r>
                    <w:rPr>
                      <w:color w:val="000000"/>
                      <w:sz w:val="21"/>
                      <w:szCs w:val="21"/>
                      <w:highlight w:val="none"/>
                    </w:rPr>
                    <w:t>高密度聚乙烯防渗膜（厚度不小于2mm）；防渗膜防渗系数≤1.0×10</w:t>
                  </w:r>
                  <w:r>
                    <w:rPr>
                      <w:color w:val="000000"/>
                      <w:sz w:val="21"/>
                      <w:szCs w:val="21"/>
                      <w:highlight w:val="none"/>
                      <w:vertAlign w:val="superscript"/>
                    </w:rPr>
                    <w:t>-10</w:t>
                  </w:r>
                  <w:r>
                    <w:rPr>
                      <w:color w:val="000000"/>
                      <w:sz w:val="21"/>
                      <w:szCs w:val="21"/>
                      <w:highlight w:val="none"/>
                    </w:rPr>
                    <w:t>cm/s</w:t>
                  </w:r>
                </w:p>
              </w:tc>
            </w:tr>
          </w:tbl>
          <w:p w14:paraId="1C04D32B">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（2）井喷地下水保护措施</w:t>
            </w:r>
          </w:p>
          <w:p w14:paraId="5BC52921">
            <w:pPr>
              <w:pStyle w:val="24"/>
              <w:rPr>
                <w:rFonts w:ascii="Times New Roman" w:hAnsi="Times New Roman"/>
                <w:color w:val="000000"/>
                <w:sz w:val="24"/>
                <w:szCs w:val="21"/>
                <w:highlight w:val="none"/>
              </w:rPr>
            </w:pPr>
            <w:r>
              <w:rPr>
                <w:rFonts w:ascii="Times New Roman" w:hAnsi="Times New Roman"/>
                <w:color w:val="000000"/>
                <w:sz w:val="24"/>
                <w:szCs w:val="21"/>
                <w:highlight w:val="none"/>
              </w:rPr>
              <w:t>虽然本项目钻井期间发生井喷的可能性极小，但应切实做好防止井喷的落实工作。主要措施是安装防喷器和井控装置（简易封井器等），同时随时调整泥浆密度，以最大限度地降低井喷事故的发生。</w:t>
            </w:r>
          </w:p>
          <w:p w14:paraId="26805E2B">
            <w:pPr>
              <w:pStyle w:val="24"/>
              <w:rPr>
                <w:rFonts w:ascii="Times New Roman" w:hAnsi="Times New Roman"/>
                <w:color w:val="000000"/>
                <w:sz w:val="24"/>
                <w:szCs w:val="21"/>
                <w:highlight w:val="none"/>
              </w:rPr>
            </w:pPr>
            <w:r>
              <w:rPr>
                <w:rFonts w:hint="eastAsia" w:ascii="Times New Roman" w:hAnsi="Times New Roman"/>
                <w:color w:val="000000"/>
                <w:sz w:val="24"/>
                <w:szCs w:val="21"/>
                <w:highlight w:val="none"/>
              </w:rPr>
              <w:t>1）</w:t>
            </w:r>
            <w:r>
              <w:rPr>
                <w:rFonts w:ascii="Times New Roman" w:hAnsi="Times New Roman"/>
                <w:color w:val="000000"/>
                <w:sz w:val="24"/>
                <w:szCs w:val="21"/>
                <w:highlight w:val="none"/>
              </w:rPr>
              <w:t>制定具体井控措施及防止井喷预案。</w:t>
            </w:r>
          </w:p>
          <w:p w14:paraId="052AD42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2）开钻前由建设方地质监督或受委托的相关单位地质员，对相应的停注、泄压等措施进行检查（检查结果记录在井队井控专用本上）落实，直到相应层位套管固井候凝完为止。</w:t>
            </w:r>
          </w:p>
          <w:p w14:paraId="72B7FFBA">
            <w:pPr>
              <w:pStyle w:val="24"/>
              <w:rPr>
                <w:rFonts w:ascii="Times New Roman" w:hAnsi="Times New Roman"/>
                <w:color w:val="000000"/>
                <w:sz w:val="24"/>
                <w:szCs w:val="21"/>
                <w:highlight w:val="none"/>
              </w:rPr>
            </w:pPr>
            <w:r>
              <w:rPr>
                <w:rFonts w:ascii="Times New Roman" w:hAnsi="Times New Roman"/>
                <w:color w:val="000000"/>
                <w:sz w:val="24"/>
                <w:szCs w:val="21"/>
                <w:highlight w:val="none"/>
              </w:rPr>
              <w:t>3）钻井液密度及其它性能符合设计要求，并按设计要求储备压井液、加重剂、堵漏材料和其它处理剂，对储备加重钻井液定期循环处理，防止沉淀。</w:t>
            </w:r>
          </w:p>
          <w:p w14:paraId="1A3304B3">
            <w:pPr>
              <w:pStyle w:val="24"/>
              <w:rPr>
                <w:rFonts w:ascii="Times New Roman" w:hAnsi="Times New Roman"/>
                <w:color w:val="000000"/>
                <w:sz w:val="24"/>
                <w:szCs w:val="21"/>
                <w:highlight w:val="none"/>
              </w:rPr>
            </w:pPr>
            <w:r>
              <w:rPr>
                <w:rFonts w:ascii="Times New Roman" w:hAnsi="Times New Roman"/>
                <w:color w:val="000000"/>
                <w:sz w:val="24"/>
                <w:szCs w:val="21"/>
                <w:highlight w:val="none"/>
              </w:rPr>
              <w:t>4）送至井场的防喷器有试压曲线和试压合格证。安装防喷器前要检查闸板心尺寸是否与使用钻杆尺寸相符，液控系统功能是否齐全、可靠，液控管线有无刺漏现象。</w:t>
            </w:r>
          </w:p>
          <w:p w14:paraId="6621D82F">
            <w:pPr>
              <w:pStyle w:val="24"/>
              <w:rPr>
                <w:rFonts w:ascii="Times New Roman" w:hAnsi="Times New Roman"/>
                <w:color w:val="000000"/>
                <w:sz w:val="24"/>
                <w:szCs w:val="21"/>
                <w:highlight w:val="none"/>
              </w:rPr>
            </w:pPr>
            <w:r>
              <w:rPr>
                <w:rFonts w:ascii="Times New Roman" w:hAnsi="Times New Roman"/>
                <w:color w:val="000000"/>
                <w:sz w:val="24"/>
                <w:szCs w:val="21"/>
                <w:highlight w:val="none"/>
              </w:rPr>
              <w:t>5）钻开油、气层后，每次起下钻（活动时间间隔超过5d）对闸板防喷器及手动锁紧装置开关活动一次，定期对井控装置进行试压。</w:t>
            </w:r>
          </w:p>
          <w:p w14:paraId="52BAD830">
            <w:pPr>
              <w:pStyle w:val="24"/>
              <w:rPr>
                <w:rFonts w:ascii="Times New Roman" w:hAnsi="Times New Roman"/>
                <w:color w:val="000000"/>
                <w:sz w:val="24"/>
                <w:szCs w:val="21"/>
                <w:highlight w:val="none"/>
              </w:rPr>
            </w:pPr>
            <w:r>
              <w:rPr>
                <w:rFonts w:ascii="Times New Roman" w:hAnsi="Times New Roman"/>
                <w:color w:val="000000"/>
                <w:sz w:val="24"/>
                <w:szCs w:val="21"/>
                <w:highlight w:val="none"/>
              </w:rPr>
              <w:t>6）测井、固井、完井等作业时，要严格执行安全操作规程和井控措施，避免发生井下复杂情况和井喷失控事故。</w:t>
            </w:r>
          </w:p>
          <w:p w14:paraId="6C7F3EB0">
            <w:pPr>
              <w:pStyle w:val="24"/>
              <w:rPr>
                <w:rFonts w:ascii="Times New Roman" w:hAnsi="Times New Roman"/>
                <w:color w:val="000000"/>
                <w:sz w:val="24"/>
                <w:szCs w:val="21"/>
                <w:highlight w:val="none"/>
              </w:rPr>
            </w:pPr>
            <w:r>
              <w:rPr>
                <w:rFonts w:ascii="Times New Roman" w:hAnsi="Times New Roman"/>
                <w:color w:val="000000"/>
                <w:sz w:val="24"/>
                <w:szCs w:val="21"/>
                <w:highlight w:val="none"/>
              </w:rPr>
              <w:t>7）要严格控制提下钻速度，防止抽汲压力过大造成井涌、井喷，激动压力过大造成井漏。提钻按规定灌好钻井液，下钻过程中注意观察井口返出钻井液情况并安排中间洗井，起下钻过程中操作要连续，减少钻具静止时间。</w:t>
            </w:r>
          </w:p>
          <w:p w14:paraId="3BBA819B">
            <w:pPr>
              <w:pStyle w:val="24"/>
              <w:rPr>
                <w:rFonts w:ascii="Times New Roman" w:hAnsi="Times New Roman"/>
                <w:color w:val="000000"/>
                <w:sz w:val="24"/>
                <w:szCs w:val="21"/>
                <w:highlight w:val="none"/>
              </w:rPr>
            </w:pPr>
            <w:r>
              <w:rPr>
                <w:rFonts w:ascii="Times New Roman" w:hAnsi="Times New Roman"/>
                <w:color w:val="000000"/>
                <w:sz w:val="24"/>
                <w:szCs w:val="21"/>
                <w:highlight w:val="none"/>
              </w:rPr>
              <w:t>8）要求做好固井前的通井、循环钻井液、调整钻井液性能等工作。控制下套管速度，以防蹩漏地层。</w:t>
            </w:r>
          </w:p>
          <w:p w14:paraId="4A99B34D">
            <w:pPr>
              <w:pStyle w:val="24"/>
              <w:rPr>
                <w:rFonts w:ascii="Times New Roman" w:hAnsi="Times New Roman"/>
                <w:color w:val="000000"/>
                <w:sz w:val="24"/>
                <w:szCs w:val="21"/>
                <w:highlight w:val="none"/>
              </w:rPr>
            </w:pPr>
            <w:r>
              <w:rPr>
                <w:rFonts w:ascii="Times New Roman" w:hAnsi="Times New Roman"/>
                <w:color w:val="000000"/>
                <w:sz w:val="24"/>
                <w:szCs w:val="21"/>
                <w:highlight w:val="none"/>
              </w:rPr>
              <w:t>9）下套管要操作平稳，严禁猛刹、猛放，防止溜钻、顿钻，按规程下套管，双大钳紧扣，以保证套管连接强度。</w:t>
            </w:r>
          </w:p>
          <w:p w14:paraId="57EC60E1">
            <w:pPr>
              <w:pStyle w:val="24"/>
              <w:rPr>
                <w:rFonts w:ascii="Times New Roman" w:hAnsi="Times New Roman"/>
                <w:color w:val="000000"/>
                <w:sz w:val="24"/>
                <w:szCs w:val="21"/>
                <w:highlight w:val="none"/>
              </w:rPr>
            </w:pPr>
            <w:r>
              <w:rPr>
                <w:rFonts w:ascii="Times New Roman" w:hAnsi="Times New Roman"/>
                <w:color w:val="000000"/>
                <w:sz w:val="24"/>
                <w:szCs w:val="21"/>
                <w:highlight w:val="none"/>
              </w:rPr>
              <w:t>10）目的层钻进时预防井漏和井喷，并做好油气层保护工作。</w:t>
            </w:r>
          </w:p>
          <w:p w14:paraId="14F5C6D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（3）地下水保护措施</w:t>
            </w:r>
          </w:p>
          <w:p w14:paraId="37A8602D">
            <w:pPr>
              <w:pStyle w:val="24"/>
              <w:rPr>
                <w:color w:val="000000"/>
                <w:highlight w:val="none"/>
              </w:rPr>
            </w:pPr>
            <w:r>
              <w:rPr>
                <w:rFonts w:ascii="Times New Roman" w:hAnsi="Times New Roman"/>
                <w:color w:val="000000"/>
                <w:sz w:val="24"/>
                <w:szCs w:val="21"/>
                <w:highlight w:val="none"/>
              </w:rPr>
              <w:t>使用环保友好型的泥浆，严格要求套管下入深度，保证固井质量，减轻对地下水环境的影响。</w:t>
            </w:r>
          </w:p>
          <w:p w14:paraId="34E53628">
            <w:pPr>
              <w:pStyle w:val="3"/>
              <w:rPr>
                <w:color w:val="000000"/>
                <w:szCs w:val="24"/>
                <w:highlight w:val="none"/>
              </w:rPr>
            </w:pPr>
            <w:r>
              <w:rPr>
                <w:color w:val="000000"/>
                <w:szCs w:val="24"/>
                <w:highlight w:val="none"/>
              </w:rPr>
              <w:t>3 噪声污染防治措施</w:t>
            </w:r>
          </w:p>
          <w:p w14:paraId="672AD7F2">
            <w:pPr>
              <w:pStyle w:val="24"/>
              <w:rPr>
                <w:rFonts w:ascii="Times New Roman" w:hAnsi="Times New Roman"/>
                <w:color w:val="000000"/>
                <w:kern w:val="0"/>
                <w:sz w:val="24"/>
                <w:szCs w:val="21"/>
                <w:highlight w:val="none"/>
              </w:rPr>
            </w:pPr>
            <w:r>
              <w:rPr>
                <w:rFonts w:ascii="Times New Roman" w:hAnsi="Times New Roman"/>
                <w:color w:val="000000"/>
                <w:sz w:val="24"/>
                <w:szCs w:val="21"/>
                <w:highlight w:val="none"/>
              </w:rPr>
              <w:t>（1）钻井期做好泥浆泵、柴油发电机等高噪声设备的基础减振和设置隔声罩减少噪声传播，合理安排施工时间，高噪声施工设备减少夜间使用或禁止使用；避免形成污染影响；在不能对声源采取有效措施情况下，对可能受噪声影响的油田工作人员发放噪声个人防护器材，消除噪声污染影响。</w:t>
            </w:r>
          </w:p>
          <w:p w14:paraId="7C16991D">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（2）定期维护泥浆泵、钻机、柴油发电机、柴油动力机组、压裂车等高噪声设备；</w:t>
            </w:r>
          </w:p>
          <w:p w14:paraId="59D0FAF3">
            <w:pPr>
              <w:pStyle w:val="24"/>
              <w:rPr>
                <w:color w:val="000000"/>
                <w:highlight w:val="none"/>
              </w:rPr>
            </w:pPr>
            <w:r>
              <w:rPr>
                <w:rFonts w:ascii="Times New Roman" w:hAnsi="Times New Roman"/>
                <w:color w:val="000000"/>
                <w:sz w:val="24"/>
                <w:szCs w:val="21"/>
                <w:highlight w:val="none"/>
              </w:rPr>
              <w:t>（3）做好机械设备组织，尽量避免高噪声设备同时操作。</w:t>
            </w:r>
          </w:p>
          <w:p w14:paraId="23F47C74">
            <w:pPr>
              <w:pStyle w:val="3"/>
              <w:rPr>
                <w:color w:val="000000"/>
                <w:szCs w:val="24"/>
                <w:highlight w:val="none"/>
              </w:rPr>
            </w:pPr>
            <w:bookmarkStart w:id="36" w:name="_Hlk26201164"/>
            <w:r>
              <w:rPr>
                <w:color w:val="000000"/>
                <w:szCs w:val="24"/>
                <w:highlight w:val="none"/>
              </w:rPr>
              <w:t>4 固废污染防治措施</w:t>
            </w:r>
          </w:p>
          <w:bookmarkEnd w:id="36"/>
          <w:p w14:paraId="673E7710">
            <w:pPr>
              <w:pStyle w:val="35"/>
              <w:numPr>
                <w:ilvl w:val="0"/>
                <w:numId w:val="10"/>
              </w:numPr>
              <w:ind w:firstLine="480"/>
              <w:jc w:val="both"/>
              <w:rPr>
                <w:color w:val="000000"/>
                <w:highlight w:val="none"/>
              </w:rPr>
            </w:pPr>
            <w:bookmarkStart w:id="37" w:name="_Hlk26201155"/>
            <w:r>
              <w:rPr>
                <w:color w:val="000000"/>
                <w:highlight w:val="none"/>
              </w:rPr>
              <w:t>水基岩屑采用“泥浆不落地技术”，实现固液分离，分离出的岩屑暂存于岩屑储存罐，委托第三方公司进行无害化处置。油基钻井液及岩屑一同进入不落地系统进行处理，并实现固液分离，分离后的液相循环使用，送至下个井场用于新钻井液的配置，不外排。产生的油基岩屑为类别HW08含油危废（废物代码：071-002-08），由密封储罐收集，委托具有相应危废转运及处置。</w:t>
            </w:r>
          </w:p>
          <w:p w14:paraId="44304186">
            <w:pPr>
              <w:spacing w:line="360" w:lineRule="auto"/>
              <w:ind w:left="480" w:leftChars="200"/>
              <w:jc w:val="both"/>
              <w:rPr>
                <w:bCs/>
                <w:color w:val="000000"/>
                <w:highlight w:val="none"/>
              </w:rPr>
            </w:pPr>
            <w:r>
              <w:rPr>
                <w:bCs/>
                <w:color w:val="000000"/>
                <w:highlight w:val="none"/>
              </w:rPr>
              <w:t>（2）物料及废物不乱排乱放，严禁各种油料落地。</w:t>
            </w:r>
          </w:p>
          <w:p w14:paraId="73D36498">
            <w:pPr>
              <w:spacing w:line="360" w:lineRule="auto"/>
              <w:ind w:firstLine="480" w:firstLineChars="200"/>
              <w:jc w:val="both"/>
              <w:rPr>
                <w:color w:val="000000"/>
                <w:highlight w:val="none"/>
              </w:rPr>
            </w:pPr>
            <w:r>
              <w:rPr>
                <w:color w:val="000000"/>
                <w:highlight w:val="none"/>
              </w:rPr>
              <w:t>（3）施工单位应及时回收落地油等废物，在油管管桥下等部位铺塑料布，防止原油落地，同时辅以人工收油方式，减少进入环境的落地油数量。</w:t>
            </w:r>
          </w:p>
          <w:p w14:paraId="0C7247F6">
            <w:pPr>
              <w:spacing w:line="360" w:lineRule="auto"/>
              <w:ind w:firstLine="480" w:firstLineChars="200"/>
              <w:jc w:val="both"/>
              <w:rPr>
                <w:color w:val="000000"/>
                <w:highlight w:val="none"/>
              </w:rPr>
            </w:pPr>
            <w:r>
              <w:rPr>
                <w:color w:val="000000"/>
                <w:highlight w:val="none"/>
              </w:rPr>
              <w:t>（4）采用“绿色修井技术和配套设备”，以原油不出井筒为目标，达到“三不沾油”，即：井场不沾油、设备不沾油、操作工人身上不沾油。</w:t>
            </w:r>
          </w:p>
          <w:p w14:paraId="04979A6E">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（5）井场垃圾分类存储，上加遮盖防止风吹飘散，严禁现场抛洒、焚烧、掩埋。</w:t>
            </w:r>
          </w:p>
          <w:p w14:paraId="3744E72A">
            <w:pPr>
              <w:spacing w:line="360" w:lineRule="auto"/>
              <w:ind w:firstLine="480"/>
              <w:jc w:val="both"/>
              <w:rPr>
                <w:color w:val="000000"/>
                <w:highlight w:val="none"/>
              </w:rPr>
            </w:pPr>
            <w:r>
              <w:rPr>
                <w:color w:val="000000"/>
                <w:highlight w:val="none"/>
              </w:rPr>
              <w:t>（6）施工期生活垃圾由施工单位清运至石西油田作业区生活垃圾填埋场处置。</w:t>
            </w:r>
          </w:p>
          <w:bookmarkEnd w:id="37"/>
          <w:p w14:paraId="38351F6A">
            <w:pPr>
              <w:pStyle w:val="24"/>
              <w:rPr>
                <w:rFonts w:ascii="Times New Roman" w:hAnsi="Times New Roman"/>
                <w:color w:val="000000"/>
                <w:sz w:val="24"/>
                <w:szCs w:val="24"/>
                <w:highlight w:val="none"/>
              </w:rPr>
            </w:pPr>
            <w:r>
              <w:rPr>
                <w:rFonts w:ascii="Times New Roman" w:hAnsi="Times New Roman"/>
                <w:color w:val="000000"/>
                <w:sz w:val="24"/>
                <w:szCs w:val="24"/>
                <w:highlight w:val="none"/>
              </w:rPr>
              <w:t>（7）钻井井场不设危险废物暂存间，产生的机械设备废油、废弃防渗膜等委托有资质单位进行处理。危险废物的收集过程中，应依据《危险废物收集 贮存 运输技术规范》（HJ 2025-2012）的要求进行管理，采用专用车辆到指定地点收集运输危险废物，运输过程中不准设置中转储存点，严禁偷排、洒落、泄漏和随意倾倒等。此外，要求钻井完工前完成危险废物转移工作。</w:t>
            </w:r>
          </w:p>
          <w:p w14:paraId="22C55264">
            <w:pPr>
              <w:pStyle w:val="24"/>
              <w:rPr>
                <w:rFonts w:ascii="Times New Roman" w:hAnsi="Times New Roman"/>
                <w:color w:val="000000"/>
                <w:sz w:val="24"/>
                <w:szCs w:val="24"/>
                <w:highlight w:val="none"/>
              </w:rPr>
            </w:pPr>
            <w:r>
              <w:rPr>
                <w:rFonts w:ascii="Times New Roman" w:hAnsi="Times New Roman"/>
                <w:color w:val="000000"/>
                <w:sz w:val="24"/>
                <w:szCs w:val="24"/>
                <w:highlight w:val="none"/>
              </w:rPr>
              <w:t>建设单位应依据《危险废物收集、贮存、运输技术规范》（HJ2025-2012）和《危险废物转移管理办法》（部令 第23号）要求中有关规定，项目应加强以下措施：</w:t>
            </w:r>
          </w:p>
          <w:p w14:paraId="074DAFC8">
            <w:pPr>
              <w:pStyle w:val="24"/>
              <w:numPr>
                <w:ilvl w:val="0"/>
                <w:numId w:val="11"/>
              </w:numPr>
              <w:rPr>
                <w:rFonts w:ascii="Times New Roman" w:hAnsi="Times New Roman"/>
                <w:color w:val="000000"/>
                <w:sz w:val="24"/>
                <w:szCs w:val="24"/>
                <w:highlight w:val="none"/>
              </w:rPr>
            </w:pPr>
            <w:r>
              <w:rPr>
                <w:rFonts w:ascii="Times New Roman" w:hAnsi="Times New Roman"/>
                <w:color w:val="000000"/>
                <w:sz w:val="24"/>
                <w:szCs w:val="24"/>
                <w:highlight w:val="none"/>
              </w:rPr>
              <w:t>收集作业</w:t>
            </w:r>
          </w:p>
          <w:p w14:paraId="79DEC632">
            <w:pPr>
              <w:pStyle w:val="24"/>
              <w:rPr>
                <w:rFonts w:ascii="Times New Roman" w:hAnsi="Times New Roman"/>
                <w:color w:val="000000"/>
                <w:sz w:val="24"/>
                <w:szCs w:val="24"/>
                <w:highlight w:val="none"/>
              </w:rPr>
            </w:pPr>
            <w:r>
              <w:rPr>
                <w:rFonts w:ascii="Times New Roman" w:hAnsi="Times New Roman"/>
                <w:color w:val="000000"/>
                <w:sz w:val="24"/>
                <w:szCs w:val="24"/>
                <w:highlight w:val="none"/>
              </w:rPr>
              <w:t>① 应根据收集设备、转运车辆以及现场人员等实际情况确定相应作业区域，同时要设置作业界限标志和警示牌。</w:t>
            </w:r>
          </w:p>
          <w:p w14:paraId="24FE49F7">
            <w:pPr>
              <w:pStyle w:val="24"/>
              <w:rPr>
                <w:rFonts w:ascii="Times New Roman" w:hAnsi="Times New Roman"/>
                <w:color w:val="000000"/>
                <w:sz w:val="24"/>
                <w:szCs w:val="24"/>
                <w:highlight w:val="none"/>
              </w:rPr>
            </w:pPr>
            <w:r>
              <w:rPr>
                <w:rFonts w:ascii="Times New Roman" w:hAnsi="Times New Roman"/>
                <w:color w:val="000000"/>
                <w:sz w:val="24"/>
                <w:szCs w:val="24"/>
                <w:highlight w:val="none"/>
              </w:rPr>
              <w:t>② 作业区域内应设置危险废物收集专用通道和人员避险通道。</w:t>
            </w:r>
          </w:p>
          <w:p w14:paraId="5EFE91A0">
            <w:pPr>
              <w:pStyle w:val="24"/>
              <w:rPr>
                <w:rFonts w:ascii="Times New Roman" w:hAnsi="Times New Roman"/>
                <w:color w:val="000000"/>
                <w:sz w:val="24"/>
                <w:szCs w:val="24"/>
                <w:highlight w:val="none"/>
              </w:rPr>
            </w:pPr>
            <w:r>
              <w:rPr>
                <w:rFonts w:ascii="Times New Roman" w:hAnsi="Times New Roman"/>
                <w:color w:val="000000"/>
                <w:sz w:val="24"/>
                <w:szCs w:val="24"/>
                <w:highlight w:val="none"/>
              </w:rPr>
              <w:t>③ 收集时应配备必要的收集工具和包装物，以及必要的应急监测设备及应急装备。</w:t>
            </w:r>
          </w:p>
          <w:p w14:paraId="600AB6AA">
            <w:pPr>
              <w:pStyle w:val="24"/>
              <w:rPr>
                <w:color w:val="000000"/>
                <w:highlight w:val="none"/>
              </w:rPr>
            </w:pPr>
            <w:r>
              <w:rPr>
                <w:rFonts w:ascii="Times New Roman" w:hAnsi="Times New Roman"/>
                <w:color w:val="000000"/>
                <w:sz w:val="24"/>
                <w:szCs w:val="24"/>
                <w:highlight w:val="none"/>
              </w:rPr>
              <w:t>④ 危险废物收集应填写记录表，并将记录表作为危险废物管理的重要档案妥善保存。</w:t>
            </w:r>
          </w:p>
          <w:p w14:paraId="5DFF82C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⑤ 收集结束后应清理和恢复收集作业区域，确保作业区域环境整洁安全。</w:t>
            </w:r>
          </w:p>
          <w:p w14:paraId="5620E096">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⑥ 收集过危险废物的容器、设备、设施、场所及其他物品转作它用时，应消除污染，确保其使用安全。</w:t>
            </w:r>
          </w:p>
          <w:p w14:paraId="0C2A9782">
            <w:pPr>
              <w:pStyle w:val="24"/>
              <w:rPr>
                <w:rFonts w:ascii="Times New Roman" w:hAnsi="Times New Roman"/>
                <w:color w:val="000000"/>
                <w:sz w:val="24"/>
                <w:szCs w:val="21"/>
                <w:highlight w:val="none"/>
              </w:rPr>
            </w:pPr>
            <w:r>
              <w:rPr>
                <w:rFonts w:ascii="Times New Roman" w:hAnsi="Times New Roman"/>
                <w:color w:val="000000"/>
                <w:sz w:val="24"/>
                <w:szCs w:val="21"/>
                <w:highlight w:val="none"/>
              </w:rPr>
              <w:t>2） 危险废物转移</w:t>
            </w:r>
          </w:p>
          <w:p w14:paraId="4EBB9A53">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① 转移危险废物的，应当执行危险废物转移联单制度，法律法规另有规定的除外。</w:t>
            </w:r>
          </w:p>
          <w:p w14:paraId="179E6EB9">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② 运输危险废物的，应当遵守国家有关危险货物运输管理的规定。未经公安机关批准，危险废物运输车辆不得进入危险货物运输车辆限制通行的区域。</w:t>
            </w:r>
          </w:p>
          <w:p w14:paraId="45735919">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③ 在危险废物转移过程中应当采取防扬散、防流失、防渗漏或者其他防止污染环境的措施，不得擅自倾倒、堆放、丢弃、遗撒危险废物。</w:t>
            </w:r>
          </w:p>
          <w:p w14:paraId="70405E84">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④ 制定危险废物管理计划，明确拟转移危险废物的种类、重量（数量）和流向等信息。</w:t>
            </w:r>
          </w:p>
          <w:p w14:paraId="70DB6D72">
            <w:pPr>
              <w:pStyle w:val="24"/>
              <w:rPr>
                <w:rFonts w:ascii="Times New Roman" w:hAnsi="Times New Roman"/>
                <w:color w:val="000000"/>
                <w:sz w:val="24"/>
                <w:szCs w:val="21"/>
                <w:highlight w:val="none"/>
              </w:rPr>
            </w:pPr>
            <w:r>
              <w:rPr>
                <w:rFonts w:ascii="Times New Roman" w:hAnsi="Times New Roman"/>
                <w:color w:val="000000"/>
                <w:sz w:val="24"/>
                <w:szCs w:val="21"/>
                <w:highlight w:val="none"/>
              </w:rPr>
              <w:t>3） 危险废物的运输</w:t>
            </w:r>
          </w:p>
          <w:p w14:paraId="3664C09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① 危险废物运输应由持有危险废物经营许可证的单位按照其许可证的经营范围组织实施，承担危险废物运输的单位应获得交通运输部门颁发的危险货物运输资质。</w:t>
            </w:r>
          </w:p>
          <w:p w14:paraId="0C6FBF3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② 废弃危险化学品的运输应执行《危险化学品安全管理条例》有关运输的规定。</w:t>
            </w:r>
          </w:p>
          <w:p w14:paraId="28E54238">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③ 运输单位承运危险废物时，应在危险废物包装上按照《危险废物贮存污染控制标准》（GB18597-2023）附录A设置标志。</w:t>
            </w:r>
          </w:p>
          <w:p w14:paraId="18D83E23">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④ 危险废物公路运输时，运输车辆应按《道路危险货物运输管理规定》（交通部令〔2005年〕第9号）、《危险货物道路运输规则》（JT617-2018）及《汽车运输·装卸危险货物作业规程》（JT 618-2004）执行。</w:t>
            </w:r>
          </w:p>
          <w:p w14:paraId="0BA5F5D2">
            <w:pPr>
              <w:pStyle w:val="24"/>
              <w:rPr>
                <w:color w:val="000000"/>
                <w:highlight w:val="none"/>
              </w:rPr>
            </w:pPr>
            <w:r>
              <w:rPr>
                <w:rFonts w:ascii="Times New Roman" w:hAnsi="Times New Roman"/>
                <w:color w:val="000000"/>
                <w:sz w:val="24"/>
                <w:szCs w:val="21"/>
                <w:highlight w:val="none"/>
              </w:rPr>
              <w:t>危险废物运输时的中转、装卸过程应遵守如下技术要求：</w:t>
            </w:r>
          </w:p>
          <w:p w14:paraId="1FC59FFD">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① 卸载区的工作人员应熟悉废物的危险特性，并配备适当的个人防护装备，装卸剧毒废物应配备特殊的防护装备。</w:t>
            </w:r>
          </w:p>
          <w:p w14:paraId="4E479E45">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② 卸载区应配备必要的消防设备和设施，并设置明显的指示标志。</w:t>
            </w:r>
          </w:p>
          <w:p w14:paraId="1B4A50F2">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③ 危险废物装卸区应设置隔离设施，液态废物卸载区应设置收集槽、缓冲罐等收集设施。</w:t>
            </w:r>
          </w:p>
          <w:p w14:paraId="3264C72D">
            <w:pPr>
              <w:pStyle w:val="24"/>
              <w:rPr>
                <w:rFonts w:ascii="Times New Roman" w:hAnsi="Times New Roman"/>
                <w:color w:val="000000"/>
                <w:sz w:val="24"/>
                <w:szCs w:val="21"/>
                <w:highlight w:val="none"/>
              </w:rPr>
            </w:pPr>
            <w:r>
              <w:rPr>
                <w:rFonts w:ascii="Times New Roman" w:hAnsi="Times New Roman"/>
                <w:color w:val="000000"/>
                <w:sz w:val="24"/>
                <w:szCs w:val="21"/>
                <w:highlight w:val="none"/>
              </w:rPr>
              <w:t>4） 危险废物管理</w:t>
            </w:r>
          </w:p>
          <w:p w14:paraId="2C3D1C79">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根据《危险废物环境管理指南 陆上石油天然气开采》（2021年12月22日）相关要求如下：</w:t>
            </w:r>
          </w:p>
          <w:p w14:paraId="634641B3">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① 落实污染环境防治责任制度，建立健全危险废物产生、收集、贮存、运输、利用、处理全过程的污染环境防治责任制度。</w:t>
            </w:r>
          </w:p>
          <w:p w14:paraId="05D47A77">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② 落实危险废物识别标志制度，按照《环境保护图形标志固体废物贮存（处理）场》（GB 15562.2-1995）等有关规定，对危险废物的容器和包装物以及收集、贮存、运输、利用、处理危险废物的设施、场所设置危险废物识别标志。</w:t>
            </w:r>
          </w:p>
          <w:p w14:paraId="1E70B429">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③ 落实危险废物管理计划制度，按照《危险废物产生单位管理计划制定指南》等有关要求制定危险废物管理计划，并报所在地生态环境主管部门备案。</w:t>
            </w:r>
          </w:p>
          <w:p w14:paraId="1E057B76">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④ 落实危险废物管理台账及申报制度，建立危险废物管理台账，如实记录有关信息，并通过国家危险废物信息管理系统向所在地生态环境主管部门申报危险废物的种类、产生量、流向、贮存、处理等有关资料。</w:t>
            </w:r>
          </w:p>
          <w:p w14:paraId="40D1A1A8">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⑤ 按照《危险废物转移管理办法》有关规定填写危险废物转移联单，危险废物运输遵守国家有关危险货物运输管理规定。</w:t>
            </w:r>
          </w:p>
          <w:p w14:paraId="7BD9705B">
            <w:pPr>
              <w:pStyle w:val="24"/>
              <w:rPr>
                <w:rFonts w:ascii="Times New Roman" w:hAnsi="Times New Roman"/>
                <w:color w:val="000000"/>
                <w:sz w:val="24"/>
                <w:szCs w:val="21"/>
                <w:highlight w:val="none"/>
              </w:rPr>
            </w:pPr>
            <w:r>
              <w:rPr>
                <w:rFonts w:ascii="Times New Roman" w:hAnsi="Times New Roman"/>
                <w:color w:val="000000"/>
                <w:sz w:val="24"/>
                <w:szCs w:val="21"/>
                <w:highlight w:val="none"/>
              </w:rPr>
              <w:t>⑥ 危险废物收集、贮存应当按照其特性分类进行；禁止将危险废物混入非危险废物中贮存。危险废物收集、贮存和运输过程的污染控制执行《危险废物贮存污染控制标准》（GB 18597-2023）、《危险废物收集贮存运输技术规范》（HJ 2025-2012）等有关规定。</w:t>
            </w:r>
          </w:p>
          <w:p w14:paraId="688A3E59">
            <w:pPr>
              <w:pStyle w:val="24"/>
              <w:rPr>
                <w:color w:val="000000"/>
                <w:highlight w:val="none"/>
              </w:rPr>
            </w:pPr>
            <w:r>
              <w:rPr>
                <w:rFonts w:ascii="Times New Roman" w:hAnsi="Times New Roman"/>
                <w:color w:val="000000"/>
                <w:sz w:val="24"/>
                <w:szCs w:val="21"/>
                <w:highlight w:val="none"/>
              </w:rPr>
              <w:t>本项目产生的危险废物委托具有相应危废转运、处理资质的单位转运及处理。转运过程严格按照相关要求操作，严禁由不具备相应资质的单位私自转运。完井后，井场废物全部进行清理、回收处理，做到“工完、料尽、场地清”。</w:t>
            </w:r>
          </w:p>
          <w:p w14:paraId="2E5A353D">
            <w:pPr>
              <w:pStyle w:val="39"/>
              <w:ind w:firstLine="0" w:firstLineChars="0"/>
              <w:jc w:val="both"/>
              <w:rPr>
                <w:rFonts w:ascii="Times New Roman" w:hAnsi="Times New Roman"/>
                <w:b/>
                <w:color w:val="000000"/>
                <w:sz w:val="28"/>
                <w:szCs w:val="28"/>
                <w:highlight w:val="none"/>
              </w:rPr>
            </w:pPr>
            <w:r>
              <w:rPr>
                <w:rFonts w:ascii="Times New Roman" w:hAnsi="Times New Roman"/>
                <w:b/>
                <w:color w:val="000000"/>
                <w:sz w:val="28"/>
                <w:szCs w:val="28"/>
                <w:highlight w:val="none"/>
              </w:rPr>
              <w:t>5 土壤污染防治措施</w:t>
            </w:r>
          </w:p>
          <w:p w14:paraId="21EE2D20">
            <w:pPr>
              <w:spacing w:line="360" w:lineRule="auto"/>
              <w:ind w:firstLine="480" w:firstLineChars="200"/>
              <w:jc w:val="both"/>
              <w:rPr>
                <w:color w:val="000000"/>
                <w:highlight w:val="none"/>
              </w:rPr>
            </w:pPr>
            <w:r>
              <w:rPr>
                <w:color w:val="000000"/>
                <w:highlight w:val="none"/>
              </w:rPr>
              <w:t>（1）应严格控制施工期临时占地面积，按设计及规划的施工范围进行施工作业，减少土壤扰动。</w:t>
            </w:r>
          </w:p>
          <w:p w14:paraId="6246801C">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（2）施工机械及运输车辆应按规定的道路行驶，减少对土壤的碾压，减少碾压造成的土壤紧实度增加及养分流失。</w:t>
            </w:r>
          </w:p>
          <w:p w14:paraId="629D1CE1">
            <w:pPr>
              <w:pStyle w:val="24"/>
              <w:jc w:val="both"/>
              <w:rPr>
                <w:rFonts w:ascii="Times New Roman" w:hAnsi="Times New Roman"/>
                <w:color w:val="000000"/>
                <w:sz w:val="24"/>
                <w:szCs w:val="24"/>
                <w:highlight w:val="none"/>
              </w:rPr>
            </w:pPr>
            <w:r>
              <w:rPr>
                <w:rFonts w:ascii="Times New Roman" w:hAnsi="Times New Roman"/>
                <w:color w:val="000000"/>
                <w:sz w:val="24"/>
                <w:szCs w:val="24"/>
                <w:highlight w:val="none"/>
              </w:rPr>
              <w:t>（3）施工产生的建筑垃圾不得随意抛洒，应集中收集并及时清运，防止污染物进入土壤环境造成污染。</w:t>
            </w:r>
          </w:p>
          <w:p w14:paraId="57B6A469">
            <w:pPr>
              <w:pStyle w:val="24"/>
              <w:jc w:val="both"/>
              <w:rPr>
                <w:color w:val="000000"/>
                <w:highlight w:val="none"/>
              </w:rPr>
            </w:pPr>
            <w:r>
              <w:rPr>
                <w:rFonts w:ascii="Times New Roman" w:hAnsi="Times New Roman"/>
                <w:color w:val="000000"/>
                <w:sz w:val="24"/>
                <w:szCs w:val="24"/>
                <w:highlight w:val="none"/>
              </w:rPr>
              <w:t>综上所述，正常情况下，钻井及试油工程不会污染土壤环境，非正常情况下，采取有效措施后可减轻对土壤环境的影响。在做好源头控制、过程防控等措施的前提下，可避免工程实施对土壤环境产生污染影响。</w:t>
            </w:r>
          </w:p>
          <w:p w14:paraId="2AC838B4">
            <w:pPr>
              <w:pStyle w:val="23"/>
              <w:jc w:val="both"/>
              <w:rPr>
                <w:color w:val="000000"/>
                <w:sz w:val="28"/>
                <w:szCs w:val="28"/>
                <w:highlight w:val="none"/>
              </w:rPr>
            </w:pPr>
            <w:r>
              <w:rPr>
                <w:color w:val="000000"/>
                <w:sz w:val="28"/>
                <w:szCs w:val="28"/>
                <w:highlight w:val="none"/>
              </w:rPr>
              <w:t>6 生态环境保护措施</w:t>
            </w:r>
          </w:p>
          <w:p w14:paraId="34B214F5">
            <w:pPr>
              <w:pStyle w:val="39"/>
              <w:ind w:firstLine="0" w:firstLineChars="0"/>
              <w:jc w:val="both"/>
              <w:rPr>
                <w:rFonts w:ascii="Times New Roman" w:hAnsi="Times New Roman"/>
                <w:b/>
                <w:bCs/>
                <w:color w:val="000000"/>
                <w:highlight w:val="none"/>
              </w:rPr>
            </w:pPr>
            <w:r>
              <w:rPr>
                <w:rFonts w:ascii="Times New Roman" w:hAnsi="Times New Roman"/>
                <w:b/>
                <w:bCs/>
                <w:color w:val="000000"/>
                <w:highlight w:val="none"/>
              </w:rPr>
              <w:t xml:space="preserve">6.1 </w:t>
            </w:r>
            <w:r>
              <w:rPr>
                <w:rFonts w:hint="eastAsia" w:ascii="Times New Roman" w:hAnsi="Times New Roman"/>
                <w:b/>
                <w:bCs/>
                <w:color w:val="000000"/>
                <w:highlight w:val="none"/>
              </w:rPr>
              <w:t>占用生态红线的环境保护措施</w:t>
            </w:r>
          </w:p>
          <w:p w14:paraId="47A7B46D">
            <w:pPr>
              <w:spacing w:line="360" w:lineRule="auto"/>
              <w:ind w:firstLine="480" w:firstLineChars="200"/>
              <w:jc w:val="left"/>
              <w:rPr>
                <w:rStyle w:val="18"/>
                <w:color w:val="000000"/>
                <w:kern w:val="0"/>
                <w:highlight w:val="none"/>
              </w:rPr>
            </w:pPr>
            <w:r>
              <w:rPr>
                <w:rFonts w:hint="default" w:ascii="Times New Roman" w:hAnsi="Times New Roman" w:eastAsia="宋体" w:cs="Times New Roman"/>
                <w:bCs/>
                <w:color w:val="000000"/>
                <w:sz w:val="24"/>
                <w:highlight w:val="none"/>
              </w:rPr>
              <w:t>优先优化井位选址，避开红线区域内的核心生态斑块，将占用范围压缩至项目必需的最小面积；施工前划定刚性保护边界，设置物理隔离围挡与生态警示标识，严禁越界作业，同时对占用区域的表层土壤（厚度不低于30cm）进行分层剥离、单独存放并做好保湿防护，留存用于后期生态修复；</w:t>
            </w:r>
            <w:r>
              <w:rPr>
                <w:rFonts w:ascii="Times New Roman" w:hAnsi="Times New Roman" w:cs="Times New Roman"/>
                <w:bCs/>
                <w:color w:val="000000"/>
                <w:sz w:val="24"/>
                <w:highlight w:val="none"/>
              </w:rPr>
              <w:t>严禁施工人员和机械设备超出施工区域，</w:t>
            </w:r>
            <w:r>
              <w:rPr>
                <w:rFonts w:hint="default" w:ascii="Times New Roman" w:hAnsi="Times New Roman" w:eastAsia="宋体" w:cs="Times New Roman"/>
                <w:bCs/>
                <w:color w:val="000000"/>
                <w:sz w:val="24"/>
                <w:highlight w:val="none"/>
              </w:rPr>
              <w:t>施工期间采用低噪声、低污染设备，严禁施工废水、固废（如钻井泥浆）直接排放</w:t>
            </w:r>
            <w:r>
              <w:rPr>
                <w:rFonts w:hint="eastAsia" w:ascii="Times New Roman" w:hAnsi="Times New Roman" w:eastAsia="宋体" w:cs="Times New Roman"/>
                <w:bCs/>
                <w:color w:val="000000"/>
                <w:sz w:val="24"/>
                <w:highlight w:val="none"/>
                <w:lang w:eastAsia="zh-CN"/>
              </w:rPr>
              <w:t>，</w:t>
            </w:r>
            <w:r>
              <w:rPr>
                <w:rFonts w:ascii="Times New Roman" w:hAnsi="Times New Roman" w:cs="Times New Roman"/>
                <w:bCs/>
                <w:color w:val="000000"/>
                <w:sz w:val="24"/>
                <w:highlight w:val="none"/>
              </w:rPr>
              <w:t>以免影响周边的植被、植物物种造成破坏。建设单位应在工程施工过程中严格管理，责任到位，注重生态景观建设，建立正确的人与自然的关系，尊重保护自然，尽量少对原始自然环境进行改动。</w:t>
            </w:r>
            <w:r>
              <w:rPr>
                <w:rFonts w:hint="default" w:ascii="Times New Roman" w:hAnsi="Times New Roman" w:eastAsia="宋体" w:cs="Times New Roman"/>
                <w:bCs/>
                <w:color w:val="000000"/>
                <w:sz w:val="24"/>
                <w:highlight w:val="none"/>
              </w:rPr>
              <w:t>项目结束后按照“原貌恢复”原则，先回覆表层土壤，再优先种植红线区域原生乡土植物，搭配构建与周边生态系统相协调的植被群落，确保生态功能恢复至占用前水平。</w:t>
            </w:r>
          </w:p>
          <w:p w14:paraId="24BC4A31">
            <w:pPr>
              <w:pStyle w:val="4"/>
              <w:rPr>
                <w:color w:val="000000"/>
                <w:szCs w:val="24"/>
                <w:highlight w:val="none"/>
              </w:rPr>
            </w:pPr>
            <w:r>
              <w:rPr>
                <w:color w:val="000000"/>
                <w:szCs w:val="24"/>
                <w:highlight w:val="none"/>
              </w:rPr>
              <w:t>6.2 生态恢复方案</w:t>
            </w:r>
          </w:p>
          <w:p w14:paraId="2C3BFB7C">
            <w:pPr>
              <w:pStyle w:val="40"/>
              <w:spacing w:line="360" w:lineRule="auto"/>
              <w:ind w:firstLine="480"/>
              <w:rPr>
                <w:color w:val="000000"/>
                <w:sz w:val="24"/>
                <w:szCs w:val="24"/>
                <w:highlight w:val="none"/>
              </w:rPr>
            </w:pPr>
            <w:r>
              <w:rPr>
                <w:color w:val="000000"/>
                <w:sz w:val="24"/>
                <w:szCs w:val="24"/>
                <w:highlight w:val="none"/>
              </w:rPr>
              <w:t>根据《矿山生态环境保护与恢复治理技术规范（试行）》（HJ651-2013）、《废弃井封井回填技术指南（试行）》和《陆上石油天然气开采业绿色矿山建设规范》（DZ/T0317-2018）中的要求，所有施工范围需进行生态环境保护与恢复治理，因此提出如下生态恢复措施。</w:t>
            </w:r>
          </w:p>
          <w:p w14:paraId="0AC6B497">
            <w:pPr>
              <w:pStyle w:val="40"/>
              <w:spacing w:line="360" w:lineRule="auto"/>
              <w:ind w:firstLine="480"/>
              <w:rPr>
                <w:color w:val="000000"/>
                <w:sz w:val="24"/>
                <w:szCs w:val="24"/>
                <w:highlight w:val="none"/>
              </w:rPr>
            </w:pPr>
            <w:r>
              <w:rPr>
                <w:color w:val="000000"/>
                <w:sz w:val="24"/>
                <w:szCs w:val="24"/>
                <w:highlight w:val="none"/>
              </w:rPr>
              <w:t>（1）井场生态恢复措施</w:t>
            </w:r>
          </w:p>
          <w:p w14:paraId="0CD35566">
            <w:pPr>
              <w:pStyle w:val="40"/>
              <w:spacing w:line="360" w:lineRule="auto"/>
              <w:ind w:firstLine="480"/>
              <w:rPr>
                <w:color w:val="000000"/>
                <w:sz w:val="24"/>
                <w:szCs w:val="24"/>
                <w:highlight w:val="none"/>
              </w:rPr>
            </w:pPr>
            <w:r>
              <w:rPr>
                <w:color w:val="000000"/>
                <w:sz w:val="24"/>
                <w:szCs w:val="24"/>
                <w:highlight w:val="none"/>
              </w:rPr>
              <w:t>①钻试结束后施工现场禁止遗弃废物，固体废物全部回收，平整井场。</w:t>
            </w:r>
          </w:p>
          <w:p w14:paraId="51BE5ED6">
            <w:pPr>
              <w:pStyle w:val="40"/>
              <w:spacing w:line="360" w:lineRule="auto"/>
              <w:ind w:firstLine="480"/>
              <w:rPr>
                <w:color w:val="000000"/>
                <w:sz w:val="24"/>
                <w:szCs w:val="24"/>
                <w:highlight w:val="none"/>
              </w:rPr>
            </w:pPr>
            <w:r>
              <w:rPr>
                <w:color w:val="000000"/>
                <w:sz w:val="24"/>
                <w:szCs w:val="24"/>
                <w:highlight w:val="none"/>
              </w:rPr>
              <w:t>②在工程施工过程中和施工结束后，及时对施工场地进行平整，尽量利用井场及临时道路施工时产生的表层土对临时占地进行覆盖。</w:t>
            </w:r>
          </w:p>
          <w:p w14:paraId="7E9D7F32">
            <w:pPr>
              <w:pStyle w:val="40"/>
              <w:spacing w:line="360" w:lineRule="auto"/>
              <w:ind w:firstLine="480"/>
              <w:rPr>
                <w:color w:val="000000"/>
                <w:sz w:val="24"/>
                <w:szCs w:val="24"/>
                <w:highlight w:val="none"/>
              </w:rPr>
            </w:pPr>
            <w:r>
              <w:rPr>
                <w:color w:val="000000"/>
                <w:sz w:val="24"/>
                <w:szCs w:val="24"/>
                <w:highlight w:val="none"/>
              </w:rPr>
              <w:t>③勘探井试油结束后，若试油报废，则该井需封井，并进行地表及恢复工作。根据《废弃井封井回填技术指南（试行）》《矿山生态环境保护与恢复治理技术规范（试行）（HJ 651-2013）》《陆上石油天然气开采业绿色矿山建设规范（DZ/T0317-2018）》《废弃井及长停井处置指南》（SY/T6646-2017）中相关要求，采取的生态恢复措施及要求如下：</w:t>
            </w:r>
          </w:p>
          <w:p w14:paraId="13ED0CE7">
            <w:pPr>
              <w:pStyle w:val="40"/>
              <w:spacing w:line="360" w:lineRule="auto"/>
              <w:ind w:firstLine="480"/>
              <w:rPr>
                <w:color w:val="000000"/>
                <w:sz w:val="24"/>
                <w:szCs w:val="24"/>
                <w:highlight w:val="none"/>
              </w:rPr>
            </w:pPr>
            <w:r>
              <w:rPr>
                <w:color w:val="000000"/>
                <w:sz w:val="24"/>
                <w:szCs w:val="24"/>
                <w:highlight w:val="none"/>
              </w:rPr>
              <w:t>——闭井后要拆除井架、井台，并对井场土地进行平整，清除地面上残留的污染物等。</w:t>
            </w:r>
          </w:p>
          <w:p w14:paraId="2FFB888F">
            <w:pPr>
              <w:pStyle w:val="40"/>
              <w:spacing w:line="360" w:lineRule="auto"/>
              <w:ind w:firstLine="480"/>
              <w:rPr>
                <w:color w:val="000000"/>
                <w:sz w:val="24"/>
                <w:szCs w:val="24"/>
                <w:highlight w:val="none"/>
              </w:rPr>
            </w:pPr>
            <w:r>
              <w:rPr>
                <w:color w:val="000000"/>
                <w:sz w:val="24"/>
                <w:szCs w:val="24"/>
                <w:highlight w:val="none"/>
              </w:rPr>
              <w:t>——不要求留存井口的钻井应在封填后按相关规定恢复地貌，并视情况设置标识。要求留存井口的钻井在封填后保留井口套管头，并设置相应的保护装置。保证对钻井采取的固井、封井措施有效可行，防止其发生油水层窜层，产生二次污染。</w:t>
            </w:r>
          </w:p>
          <w:p w14:paraId="2FF14116">
            <w:pPr>
              <w:pStyle w:val="40"/>
              <w:spacing w:line="360" w:lineRule="auto"/>
              <w:ind w:firstLine="480"/>
              <w:rPr>
                <w:color w:val="000000"/>
                <w:sz w:val="24"/>
                <w:szCs w:val="24"/>
                <w:highlight w:val="none"/>
              </w:rPr>
            </w:pPr>
            <w:r>
              <w:rPr>
                <w:color w:val="000000"/>
                <w:sz w:val="24"/>
                <w:szCs w:val="24"/>
                <w:highlight w:val="none"/>
              </w:rPr>
              <w:t>——采用正确的封堵方式，能够保证封堵效果，从而将永久性地阻止流体在井内运移。</w:t>
            </w:r>
          </w:p>
          <w:p w14:paraId="498841C4">
            <w:pPr>
              <w:pStyle w:val="40"/>
              <w:spacing w:line="360" w:lineRule="auto"/>
              <w:ind w:firstLine="480"/>
              <w:rPr>
                <w:color w:val="000000"/>
                <w:sz w:val="24"/>
                <w:szCs w:val="24"/>
                <w:highlight w:val="none"/>
              </w:rPr>
            </w:pPr>
            <w:r>
              <w:rPr>
                <w:color w:val="000000"/>
                <w:sz w:val="24"/>
                <w:szCs w:val="24"/>
                <w:highlight w:val="none"/>
              </w:rPr>
              <w:t>——做好封堵施工作业记录，按照管理机构要求的格式以永久性文件存档，保存在永久性的井史文件中。</w:t>
            </w:r>
          </w:p>
          <w:p w14:paraId="5063EAEE">
            <w:pPr>
              <w:pStyle w:val="40"/>
              <w:spacing w:line="360" w:lineRule="auto"/>
              <w:ind w:firstLine="480"/>
              <w:rPr>
                <w:color w:val="000000"/>
                <w:sz w:val="24"/>
                <w:szCs w:val="24"/>
                <w:highlight w:val="none"/>
              </w:rPr>
            </w:pPr>
            <w:r>
              <w:rPr>
                <w:color w:val="000000"/>
                <w:sz w:val="24"/>
                <w:szCs w:val="24"/>
                <w:highlight w:val="none"/>
              </w:rPr>
              <w:t>④建立环境管理机构，配备专职或兼职环保管理人员；制定相关环境管理规定；加强环境检查，发现问题及时解决、纠正，加强宣传教育。</w:t>
            </w:r>
          </w:p>
          <w:p w14:paraId="7A6052CE">
            <w:pPr>
              <w:pStyle w:val="40"/>
              <w:spacing w:line="360" w:lineRule="auto"/>
              <w:ind w:firstLine="480"/>
              <w:rPr>
                <w:color w:val="000000"/>
                <w:sz w:val="24"/>
                <w:szCs w:val="24"/>
                <w:highlight w:val="none"/>
              </w:rPr>
            </w:pPr>
            <w:r>
              <w:rPr>
                <w:color w:val="000000"/>
                <w:sz w:val="24"/>
                <w:szCs w:val="24"/>
                <w:highlight w:val="none"/>
              </w:rPr>
              <w:t>（2）生活营地生态恢复措施</w:t>
            </w:r>
          </w:p>
          <w:p w14:paraId="62FCC74C">
            <w:pPr>
              <w:pStyle w:val="40"/>
              <w:spacing w:line="360" w:lineRule="auto"/>
              <w:ind w:firstLine="480"/>
              <w:rPr>
                <w:color w:val="000000"/>
                <w:sz w:val="24"/>
                <w:szCs w:val="24"/>
                <w:highlight w:val="none"/>
              </w:rPr>
            </w:pPr>
            <w:r>
              <w:rPr>
                <w:color w:val="000000"/>
                <w:sz w:val="24"/>
                <w:szCs w:val="24"/>
                <w:highlight w:val="none"/>
              </w:rPr>
              <w:t>本项目工程结束后，若转为生产井，生活营地占地进行清理平整，恢复原有地貌；若不具开发价值，对生活营地占地进行清理平整，恢复原有地貌。</w:t>
            </w:r>
          </w:p>
          <w:p w14:paraId="3DE30257">
            <w:pPr>
              <w:pStyle w:val="40"/>
              <w:spacing w:line="360" w:lineRule="auto"/>
              <w:ind w:firstLine="480"/>
              <w:rPr>
                <w:color w:val="000000"/>
                <w:sz w:val="24"/>
                <w:szCs w:val="24"/>
                <w:highlight w:val="none"/>
              </w:rPr>
            </w:pPr>
            <w:r>
              <w:rPr>
                <w:color w:val="000000"/>
                <w:sz w:val="24"/>
                <w:szCs w:val="24"/>
                <w:highlight w:val="none"/>
              </w:rPr>
              <w:t>（3）井口及临时道路生态恢复措施</w:t>
            </w:r>
          </w:p>
          <w:p w14:paraId="4E36A8A7">
            <w:pPr>
              <w:pStyle w:val="40"/>
              <w:spacing w:line="360" w:lineRule="auto"/>
              <w:ind w:firstLine="480"/>
              <w:rPr>
                <w:color w:val="000000"/>
                <w:sz w:val="24"/>
                <w:szCs w:val="24"/>
                <w:highlight w:val="none"/>
              </w:rPr>
            </w:pPr>
            <w:r>
              <w:rPr>
                <w:color w:val="000000"/>
                <w:sz w:val="24"/>
                <w:szCs w:val="24"/>
                <w:highlight w:val="none"/>
              </w:rPr>
              <w:t>试油结束后视试油结果决定是否转为生产井，若转为生产井，则应当在产能开发建设前开展环境影响评价工作，井口安装采油树，临时道路保留；若不具开发价值，井口进行封井，临时道路进行平整，自然恢复。</w:t>
            </w:r>
          </w:p>
          <w:p w14:paraId="21D986A9">
            <w:pPr>
              <w:pStyle w:val="20"/>
              <w:spacing w:line="360" w:lineRule="auto"/>
              <w:ind w:firstLine="480" w:firstLineChars="200"/>
              <w:jc w:val="left"/>
              <w:rPr>
                <w:rFonts w:ascii="Times New Roman" w:cs="Times New Roman"/>
                <w:b w:val="0"/>
                <w:bCs/>
                <w:color w:val="000000"/>
                <w:highlight w:val="none"/>
              </w:rPr>
            </w:pPr>
            <w:r>
              <w:rPr>
                <w:rFonts w:ascii="Times New Roman" w:cs="Times New Roman"/>
                <w:b w:val="0"/>
                <w:bCs/>
                <w:color w:val="000000"/>
                <w:highlight w:val="none"/>
              </w:rPr>
              <w:t>（4）</w:t>
            </w:r>
            <w:r>
              <w:rPr>
                <w:rFonts w:hint="eastAsia" w:ascii="Times New Roman" w:cs="Times New Roman"/>
                <w:b w:val="0"/>
                <w:bCs/>
                <w:color w:val="000000"/>
                <w:highlight w:val="none"/>
              </w:rPr>
              <w:t>灌木林</w:t>
            </w:r>
            <w:r>
              <w:rPr>
                <w:rFonts w:ascii="Times New Roman" w:cs="Times New Roman"/>
                <w:b w:val="0"/>
                <w:bCs/>
                <w:color w:val="000000"/>
                <w:highlight w:val="none"/>
              </w:rPr>
              <w:t>地恢复措施</w:t>
            </w:r>
          </w:p>
          <w:p w14:paraId="7E45D3F4">
            <w:pPr>
              <w:pStyle w:val="40"/>
              <w:spacing w:line="360" w:lineRule="auto"/>
              <w:ind w:firstLine="480"/>
              <w:rPr>
                <w:color w:val="000000"/>
                <w:sz w:val="24"/>
                <w:szCs w:val="24"/>
                <w:highlight w:val="none"/>
              </w:rPr>
            </w:pPr>
            <w:r>
              <w:rPr>
                <w:rFonts w:ascii="Times New Roman" w:hAnsi="Times New Roman" w:cs="Times New Roman"/>
                <w:bCs/>
                <w:color w:val="000000"/>
                <w:sz w:val="24"/>
                <w:szCs w:val="24"/>
                <w:highlight w:val="none"/>
                <w:lang w:val="zh-CN"/>
              </w:rPr>
              <w:t>工程施工结束后，按照林草部门要求进行恢复，井场恢复后的植被覆盖率不应低于区域范围内同类型土地植被覆盖率，植被类型应与原有类型相似，并与周边自然景观协调，不得使用外来有害物种进行井场、站场植被恢复。</w:t>
            </w:r>
          </w:p>
          <w:p w14:paraId="6CE19F56">
            <w:pPr>
              <w:pStyle w:val="3"/>
              <w:rPr>
                <w:color w:val="000000"/>
                <w:szCs w:val="24"/>
                <w:highlight w:val="none"/>
              </w:rPr>
            </w:pPr>
            <w:r>
              <w:rPr>
                <w:color w:val="000000"/>
                <w:szCs w:val="24"/>
                <w:highlight w:val="none"/>
              </w:rPr>
              <w:t>6.</w:t>
            </w:r>
            <w:r>
              <w:rPr>
                <w:rFonts w:hint="eastAsia"/>
                <w:color w:val="000000"/>
                <w:szCs w:val="24"/>
                <w:highlight w:val="none"/>
              </w:rPr>
              <w:t>3</w:t>
            </w:r>
            <w:r>
              <w:rPr>
                <w:color w:val="000000"/>
                <w:szCs w:val="24"/>
                <w:highlight w:val="none"/>
              </w:rPr>
              <w:t xml:space="preserve"> 水土流失防治措施</w:t>
            </w:r>
          </w:p>
          <w:p w14:paraId="32E0C6EB">
            <w:pPr>
              <w:pStyle w:val="40"/>
              <w:spacing w:line="360" w:lineRule="auto"/>
              <w:ind w:firstLine="480"/>
              <w:rPr>
                <w:rFonts w:ascii="Times New Roman" w:hAnsi="Times New Roman" w:cs="Times New Roman"/>
                <w:color w:val="000000"/>
                <w:sz w:val="24"/>
                <w:szCs w:val="24"/>
                <w:highlight w:val="none"/>
                <w:lang w:val="zh-CN"/>
              </w:rPr>
            </w:pPr>
            <w:r>
              <w:rPr>
                <w:rFonts w:ascii="Times New Roman" w:hAnsi="Times New Roman" w:cs="Times New Roman"/>
                <w:color w:val="000000"/>
                <w:sz w:val="24"/>
                <w:szCs w:val="24"/>
                <w:highlight w:val="none"/>
                <w:lang w:val="zh-CN"/>
              </w:rPr>
              <w:t>针对项目建设施工活动引发水土流失的特点和危害程度，将水土保持工程措施和植物措施有机结合在一起，合理确定水土保持措施的总体布局。对主体工程中具有水土保持功能工程，纳入到方案的水土保持措施体系当中，使之与方案新增水土保持措施一起，形成一个完整、严密、科学的水土流失防治措施体系。</w:t>
            </w:r>
          </w:p>
          <w:p w14:paraId="678607E1">
            <w:pPr>
              <w:pStyle w:val="40"/>
              <w:spacing w:line="360" w:lineRule="auto"/>
              <w:ind w:firstLine="48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①本项目施工时，首先要特别注意保护地表与植被，划定施工活动范围，严格控制和管理车辆及重型机械的行驶范围，所有车辆采用“一”字形作业法，避免并行开辟新路，以减少风蚀沙化活动的范围。</w:t>
            </w:r>
          </w:p>
          <w:p w14:paraId="29E23D16">
            <w:pPr>
              <w:pStyle w:val="40"/>
              <w:spacing w:line="360" w:lineRule="auto"/>
              <w:ind w:firstLine="48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②施工中严格按照施工占地要求，划定适宜的堆料场。路基修筑开挖等作业避免在大风天施工；严格按规划的施工范围进行施工作业，不得随意开辟施工便道。施工车辆不得随意驶离便道。</w:t>
            </w:r>
          </w:p>
          <w:p w14:paraId="2AC389E1">
            <w:pPr>
              <w:pStyle w:val="40"/>
              <w:spacing w:line="360" w:lineRule="auto"/>
              <w:ind w:firstLine="48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③施工后期，及时做好施工后期的迹地恢复工作，包括土地平整，创造局部小环境以利于植被的恢复等。</w:t>
            </w:r>
          </w:p>
          <w:p w14:paraId="243994B2">
            <w:pPr>
              <w:pStyle w:val="40"/>
              <w:spacing w:line="360" w:lineRule="auto"/>
              <w:ind w:firstLine="48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④施工期应首先制订严格的施工管理运行条例，运用管理措施减少地表的扰动面积；合理安排施工，优化施工时段，避免大风大雨天气施工，施工期间车辆运输土石方，运输车辆的车厢应采取苫布遮盖，减少风蚀。</w:t>
            </w:r>
          </w:p>
          <w:p w14:paraId="56E3C07C">
            <w:pPr>
              <w:pStyle w:val="40"/>
              <w:spacing w:line="360" w:lineRule="auto"/>
              <w:ind w:firstLine="48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在工程建设中，必须坚持“预防为主，防治结合”的水土保持工作方针，把预防保护放在水土保持工作的首位，尽可能地减少工程建设造成的水土流失。具体预防保护措施为：加强对施工单位和施工人员的水土保持宣传教育，增强其法制观念，提高其水土保持意识。按水土保持方案实施的水土保持工程制定管护制度，加强工程管护。</w:t>
            </w:r>
          </w:p>
          <w:p w14:paraId="0C0E56BD">
            <w:pPr>
              <w:pStyle w:val="3"/>
              <w:rPr>
                <w:color w:val="000000"/>
                <w:szCs w:val="24"/>
                <w:highlight w:val="none"/>
              </w:rPr>
            </w:pPr>
            <w:r>
              <w:rPr>
                <w:color w:val="000000"/>
                <w:szCs w:val="24"/>
                <w:highlight w:val="none"/>
              </w:rPr>
              <w:t>6.</w:t>
            </w:r>
            <w:r>
              <w:rPr>
                <w:rFonts w:hint="eastAsia"/>
                <w:color w:val="000000"/>
                <w:szCs w:val="24"/>
                <w:highlight w:val="none"/>
              </w:rPr>
              <w:t>4</w:t>
            </w:r>
            <w:r>
              <w:rPr>
                <w:color w:val="000000"/>
                <w:szCs w:val="24"/>
                <w:highlight w:val="none"/>
              </w:rPr>
              <w:t xml:space="preserve"> 防沙治沙措施</w:t>
            </w:r>
          </w:p>
          <w:p w14:paraId="65C70A1C">
            <w:pPr>
              <w:pStyle w:val="37"/>
              <w:spacing w:line="360" w:lineRule="auto"/>
              <w:ind w:firstLine="480"/>
              <w:jc w:val="both"/>
              <w:rPr>
                <w:rFonts w:hint="eastAsia"/>
                <w:color w:val="000000"/>
                <w:highlight w:val="none"/>
              </w:rPr>
            </w:pPr>
            <w:r>
              <w:rPr>
                <w:rFonts w:hint="eastAsia"/>
                <w:color w:val="000000"/>
                <w:highlight w:val="none"/>
              </w:rPr>
              <w:t>本环评要求建设单位及施工人员严格按照《新疆维吾尔自治区实施&lt;中华人民共和国防沙治沙法&gt;办法》及《关于加强沙区建设项目环境影响评价工作的通知》（新环环评发〔2020〕138号）中有关规定执行防沙治沙措施：</w:t>
            </w:r>
          </w:p>
          <w:p w14:paraId="6DC3FD22">
            <w:pPr>
              <w:pStyle w:val="37"/>
              <w:spacing w:line="360" w:lineRule="auto"/>
              <w:ind w:firstLine="480"/>
              <w:jc w:val="both"/>
              <w:rPr>
                <w:rFonts w:hint="eastAsia"/>
                <w:color w:val="000000"/>
                <w:highlight w:val="none"/>
              </w:rPr>
            </w:pPr>
            <w:r>
              <w:rPr>
                <w:rFonts w:hint="eastAsia"/>
                <w:color w:val="000000"/>
                <w:highlight w:val="none"/>
              </w:rPr>
              <w:t>①严格控制井场、道路、放喷管线等工程的临时占地，按施工方案严格控制扰动范围，不得随意碾压固沙植被。</w:t>
            </w:r>
          </w:p>
          <w:p w14:paraId="68F903A1">
            <w:pPr>
              <w:pStyle w:val="37"/>
              <w:spacing w:line="360" w:lineRule="auto"/>
              <w:ind w:firstLine="480"/>
              <w:jc w:val="both"/>
              <w:rPr>
                <w:rFonts w:hint="eastAsia"/>
                <w:color w:val="000000"/>
                <w:highlight w:val="none"/>
              </w:rPr>
            </w:pPr>
            <w:r>
              <w:rPr>
                <w:rFonts w:hint="eastAsia"/>
                <w:color w:val="000000"/>
                <w:highlight w:val="none"/>
              </w:rPr>
              <w:t>②严格划定车辆行驶路线及临时道路开拓路线，严格控制和管理车辆及重型机械的运行范围，所有车辆采用“一”字型作业法，临探道路应选取最短路径与油田现有公路相连接，不开辟新路，以减少风蚀沙化活动的范围。</w:t>
            </w:r>
          </w:p>
          <w:p w14:paraId="0F8DE371">
            <w:pPr>
              <w:pStyle w:val="37"/>
              <w:spacing w:line="360" w:lineRule="auto"/>
              <w:ind w:firstLine="480"/>
              <w:jc w:val="both"/>
              <w:rPr>
                <w:rFonts w:hint="eastAsia"/>
                <w:color w:val="000000"/>
                <w:highlight w:val="none"/>
              </w:rPr>
            </w:pPr>
            <w:r>
              <w:rPr>
                <w:rFonts w:hint="eastAsia"/>
                <w:color w:val="000000"/>
                <w:highlight w:val="none"/>
              </w:rPr>
              <w:t>③优化施工组织，尽量缩短施工时间，避免在大风天气进行产生扬尘的作业，以免造成土壤风蚀影响。</w:t>
            </w:r>
          </w:p>
          <w:p w14:paraId="4C6C7F61">
            <w:pPr>
              <w:pStyle w:val="37"/>
              <w:spacing w:line="360" w:lineRule="auto"/>
              <w:ind w:firstLine="480"/>
              <w:jc w:val="both"/>
              <w:rPr>
                <w:rFonts w:hint="eastAsia"/>
                <w:color w:val="000000"/>
                <w:highlight w:val="none"/>
              </w:rPr>
            </w:pPr>
            <w:r>
              <w:rPr>
                <w:rFonts w:hint="eastAsia"/>
                <w:color w:val="000000"/>
                <w:highlight w:val="none"/>
              </w:rPr>
              <w:t>④应在施工场地外围迎风面一侧设置移动式围挡，最大限度减少因风力作用加重局部区域沙化。施工过程粉状材料及临时土方等在井场堆放应采取覆盖防尘布，逸散性材料运输采用苫布遮盖，减少施工扬尘产生量和起沙量。</w:t>
            </w:r>
          </w:p>
          <w:p w14:paraId="44191873">
            <w:pPr>
              <w:pStyle w:val="37"/>
              <w:spacing w:line="360" w:lineRule="auto"/>
              <w:ind w:firstLine="480"/>
              <w:jc w:val="both"/>
              <w:rPr>
                <w:rFonts w:hint="eastAsia"/>
                <w:color w:val="000000"/>
                <w:highlight w:val="none"/>
              </w:rPr>
            </w:pPr>
            <w:r>
              <w:rPr>
                <w:rFonts w:hint="eastAsia"/>
                <w:color w:val="000000"/>
                <w:highlight w:val="none"/>
              </w:rPr>
              <w:t>⑤施工结束时，应拆除并移走全部施工设备，清理所有施工固废及生活垃圾，将井场、道路等临时占地范围进行平整，并覆土压实覆盖一层砾石，防止风蚀现象发生。</w:t>
            </w:r>
          </w:p>
          <w:p w14:paraId="61EB067C">
            <w:pPr>
              <w:pStyle w:val="37"/>
              <w:spacing w:line="360" w:lineRule="auto"/>
              <w:ind w:firstLine="480"/>
              <w:jc w:val="both"/>
              <w:rPr>
                <w:rFonts w:hint="eastAsia"/>
                <w:color w:val="000000"/>
                <w:highlight w:val="none"/>
              </w:rPr>
            </w:pPr>
            <w:r>
              <w:rPr>
                <w:rFonts w:hint="eastAsia"/>
                <w:color w:val="000000"/>
                <w:highlight w:val="none"/>
              </w:rPr>
              <w:t>⑥为减少因施工破坏植被造成局部区域的沙化，本环评要求建设单位和施工人员须征得当地林业管理部门的批准后方可开展施工作业。建议尽可能完整保存拟建选址区域的原生植被，在施工期结束后恢复原有植被或栽种同类沙地植物，最大限度减少沙化的可能性。</w:t>
            </w:r>
          </w:p>
          <w:p w14:paraId="62640A76">
            <w:pPr>
              <w:pStyle w:val="37"/>
              <w:spacing w:line="360" w:lineRule="auto"/>
              <w:ind w:firstLine="480"/>
              <w:jc w:val="both"/>
              <w:rPr>
                <w:rFonts w:hint="eastAsia"/>
                <w:color w:val="000000"/>
                <w:highlight w:val="none"/>
              </w:rPr>
            </w:pPr>
            <w:r>
              <w:rPr>
                <w:rFonts w:hint="eastAsia"/>
                <w:color w:val="000000"/>
                <w:highlight w:val="none"/>
              </w:rPr>
              <w:t>⑦对于无植被生长的纯沙地区域，在施工结束时建议对遭受扰动的临时占地区域设置草方格进行固沙，阻止沙化进一步发展。</w:t>
            </w:r>
          </w:p>
          <w:p w14:paraId="68D2E998">
            <w:pPr>
              <w:pStyle w:val="37"/>
              <w:spacing w:line="360" w:lineRule="auto"/>
              <w:ind w:firstLine="480"/>
              <w:jc w:val="both"/>
              <w:rPr>
                <w:rFonts w:hint="eastAsia"/>
                <w:color w:val="000000"/>
                <w:highlight w:val="none"/>
              </w:rPr>
            </w:pPr>
            <w:r>
              <w:rPr>
                <w:rFonts w:hint="eastAsia"/>
                <w:color w:val="000000"/>
                <w:highlight w:val="none"/>
              </w:rPr>
              <w:t>⑧大力宣传《中华人民共和国防沙治沙法》，使施工人员知法、懂法、守法，自觉保护林草植被，自觉履行防治义务。禁止在沙土地上砍挖灌木、药材及其他固沙植物。</w:t>
            </w:r>
          </w:p>
          <w:p w14:paraId="27D7F62C">
            <w:pPr>
              <w:pStyle w:val="37"/>
              <w:spacing w:line="360" w:lineRule="auto"/>
              <w:ind w:firstLine="480"/>
              <w:jc w:val="both"/>
              <w:rPr>
                <w:rFonts w:hint="eastAsia"/>
                <w:color w:val="000000"/>
                <w:highlight w:val="none"/>
              </w:rPr>
            </w:pPr>
            <w:r>
              <w:rPr>
                <w:rFonts w:hint="eastAsia"/>
                <w:color w:val="000000"/>
                <w:highlight w:val="none"/>
              </w:rPr>
              <w:t>⑨施工过程中及施工期结束土壤环境恢复过程中发现临时占用土地出现沙化或者沙化程度加重的，应当及时报告当地生态环境保护部门和人民政府，并根据专业意见开展防沙治沙措施。</w:t>
            </w:r>
          </w:p>
          <w:p w14:paraId="4702DD6A">
            <w:pPr>
              <w:pStyle w:val="37"/>
              <w:spacing w:line="360" w:lineRule="auto"/>
              <w:ind w:firstLine="480"/>
              <w:jc w:val="both"/>
              <w:rPr>
                <w:rFonts w:hint="eastAsia"/>
                <w:color w:val="000000"/>
                <w:highlight w:val="none"/>
              </w:rPr>
            </w:pPr>
            <w:r>
              <w:rPr>
                <w:rFonts w:hint="eastAsia"/>
                <w:color w:val="000000"/>
                <w:highlight w:val="none"/>
              </w:rPr>
              <w:t>⑩建设项目主管部门应该积极主动，加强水土保持管理，对施工人员进行培训和教育，自觉保持水土，保护植被。严禁施工材料乱堆乱放，不随意乱采乱挖沿线植被。加强施工期管理，加速建设进度，减少施工期水土流失的产生；同时在施工期间，应提前制定严密的交通管理措施。</w:t>
            </w:r>
          </w:p>
          <w:p w14:paraId="5D47626B">
            <w:pPr>
              <w:pStyle w:val="37"/>
              <w:spacing w:line="360" w:lineRule="auto"/>
              <w:ind w:firstLine="480"/>
              <w:jc w:val="both"/>
              <w:rPr>
                <w:color w:val="000000"/>
                <w:highlight w:val="none"/>
              </w:rPr>
            </w:pPr>
            <w:r>
              <w:rPr>
                <w:rFonts w:hint="eastAsia"/>
                <w:color w:val="000000"/>
                <w:highlight w:val="none"/>
              </w:rPr>
              <w:t>通过采取上述措施，可将项目建设对所在区域土壤环境造成的水土流失和沙化影响降至可接受水平。</w:t>
            </w:r>
          </w:p>
          <w:p w14:paraId="3277C107">
            <w:pPr>
              <w:pStyle w:val="3"/>
              <w:rPr>
                <w:color w:val="000000"/>
                <w:szCs w:val="24"/>
                <w:highlight w:val="none"/>
              </w:rPr>
            </w:pPr>
            <w:r>
              <w:rPr>
                <w:color w:val="000000"/>
                <w:szCs w:val="24"/>
                <w:highlight w:val="none"/>
              </w:rPr>
              <w:t>7 环境风险防范措施</w:t>
            </w:r>
          </w:p>
          <w:p w14:paraId="6AB72138">
            <w:pPr>
              <w:spacing w:line="360" w:lineRule="auto"/>
              <w:jc w:val="both"/>
              <w:rPr>
                <w:b/>
                <w:bCs/>
                <w:snapToGrid w:val="0"/>
                <w:color w:val="000000"/>
                <w:highlight w:val="none"/>
              </w:rPr>
            </w:pPr>
            <w:r>
              <w:rPr>
                <w:b/>
                <w:bCs/>
                <w:snapToGrid w:val="0"/>
                <w:color w:val="000000"/>
                <w:highlight w:val="none"/>
              </w:rPr>
              <w:t>7.1环境风险防范措施</w:t>
            </w:r>
          </w:p>
          <w:p w14:paraId="27AA9A14">
            <w:pPr>
              <w:spacing w:line="360" w:lineRule="auto"/>
              <w:ind w:firstLine="480" w:firstLineChars="200"/>
              <w:jc w:val="both"/>
              <w:rPr>
                <w:color w:val="000000"/>
                <w:highlight w:val="none"/>
              </w:rPr>
            </w:pPr>
            <w:r>
              <w:rPr>
                <w:snapToGrid w:val="0"/>
                <w:color w:val="000000"/>
                <w:highlight w:val="none"/>
              </w:rPr>
              <w:t>本项目突发环境事件主要包括：钻井过程井喷失控、着火、有毒有害气体泄漏；交通运输事故；环境污染事件等。应在预防措施上严格执行各类管理制度。主要措施是安装防喷器和井控装置（简易封井器等），严格控制使用有毒有害钻井液及化学处理剂，同时严格要求套管下入深度、确保固井质量等措施，最大限度地降低井喷、井漏及油水窜层事故的发生。</w:t>
            </w:r>
          </w:p>
          <w:p w14:paraId="55469CF8">
            <w:pPr>
              <w:spacing w:line="360" w:lineRule="auto"/>
              <w:ind w:firstLine="480" w:firstLineChars="200"/>
              <w:jc w:val="both"/>
              <w:rPr>
                <w:color w:val="000000"/>
                <w:highlight w:val="none"/>
              </w:rPr>
            </w:pPr>
            <w:r>
              <w:rPr>
                <w:color w:val="000000"/>
                <w:highlight w:val="none"/>
              </w:rPr>
              <w:t>（1）钻井作业事故防范措施</w:t>
            </w:r>
          </w:p>
          <w:p w14:paraId="15FA1A05">
            <w:pPr>
              <w:spacing w:line="360" w:lineRule="auto"/>
              <w:ind w:firstLine="480" w:firstLineChars="200"/>
              <w:jc w:val="both"/>
              <w:rPr>
                <w:color w:val="000000"/>
                <w:highlight w:val="none"/>
              </w:rPr>
            </w:pPr>
            <w:r>
              <w:rPr>
                <w:color w:val="000000"/>
                <w:highlight w:val="none"/>
              </w:rPr>
              <w:t>①钻井井口装置包括防喷器、防喷器控制系统、四通、闸阀及套管头等。各次开钻要按设计安装井口装置。</w:t>
            </w:r>
          </w:p>
          <w:p w14:paraId="0AEB8346">
            <w:pPr>
              <w:spacing w:line="360" w:lineRule="auto"/>
              <w:ind w:firstLine="480" w:firstLineChars="200"/>
              <w:jc w:val="both"/>
              <w:rPr>
                <w:color w:val="000000"/>
                <w:highlight w:val="none"/>
              </w:rPr>
            </w:pPr>
            <w:r>
              <w:rPr>
                <w:color w:val="000000"/>
                <w:highlight w:val="none"/>
              </w:rPr>
              <w:t>② 防喷器顶部安装防溢管时，不用的螺孔用丝堵堵住。防溢管处应装挡泥伞，保证防喷器组及四通各闸阀清洁。</w:t>
            </w:r>
          </w:p>
          <w:p w14:paraId="0D2C5AB0">
            <w:pPr>
              <w:spacing w:line="360" w:lineRule="auto"/>
              <w:ind w:firstLine="480" w:firstLineChars="200"/>
              <w:jc w:val="both"/>
              <w:rPr>
                <w:rFonts w:hint="eastAsia"/>
                <w:bCs/>
                <w:color w:val="000000"/>
                <w:highlight w:val="none"/>
                <w:lang w:val="zh-CN"/>
              </w:rPr>
            </w:pPr>
            <w:r>
              <w:rPr>
                <w:rFonts w:hint="eastAsia"/>
                <w:bCs/>
                <w:color w:val="000000"/>
                <w:highlight w:val="none"/>
              </w:rPr>
              <w:t>③</w:t>
            </w:r>
            <w:r>
              <w:rPr>
                <w:rFonts w:hint="eastAsia"/>
                <w:bCs/>
                <w:color w:val="000000"/>
                <w:highlight w:val="none"/>
                <w:lang w:val="zh-CN"/>
              </w:rPr>
              <w:t>防喷、放喷管线应使用经探伤合格的管材；防喷管线应采用高压法兰连接，不允许现场焊接。放喷管线与节流、压井管汇的连接采用法兰连接。</w:t>
            </w:r>
          </w:p>
          <w:p w14:paraId="7EAA85AF">
            <w:pPr>
              <w:pStyle w:val="2"/>
              <w:spacing w:before="0" w:after="0" w:line="360" w:lineRule="auto"/>
              <w:ind w:left="0" w:firstLine="480" w:firstLineChars="200"/>
              <w:jc w:val="both"/>
              <w:rPr>
                <w:rFonts w:hint="eastAsia" w:eastAsia="宋体"/>
                <w:b w:val="0"/>
                <w:color w:val="000000"/>
                <w:kern w:val="2"/>
                <w:sz w:val="24"/>
                <w:szCs w:val="24"/>
                <w:highlight w:val="none"/>
                <w:lang w:val="zh-CN"/>
              </w:rPr>
            </w:pPr>
            <w:r>
              <w:rPr>
                <w:rFonts w:hint="eastAsia" w:eastAsia="宋体"/>
                <w:b w:val="0"/>
                <w:color w:val="000000"/>
                <w:kern w:val="2"/>
                <w:sz w:val="24"/>
                <w:szCs w:val="24"/>
                <w:highlight w:val="none"/>
              </w:rPr>
              <w:t>④</w:t>
            </w:r>
            <w:r>
              <w:rPr>
                <w:rFonts w:hint="eastAsia" w:eastAsia="宋体"/>
                <w:b w:val="0"/>
                <w:color w:val="000000"/>
                <w:kern w:val="2"/>
                <w:sz w:val="24"/>
                <w:szCs w:val="24"/>
                <w:highlight w:val="none"/>
                <w:lang w:val="zh-CN"/>
              </w:rPr>
              <w:t>防喷器控制系统现场安装调试完成后应对各液控管路进行21MPa压力检验（环形防喷器液控管路只试10.5MPa），稳压10min，管路各处不渗不漏。</w:t>
            </w:r>
          </w:p>
          <w:p w14:paraId="1B56DC38">
            <w:pPr>
              <w:pStyle w:val="2"/>
              <w:spacing w:before="0" w:after="0" w:line="360" w:lineRule="auto"/>
              <w:ind w:left="0" w:firstLine="480" w:firstLineChars="200"/>
              <w:jc w:val="both"/>
              <w:rPr>
                <w:rFonts w:eastAsia="宋体"/>
                <w:b w:val="0"/>
                <w:color w:val="000000"/>
                <w:kern w:val="2"/>
                <w:sz w:val="24"/>
                <w:szCs w:val="24"/>
                <w:highlight w:val="none"/>
                <w:lang w:val="zh-CN"/>
              </w:rPr>
            </w:pPr>
            <w:r>
              <w:rPr>
                <w:rFonts w:hint="eastAsia" w:eastAsia="宋体"/>
                <w:b w:val="0"/>
                <w:color w:val="000000"/>
                <w:kern w:val="2"/>
                <w:sz w:val="24"/>
                <w:szCs w:val="24"/>
                <w:highlight w:val="none"/>
              </w:rPr>
              <w:t>⑤</w:t>
            </w:r>
            <w:r>
              <w:rPr>
                <w:rFonts w:eastAsia="宋体"/>
                <w:b w:val="0"/>
                <w:color w:val="000000"/>
                <w:kern w:val="2"/>
                <w:sz w:val="24"/>
                <w:szCs w:val="24"/>
                <w:highlight w:val="none"/>
                <w:lang w:val="zh-CN"/>
              </w:rPr>
              <w:t>放喷池采取重点防渗，参照《危险废物贮存污染控制标准》（GB18597-2023）中相应防渗要求执行</w:t>
            </w:r>
            <w:r>
              <w:rPr>
                <w:rFonts w:hint="eastAsia" w:eastAsia="宋体"/>
                <w:b w:val="0"/>
                <w:color w:val="000000"/>
                <w:kern w:val="2"/>
                <w:sz w:val="24"/>
                <w:szCs w:val="24"/>
                <w:highlight w:val="none"/>
                <w:lang w:val="zh-CN"/>
              </w:rPr>
              <w:t>。</w:t>
            </w:r>
          </w:p>
          <w:p w14:paraId="11D5E1D1">
            <w:pPr>
              <w:spacing w:line="360" w:lineRule="auto"/>
              <w:ind w:firstLine="480" w:firstLineChars="200"/>
              <w:jc w:val="both"/>
              <w:rPr>
                <w:color w:val="000000"/>
                <w:highlight w:val="none"/>
              </w:rPr>
            </w:pPr>
            <w:r>
              <w:rPr>
                <w:rFonts w:hint="eastAsia"/>
                <w:color w:val="000000"/>
                <w:highlight w:val="none"/>
              </w:rPr>
              <w:t>⑥</w:t>
            </w:r>
            <w:r>
              <w:rPr>
                <w:color w:val="000000"/>
                <w:highlight w:val="none"/>
              </w:rPr>
              <w:t>远程控制台安装在井场左侧，距井口不少于25m（稠油井如受场地限制，距井口距离不应少于20m处），距放喷管线或压井管线有2m以上距离，周围留有宽度不少于2m的人行通道，周围10m内不得堆放易燃、易爆、腐蚀物品。</w:t>
            </w:r>
          </w:p>
          <w:p w14:paraId="4DF79EC4">
            <w:pPr>
              <w:spacing w:line="360" w:lineRule="auto"/>
              <w:ind w:firstLine="480" w:firstLineChars="200"/>
              <w:jc w:val="both"/>
              <w:rPr>
                <w:color w:val="000000"/>
                <w:highlight w:val="none"/>
              </w:rPr>
            </w:pPr>
            <w:r>
              <w:rPr>
                <w:rFonts w:hint="eastAsia"/>
                <w:color w:val="000000"/>
                <w:highlight w:val="none"/>
              </w:rPr>
              <w:t>⑦</w:t>
            </w:r>
            <w:r>
              <w:rPr>
                <w:color w:val="000000"/>
                <w:highlight w:val="none"/>
              </w:rPr>
              <w:t>井控设备安装好后，按要求试压。</w:t>
            </w:r>
          </w:p>
          <w:p w14:paraId="616B40D1">
            <w:pPr>
              <w:spacing w:line="360" w:lineRule="auto"/>
              <w:ind w:firstLine="480" w:firstLineChars="200"/>
              <w:jc w:val="both"/>
              <w:rPr>
                <w:color w:val="000000"/>
                <w:highlight w:val="none"/>
              </w:rPr>
            </w:pPr>
            <w:r>
              <w:rPr>
                <w:color w:val="000000"/>
                <w:highlight w:val="none"/>
              </w:rPr>
              <w:t>井控车间试压：环形防喷器（封闭钻杆）、闸板防喷器和节流管汇、压井管汇、防喷管线、四通、内防喷工具试到额定工作压力，试压稳压时间≥10min , 允许压降≤0.7MPa，密封部位无渗漏。闸板防喷器应做低压试验，试压值为1.4～2.1MPa，稳压时间≥10min，压降≤0.07MPa，密封件部位无渗漏。</w:t>
            </w:r>
          </w:p>
          <w:p w14:paraId="28BF01C7">
            <w:pPr>
              <w:spacing w:line="360" w:lineRule="auto"/>
              <w:ind w:firstLine="480" w:firstLineChars="200"/>
              <w:jc w:val="both"/>
              <w:rPr>
                <w:color w:val="000000"/>
                <w:highlight w:val="none"/>
              </w:rPr>
            </w:pPr>
            <w:r>
              <w:rPr>
                <w:color w:val="000000"/>
                <w:highlight w:val="none"/>
              </w:rPr>
              <w:t>钻开油、气层后，每次起下钻（离上次活动时间超过5d）对闸板防喷器及手动锁紧装置开关活动一次。每次试压后应对井控装置固定螺栓进行紧固。</w:t>
            </w:r>
          </w:p>
          <w:p w14:paraId="25B1230B">
            <w:pPr>
              <w:spacing w:line="360" w:lineRule="auto"/>
              <w:ind w:firstLine="480" w:firstLineChars="200"/>
              <w:jc w:val="both"/>
              <w:rPr>
                <w:color w:val="000000"/>
                <w:highlight w:val="none"/>
              </w:rPr>
            </w:pPr>
            <w:r>
              <w:rPr>
                <w:rFonts w:hint="eastAsia"/>
                <w:color w:val="000000"/>
                <w:highlight w:val="none"/>
              </w:rPr>
              <w:t>⑧</w:t>
            </w:r>
            <w:r>
              <w:rPr>
                <w:color w:val="000000"/>
                <w:highlight w:val="none"/>
              </w:rPr>
              <w:t>探井二开以后、其它井三开以后井段，每只新入井的钻头开始钻进前，以及连续钻进300～500m，都要以1/3～1/2钻进排量循环一定时间，待钻井液循环正常后测一次低泵速循环压力，并作好泵冲数、流量、循环压力记录。</w:t>
            </w:r>
          </w:p>
          <w:p w14:paraId="5F423156">
            <w:pPr>
              <w:spacing w:line="360" w:lineRule="auto"/>
              <w:ind w:firstLine="480" w:firstLineChars="200"/>
              <w:jc w:val="both"/>
              <w:rPr>
                <w:color w:val="000000"/>
                <w:highlight w:val="none"/>
              </w:rPr>
            </w:pPr>
            <w:r>
              <w:rPr>
                <w:color w:val="000000"/>
                <w:highlight w:val="none"/>
              </w:rPr>
              <w:t>⑨钻进中注意观察钻时、放空、井漏、气测异常和钻井液出口流量、流势、气泡、气味、油花等情况，及时测量钻井液密度和粘度、氯根含量、循环池罐面等变化，并作好记录。</w:t>
            </w:r>
          </w:p>
          <w:p w14:paraId="43B8C726">
            <w:pPr>
              <w:spacing w:line="360" w:lineRule="auto"/>
              <w:ind w:firstLine="480" w:firstLineChars="200"/>
              <w:jc w:val="both"/>
              <w:rPr>
                <w:color w:val="000000"/>
                <w:highlight w:val="none"/>
              </w:rPr>
            </w:pPr>
            <w:r>
              <w:rPr>
                <w:color w:val="000000"/>
                <w:highlight w:val="none"/>
              </w:rPr>
              <w:t>⑩做好防硫、防喷演习讲评和记录。</w:t>
            </w:r>
          </w:p>
          <w:p w14:paraId="7B40228B">
            <w:pPr>
              <w:spacing w:line="360" w:lineRule="auto"/>
              <w:ind w:firstLine="480" w:firstLineChars="200"/>
              <w:jc w:val="both"/>
              <w:rPr>
                <w:color w:val="000000"/>
                <w:highlight w:val="none"/>
              </w:rPr>
            </w:pPr>
            <w:r>
              <w:rPr>
                <w:color w:val="000000"/>
                <w:highlight w:val="none"/>
              </w:rPr>
              <w:t>⑪井控操作实行持证上岗，各岗位的钻井人员有明确的分工，并且应经过井控专业培训。</w:t>
            </w:r>
          </w:p>
          <w:p w14:paraId="5B99C176">
            <w:pPr>
              <w:spacing w:line="360" w:lineRule="auto"/>
              <w:ind w:firstLine="480" w:firstLineChars="200"/>
              <w:jc w:val="both"/>
              <w:rPr>
                <w:color w:val="000000"/>
                <w:highlight w:val="none"/>
              </w:rPr>
            </w:pPr>
            <w:r>
              <w:rPr>
                <w:color w:val="000000"/>
                <w:highlight w:val="none"/>
              </w:rPr>
              <w:t>⑫井场设置明显的禁止烟火标志；井场钻井设备及电器设备、照明灯具符合防火防爆的安全要求，井场安装探照灯，以备井喷时钻台照明。</w:t>
            </w:r>
          </w:p>
          <w:p w14:paraId="3A9C5CFF">
            <w:pPr>
              <w:spacing w:line="360" w:lineRule="auto"/>
              <w:ind w:firstLine="480" w:firstLineChars="200"/>
              <w:jc w:val="both"/>
              <w:rPr>
                <w:color w:val="000000"/>
                <w:highlight w:val="none"/>
              </w:rPr>
            </w:pPr>
            <w:r>
              <w:rPr>
                <w:color w:val="000000"/>
                <w:highlight w:val="none"/>
              </w:rPr>
              <w:t>⑬在井架、井场路口等处设风向标，发生事故时人员迅速向上风向疏散。按消防规定配备灭火器、消防铁锹和其它消防器材。</w:t>
            </w:r>
          </w:p>
          <w:p w14:paraId="454F9514">
            <w:pPr>
              <w:spacing w:line="360" w:lineRule="auto"/>
              <w:ind w:firstLine="480" w:firstLineChars="200"/>
              <w:jc w:val="both"/>
              <w:rPr>
                <w:color w:val="000000"/>
                <w:highlight w:val="none"/>
              </w:rPr>
            </w:pPr>
            <w:r>
              <w:rPr>
                <w:color w:val="000000"/>
                <w:highlight w:val="none"/>
              </w:rPr>
              <w:t>⑭事故应急救援预案。</w:t>
            </w:r>
          </w:p>
          <w:p w14:paraId="59981FEF">
            <w:pPr>
              <w:spacing w:line="360" w:lineRule="auto"/>
              <w:ind w:firstLine="480" w:firstLineChars="200"/>
              <w:jc w:val="both"/>
              <w:rPr>
                <w:color w:val="000000"/>
                <w:highlight w:val="none"/>
              </w:rPr>
            </w:pPr>
            <w:r>
              <w:rPr>
                <w:color w:val="000000"/>
                <w:highlight w:val="none"/>
              </w:rPr>
              <w:t>根据项目的生产特点，制定了相应的应急预案，由项目主要负责人按照应急预案中的要求定期组织职工学习并进行演习。</w:t>
            </w:r>
          </w:p>
          <w:p w14:paraId="191006B2">
            <w:pPr>
              <w:spacing w:line="360" w:lineRule="auto"/>
              <w:ind w:firstLine="480" w:firstLineChars="200"/>
              <w:jc w:val="both"/>
              <w:rPr>
                <w:color w:val="000000"/>
                <w:highlight w:val="none"/>
              </w:rPr>
            </w:pPr>
            <w:r>
              <w:rPr>
                <w:color w:val="000000"/>
                <w:highlight w:val="none"/>
              </w:rPr>
              <w:t>（2）硫化氢防范措施</w:t>
            </w:r>
          </w:p>
          <w:p w14:paraId="61A71556">
            <w:pPr>
              <w:spacing w:line="360" w:lineRule="auto"/>
              <w:ind w:firstLine="480" w:firstLineChars="200"/>
              <w:jc w:val="both"/>
              <w:rPr>
                <w:color w:val="000000"/>
                <w:highlight w:val="none"/>
              </w:rPr>
            </w:pPr>
            <w:r>
              <w:rPr>
                <w:color w:val="000000"/>
                <w:highlight w:val="none"/>
              </w:rPr>
              <w:t>应做好硫化氢监测和防范工作。施工井队应配便携式硫化氢监测仪，做好硫化氢检测工作，制定防硫化氢应急预案。在井场大门口、钻台、振动筛、坐岗房、防喷器液控房等五处设立风向标（风袋、风飘带、风旗或其它适用的装置），并在不同方向上划定两个紧急集合点，一旦发生紧急情况，作业人员可向上风方向疏散。当监测到硫化氢浓度大于15mg/m</w:t>
            </w:r>
            <w:r>
              <w:rPr>
                <w:color w:val="000000"/>
                <w:highlight w:val="none"/>
                <w:vertAlign w:val="superscript"/>
              </w:rPr>
              <w:t>3</w:t>
            </w:r>
            <w:r>
              <w:rPr>
                <w:color w:val="000000"/>
                <w:highlight w:val="none"/>
              </w:rPr>
              <w:t>（10ppm）时，立即按照含硫油气井作业规定配置硫化氢监测仪、正压式呼吸器等设施，按照《含硫化氢油气井安全钻井推荐作法》（SY/T5087-2005）标准规定执行。</w:t>
            </w:r>
          </w:p>
          <w:p w14:paraId="137FFAA9">
            <w:pPr>
              <w:spacing w:line="360" w:lineRule="auto"/>
              <w:ind w:firstLine="480" w:firstLineChars="200"/>
              <w:jc w:val="both"/>
              <w:rPr>
                <w:color w:val="000000"/>
                <w:highlight w:val="none"/>
              </w:rPr>
            </w:pPr>
            <w:r>
              <w:rPr>
                <w:color w:val="000000"/>
                <w:highlight w:val="none"/>
              </w:rPr>
              <w:t>（3）钻井套管破损、泄漏事故风险防范措施</w:t>
            </w:r>
          </w:p>
          <w:p w14:paraId="7921D91C">
            <w:pPr>
              <w:spacing w:line="360" w:lineRule="auto"/>
              <w:ind w:firstLine="480" w:firstLineChars="200"/>
              <w:jc w:val="both"/>
              <w:rPr>
                <w:color w:val="000000"/>
                <w:highlight w:val="none"/>
              </w:rPr>
            </w:pPr>
            <w:r>
              <w:rPr>
                <w:color w:val="000000"/>
                <w:highlight w:val="none"/>
              </w:rPr>
              <w:t>①钻井、固井、完井等作业严格执行各项安全操作规程，确保施工质量，防漏、防窜。</w:t>
            </w:r>
          </w:p>
          <w:p w14:paraId="168D44D5">
            <w:pPr>
              <w:spacing w:line="360" w:lineRule="auto"/>
              <w:ind w:firstLine="480" w:firstLineChars="200"/>
              <w:jc w:val="both"/>
              <w:rPr>
                <w:color w:val="000000"/>
                <w:highlight w:val="none"/>
              </w:rPr>
            </w:pPr>
            <w:r>
              <w:rPr>
                <w:color w:val="000000"/>
                <w:highlight w:val="none"/>
              </w:rPr>
              <w:t>②压裂、酸化及调堵等施工作业前应将高低压管汇连接牢固，施工时应该严格控制不能超过设备额定压力；操作人员要密切注意设备运行状况，发现管件破裂刺漏等问题及时处理；作业现场应配备消防设备，以备应急救援。</w:t>
            </w:r>
          </w:p>
          <w:p w14:paraId="15096944">
            <w:pPr>
              <w:spacing w:line="360" w:lineRule="auto"/>
              <w:ind w:firstLine="480" w:firstLineChars="200"/>
              <w:jc w:val="both"/>
              <w:rPr>
                <w:color w:val="000000"/>
                <w:highlight w:val="none"/>
              </w:rPr>
            </w:pPr>
            <w:r>
              <w:rPr>
                <w:color w:val="000000"/>
                <w:highlight w:val="none"/>
              </w:rPr>
              <w:t>③压裂、酸化解堵及冲砂等作业应按照设计要求均匀加砂，严禁中途停泵；冲砂管柱下放速度不宜过快，排量不能太小；更换油管速度要快并要防止井中落物。</w:t>
            </w:r>
          </w:p>
          <w:p w14:paraId="1523B11A">
            <w:pPr>
              <w:spacing w:line="360" w:lineRule="auto"/>
              <w:ind w:firstLine="480" w:firstLineChars="200"/>
              <w:jc w:val="both"/>
              <w:rPr>
                <w:color w:val="000000"/>
                <w:highlight w:val="none"/>
              </w:rPr>
            </w:pPr>
            <w:r>
              <w:rPr>
                <w:color w:val="000000"/>
                <w:highlight w:val="none"/>
              </w:rPr>
              <w:t>④防腐蚀，做好地层水、天然气等的防腐工作。</w:t>
            </w:r>
          </w:p>
          <w:p w14:paraId="63D4FFB4">
            <w:pPr>
              <w:spacing w:line="360" w:lineRule="auto"/>
              <w:ind w:firstLine="480" w:firstLineChars="200"/>
              <w:jc w:val="both"/>
              <w:rPr>
                <w:color w:val="000000"/>
                <w:highlight w:val="none"/>
              </w:rPr>
            </w:pPr>
            <w:r>
              <w:rPr>
                <w:color w:val="000000"/>
                <w:highlight w:val="none"/>
              </w:rPr>
              <w:t>⑤工程施工、监理单位需具备相应资质，加强对施工现场的安全组织管理和监督。</w:t>
            </w:r>
          </w:p>
          <w:p w14:paraId="5335858A">
            <w:pPr>
              <w:spacing w:line="360" w:lineRule="auto"/>
              <w:ind w:firstLine="480" w:firstLineChars="200"/>
              <w:jc w:val="both"/>
              <w:rPr>
                <w:color w:val="000000"/>
                <w:highlight w:val="none"/>
              </w:rPr>
            </w:pPr>
            <w:r>
              <w:rPr>
                <w:color w:val="000000"/>
                <w:highlight w:val="none"/>
              </w:rPr>
              <w:t>⑥建立、健全各项安全管理制度以及配套的工艺、设备安全操作规程，并严格执行。</w:t>
            </w:r>
          </w:p>
          <w:p w14:paraId="2B59D11F">
            <w:pPr>
              <w:spacing w:line="360" w:lineRule="auto"/>
              <w:ind w:firstLine="480" w:firstLineChars="200"/>
              <w:jc w:val="both"/>
              <w:rPr>
                <w:color w:val="000000"/>
                <w:highlight w:val="none"/>
              </w:rPr>
            </w:pPr>
            <w:r>
              <w:rPr>
                <w:color w:val="000000"/>
                <w:highlight w:val="none"/>
              </w:rPr>
              <w:t>（4）储罐环境风险防范措施</w:t>
            </w:r>
          </w:p>
          <w:p w14:paraId="53C21AAF">
            <w:pPr>
              <w:spacing w:line="360" w:lineRule="auto"/>
              <w:ind w:firstLine="480" w:firstLineChars="200"/>
              <w:jc w:val="both"/>
              <w:rPr>
                <w:color w:val="000000"/>
                <w:highlight w:val="none"/>
              </w:rPr>
            </w:pPr>
            <w:r>
              <w:rPr>
                <w:color w:val="000000"/>
                <w:highlight w:val="none"/>
              </w:rPr>
              <w:t>柴油、原油罐区周边设置警示标识，严禁烟火和不相关人员靠近。日常加强油罐的管理及安全检查，防止发生泄漏等安全事故。为尽量避免管线破裂事故的发生，减轻泄漏事故对环境的影响，应该采取以下安全环保措施：</w:t>
            </w:r>
          </w:p>
          <w:p w14:paraId="750DD113">
            <w:pPr>
              <w:spacing w:line="360" w:lineRule="auto"/>
              <w:ind w:firstLine="480" w:firstLineChars="200"/>
              <w:jc w:val="both"/>
              <w:rPr>
                <w:color w:val="000000"/>
                <w:highlight w:val="none"/>
              </w:rPr>
            </w:pPr>
            <w:r>
              <w:rPr>
                <w:color w:val="000000"/>
                <w:highlight w:val="none"/>
              </w:rPr>
              <w:t>①地上储罐建立围堰，发现问题及时处理。</w:t>
            </w:r>
          </w:p>
          <w:p w14:paraId="024437C5">
            <w:pPr>
              <w:spacing w:line="360" w:lineRule="auto"/>
              <w:ind w:firstLine="480" w:firstLineChars="200"/>
              <w:jc w:val="both"/>
              <w:rPr>
                <w:color w:val="000000"/>
                <w:highlight w:val="none"/>
              </w:rPr>
            </w:pPr>
            <w:r>
              <w:rPr>
                <w:color w:val="000000"/>
                <w:highlight w:val="none"/>
              </w:rPr>
              <w:t>②加强防腐措施。金属腐蚀的本质在于金属原子在腐蚀介质的作用下，失去电子变成离子而转移到腐蚀介质中，导致金属发生破坏。本项目采用良好的绝缘涂层隔断金属表面与腐蚀介质的接触，阻止电子从金属表面流动腐蚀介质中，使金属免遭腐蚀。</w:t>
            </w:r>
          </w:p>
          <w:p w14:paraId="795C01F8">
            <w:pPr>
              <w:spacing w:line="360" w:lineRule="auto"/>
              <w:ind w:firstLine="480" w:firstLineChars="200"/>
              <w:jc w:val="both"/>
              <w:rPr>
                <w:color w:val="000000"/>
                <w:highlight w:val="none"/>
              </w:rPr>
            </w:pPr>
            <w:r>
              <w:rPr>
                <w:color w:val="000000"/>
                <w:highlight w:val="none"/>
              </w:rPr>
              <w:t>③根据埋地管线所处的不同环境，采用相应的涂层防腐体系。</w:t>
            </w:r>
          </w:p>
          <w:p w14:paraId="4BB9A4DC">
            <w:pPr>
              <w:spacing w:line="360" w:lineRule="auto"/>
              <w:ind w:firstLine="480" w:firstLineChars="200"/>
              <w:jc w:val="both"/>
              <w:rPr>
                <w:color w:val="000000"/>
                <w:highlight w:val="none"/>
              </w:rPr>
            </w:pPr>
            <w:r>
              <w:rPr>
                <w:color w:val="000000"/>
                <w:highlight w:val="none"/>
              </w:rPr>
              <w:t>④建议建立防腐监测系统，随时监测介质的腐蚀状况，了解和掌握区域系统的腐蚀原因，有针对性地制定、调整和优化腐蚀控制措施。</w:t>
            </w:r>
          </w:p>
          <w:p w14:paraId="6AA6C7C6">
            <w:pPr>
              <w:spacing w:line="360" w:lineRule="auto"/>
              <w:ind w:firstLine="480" w:firstLineChars="200"/>
              <w:jc w:val="both"/>
              <w:rPr>
                <w:color w:val="000000"/>
                <w:highlight w:val="none"/>
              </w:rPr>
            </w:pPr>
            <w:r>
              <w:rPr>
                <w:color w:val="000000"/>
                <w:highlight w:val="none"/>
              </w:rPr>
              <w:t>根据项目的特点，制定相应的应急预案，由项目主要负责人按照应急预案中的要求定期组织职工学习并进行演习。</w:t>
            </w:r>
          </w:p>
          <w:p w14:paraId="22DDFA13">
            <w:pPr>
              <w:pStyle w:val="23"/>
              <w:jc w:val="both"/>
              <w:rPr>
                <w:color w:val="000000"/>
                <w:highlight w:val="none"/>
              </w:rPr>
            </w:pPr>
            <w:r>
              <w:rPr>
                <w:color w:val="000000"/>
                <w:highlight w:val="none"/>
              </w:rPr>
              <w:t>7.2环境风险处理措施</w:t>
            </w:r>
          </w:p>
          <w:p w14:paraId="4D85B64A">
            <w:pPr>
              <w:spacing w:line="360" w:lineRule="auto"/>
              <w:ind w:firstLine="480" w:firstLineChars="200"/>
              <w:jc w:val="both"/>
              <w:rPr>
                <w:color w:val="000000"/>
                <w:highlight w:val="none"/>
              </w:rPr>
            </w:pPr>
            <w:r>
              <w:rPr>
                <w:color w:val="000000"/>
                <w:highlight w:val="none"/>
              </w:rPr>
              <w:t>一旦发生井喷，绝大多数井都能通过防喷器关闭，然后采取压井措施控制井喷；最后还可用向事故井打定位斜井等方法处理井喷，并尽快采取措施回收原油。事故处理中要有专人负责，管好电源、火源，以免火灾发生。井喷时，需要对井喷的油泥等污染物进行收集处理，运送到专门的固体废物处理场进行处理。</w:t>
            </w:r>
          </w:p>
          <w:p w14:paraId="1C7069CB">
            <w:pPr>
              <w:pStyle w:val="3"/>
              <w:adjustRightInd/>
              <w:snapToGrid/>
              <w:rPr>
                <w:color w:val="000000"/>
                <w:szCs w:val="24"/>
                <w:highlight w:val="none"/>
              </w:rPr>
            </w:pPr>
            <w:r>
              <w:rPr>
                <w:color w:val="000000"/>
                <w:szCs w:val="24"/>
                <w:highlight w:val="none"/>
              </w:rPr>
              <w:t>8 环境管理</w:t>
            </w:r>
          </w:p>
          <w:p w14:paraId="33F5B5A4">
            <w:pPr>
              <w:pStyle w:val="23"/>
              <w:jc w:val="both"/>
              <w:rPr>
                <w:color w:val="000000"/>
                <w:highlight w:val="none"/>
              </w:rPr>
            </w:pPr>
            <w:r>
              <w:rPr>
                <w:color w:val="000000"/>
                <w:highlight w:val="none"/>
              </w:rPr>
              <w:t>8.1 钻前准备环境管理要求</w:t>
            </w:r>
          </w:p>
          <w:p w14:paraId="7D61AFF4">
            <w:pPr>
              <w:spacing w:line="360" w:lineRule="auto"/>
              <w:ind w:firstLine="480" w:firstLineChars="200"/>
              <w:jc w:val="both"/>
              <w:rPr>
                <w:color w:val="000000"/>
                <w:highlight w:val="none"/>
              </w:rPr>
            </w:pPr>
            <w:r>
              <w:rPr>
                <w:color w:val="000000"/>
                <w:highlight w:val="none"/>
              </w:rPr>
              <w:t xml:space="preserve">（1）在修建通往井场道路时，避免堵塞和填充任何自然排水通道，施工作业机具，不得在道路、井场以外的地方行驶和作业，禁止碾压和破坏植被，禁止乱扔废弃物。 </w:t>
            </w:r>
          </w:p>
          <w:p w14:paraId="6A0AFB04">
            <w:pPr>
              <w:spacing w:line="360" w:lineRule="auto"/>
              <w:ind w:firstLine="480" w:firstLineChars="200"/>
              <w:jc w:val="both"/>
              <w:rPr>
                <w:color w:val="000000"/>
                <w:highlight w:val="none"/>
              </w:rPr>
            </w:pPr>
            <w:r>
              <w:rPr>
                <w:color w:val="000000"/>
                <w:highlight w:val="none"/>
              </w:rPr>
              <w:t>（2）井场临时用地面积按设计划定，不得超过规定面积。</w:t>
            </w:r>
          </w:p>
          <w:p w14:paraId="50A4C611">
            <w:pPr>
              <w:spacing w:line="360" w:lineRule="auto"/>
              <w:ind w:firstLine="480" w:firstLineChars="200"/>
              <w:jc w:val="both"/>
              <w:rPr>
                <w:color w:val="000000"/>
                <w:highlight w:val="none"/>
              </w:rPr>
            </w:pPr>
            <w:r>
              <w:rPr>
                <w:color w:val="000000"/>
                <w:highlight w:val="none"/>
              </w:rPr>
              <w:t>（3）安装泥浆泵冷却水循环系统和振动筛的污水循环系统，做好各种油、水管线的试运行工作，防止油、水跑、冒、滴、漏。</w:t>
            </w:r>
          </w:p>
          <w:p w14:paraId="5F3C7D19">
            <w:pPr>
              <w:spacing w:line="360" w:lineRule="auto"/>
              <w:ind w:firstLine="480" w:firstLineChars="200"/>
              <w:jc w:val="both"/>
              <w:rPr>
                <w:color w:val="000000"/>
                <w:highlight w:val="none"/>
              </w:rPr>
            </w:pPr>
            <w:r>
              <w:rPr>
                <w:color w:val="000000"/>
                <w:highlight w:val="none"/>
              </w:rPr>
              <w:t>（4）井场应有排水沟。钻机底座下、机泵房、循环罐区应有排水沟，排水沟必须硬化防渗、防塌，过车地段沟上要铺钢板桥。</w:t>
            </w:r>
          </w:p>
          <w:p w14:paraId="1154A8C0">
            <w:pPr>
              <w:pStyle w:val="23"/>
              <w:jc w:val="both"/>
              <w:rPr>
                <w:color w:val="000000"/>
                <w:highlight w:val="none"/>
              </w:rPr>
            </w:pPr>
            <w:r>
              <w:rPr>
                <w:color w:val="000000"/>
                <w:highlight w:val="none"/>
              </w:rPr>
              <w:t>8.2 钻井作业期间环境管理要求</w:t>
            </w:r>
          </w:p>
          <w:p w14:paraId="02556901">
            <w:pPr>
              <w:spacing w:line="360" w:lineRule="auto"/>
              <w:ind w:firstLine="480" w:firstLineChars="200"/>
              <w:jc w:val="both"/>
              <w:rPr>
                <w:color w:val="000000"/>
                <w:highlight w:val="none"/>
              </w:rPr>
            </w:pPr>
            <w:r>
              <w:rPr>
                <w:color w:val="000000"/>
                <w:highlight w:val="none"/>
              </w:rPr>
              <w:t>（1）钻井采用“泥浆不落地技术”，实现固液分离，分离出的岩屑分别暂存于水基岩屑储罐和油基岩屑储罐，岩屑罐应采取防渗措施，水基岩屑</w:t>
            </w:r>
            <w:r>
              <w:rPr>
                <w:color w:val="000000"/>
                <w:szCs w:val="21"/>
                <w:highlight w:val="none"/>
              </w:rPr>
              <w:t>委托第三方公司处置，油基岩屑委托有资质的单位进行处置</w:t>
            </w:r>
            <w:r>
              <w:rPr>
                <w:color w:val="000000"/>
                <w:highlight w:val="none"/>
              </w:rPr>
              <w:t>。不落地岩屑应进行含水率检验检测。</w:t>
            </w:r>
          </w:p>
          <w:p w14:paraId="2A954590">
            <w:pPr>
              <w:spacing w:line="360" w:lineRule="auto"/>
              <w:ind w:firstLine="480" w:firstLineChars="200"/>
              <w:jc w:val="both"/>
              <w:rPr>
                <w:color w:val="000000"/>
                <w:highlight w:val="none"/>
              </w:rPr>
            </w:pPr>
            <w:r>
              <w:rPr>
                <w:color w:val="000000"/>
                <w:highlight w:val="none"/>
              </w:rPr>
              <w:t>（2）泥浆不落地装置四周采取措施防止污染地面，各类接地储罐采用聚乙烯防渗膜防渗。</w:t>
            </w:r>
          </w:p>
          <w:p w14:paraId="6DB45DA4">
            <w:pPr>
              <w:spacing w:line="360" w:lineRule="auto"/>
              <w:ind w:firstLine="480" w:firstLineChars="200"/>
              <w:jc w:val="both"/>
              <w:rPr>
                <w:color w:val="000000"/>
                <w:highlight w:val="none"/>
              </w:rPr>
            </w:pPr>
            <w:r>
              <w:rPr>
                <w:color w:val="000000"/>
                <w:highlight w:val="none"/>
              </w:rPr>
              <w:t>（3）发生井喷后地面处理措施及要求：调查因井喷事故造成的地面污染情况，积极组织清除地面环境污染，恢复地貌。</w:t>
            </w:r>
          </w:p>
          <w:p w14:paraId="3D132602">
            <w:pPr>
              <w:spacing w:line="360" w:lineRule="auto"/>
              <w:ind w:firstLine="480" w:firstLineChars="200"/>
              <w:jc w:val="both"/>
              <w:rPr>
                <w:color w:val="000000"/>
                <w:highlight w:val="none"/>
              </w:rPr>
            </w:pPr>
            <w:r>
              <w:rPr>
                <w:color w:val="000000"/>
                <w:highlight w:val="none"/>
              </w:rPr>
              <w:t>（4）柴油、</w:t>
            </w:r>
            <w:r>
              <w:rPr>
                <w:rFonts w:hint="eastAsia"/>
                <w:color w:val="000000"/>
                <w:highlight w:val="none"/>
              </w:rPr>
              <w:t>井下作业废水</w:t>
            </w:r>
            <w:r>
              <w:rPr>
                <w:color w:val="000000"/>
                <w:highlight w:val="none"/>
              </w:rPr>
              <w:t>运输时提高拉运人员技术素质、加强责任心，贯彻安全驾驶机动车辆的行为规定，严格遵守交通法规，防止发生运输车辆事故。加强各类储罐的日常管理及安全检查，要严格按章操作，柴油及</w:t>
            </w:r>
            <w:r>
              <w:rPr>
                <w:rFonts w:hint="eastAsia"/>
                <w:color w:val="000000"/>
                <w:highlight w:val="none"/>
              </w:rPr>
              <w:t>井下作业废水</w:t>
            </w:r>
            <w:r>
              <w:rPr>
                <w:color w:val="000000"/>
                <w:highlight w:val="none"/>
              </w:rPr>
              <w:t>装车、卸车时加强管理，避免跑冒滴漏现象，防止发生泄漏等安全事故。</w:t>
            </w:r>
          </w:p>
          <w:p w14:paraId="3C14AA7F">
            <w:pPr>
              <w:pStyle w:val="23"/>
              <w:jc w:val="both"/>
              <w:rPr>
                <w:color w:val="000000"/>
                <w:highlight w:val="none"/>
              </w:rPr>
            </w:pPr>
            <w:r>
              <w:rPr>
                <w:color w:val="000000"/>
                <w:highlight w:val="none"/>
              </w:rPr>
              <w:t>8.3 完井后环境管理要求</w:t>
            </w:r>
          </w:p>
          <w:p w14:paraId="07FB9C74">
            <w:pPr>
              <w:spacing w:line="360" w:lineRule="auto"/>
              <w:ind w:firstLine="480" w:firstLineChars="200"/>
              <w:jc w:val="both"/>
              <w:rPr>
                <w:color w:val="000000"/>
                <w:highlight w:val="none"/>
              </w:rPr>
            </w:pPr>
            <w:r>
              <w:rPr>
                <w:color w:val="000000"/>
                <w:highlight w:val="none"/>
              </w:rPr>
              <w:t>（1）妥善存放泥浆材料等化学品，不得失散在井场。废弃包装袋等应及时加以回收。</w:t>
            </w:r>
          </w:p>
          <w:p w14:paraId="5EDAAE55">
            <w:pPr>
              <w:spacing w:line="360" w:lineRule="auto"/>
              <w:ind w:firstLine="480" w:firstLineChars="200"/>
              <w:jc w:val="both"/>
              <w:rPr>
                <w:color w:val="000000"/>
                <w:highlight w:val="none"/>
              </w:rPr>
            </w:pPr>
            <w:r>
              <w:rPr>
                <w:color w:val="000000"/>
                <w:highlight w:val="none"/>
              </w:rPr>
              <w:t>（2）推平柴油、机油及水罐坡道，井场应平整。</w:t>
            </w:r>
          </w:p>
          <w:p w14:paraId="76CA6F66">
            <w:pPr>
              <w:pStyle w:val="23"/>
              <w:ind w:firstLine="480" w:firstLineChars="200"/>
              <w:jc w:val="both"/>
              <w:rPr>
                <w:color w:val="000000"/>
                <w:highlight w:val="none"/>
              </w:rPr>
            </w:pPr>
            <w:r>
              <w:rPr>
                <w:b w:val="0"/>
                <w:bCs/>
                <w:color w:val="000000"/>
                <w:highlight w:val="none"/>
              </w:rPr>
              <w:t>（3）井场、基地不得随处丢弃垃圾，有利用价值的废料应回收，没有利用价值的废料应送至垃圾场填埋。</w:t>
            </w:r>
          </w:p>
          <w:p w14:paraId="35A4FE02">
            <w:pPr>
              <w:pStyle w:val="23"/>
              <w:jc w:val="both"/>
              <w:rPr>
                <w:color w:val="000000"/>
                <w:highlight w:val="none"/>
              </w:rPr>
            </w:pPr>
            <w:r>
              <w:rPr>
                <w:color w:val="000000"/>
                <w:highlight w:val="none"/>
              </w:rPr>
              <w:t>9环保验收</w:t>
            </w:r>
          </w:p>
          <w:p w14:paraId="7C36048A">
            <w:pPr>
              <w:spacing w:line="360" w:lineRule="auto"/>
              <w:ind w:firstLine="480" w:firstLineChars="200"/>
              <w:jc w:val="left"/>
              <w:rPr>
                <w:color w:val="000000"/>
                <w:kern w:val="0"/>
                <w:highlight w:val="none"/>
              </w:rPr>
            </w:pPr>
            <w:r>
              <w:rPr>
                <w:color w:val="000000"/>
                <w:kern w:val="0"/>
                <w:highlight w:val="none"/>
              </w:rPr>
              <w:t>本项目“三同时”竣工验收调查清单，见表5-4。</w:t>
            </w:r>
          </w:p>
          <w:p w14:paraId="31F7EC2A">
            <w:pPr>
              <w:rPr>
                <w:b/>
                <w:color w:val="000000"/>
                <w:sz w:val="21"/>
                <w:szCs w:val="21"/>
                <w:highlight w:val="none"/>
              </w:rPr>
            </w:pPr>
            <w:r>
              <w:rPr>
                <w:b/>
                <w:color w:val="000000"/>
                <w:sz w:val="21"/>
                <w:szCs w:val="21"/>
                <w:highlight w:val="none"/>
              </w:rPr>
              <w:t>表5-4    “三同时”竣工验收调查建议清单</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54"/>
              <w:gridCol w:w="1146"/>
              <w:gridCol w:w="3286"/>
              <w:gridCol w:w="2323"/>
            </w:tblGrid>
            <w:tr w14:paraId="7283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noWrap w:val="0"/>
                  <w:vAlign w:val="center"/>
                </w:tcPr>
                <w:p w14:paraId="5327C530">
                  <w:pPr>
                    <w:widowControl/>
                    <w:overflowPunct w:val="0"/>
                    <w:autoSpaceDE w:val="0"/>
                    <w:autoSpaceDN w:val="0"/>
                    <w:spacing w:line="280" w:lineRule="exact"/>
                    <w:textAlignment w:val="baseline"/>
                    <w:rPr>
                      <w:color w:val="000000"/>
                      <w:sz w:val="21"/>
                      <w:szCs w:val="21"/>
                      <w:highlight w:val="none"/>
                    </w:rPr>
                  </w:pPr>
                  <w:r>
                    <w:rPr>
                      <w:color w:val="000000"/>
                      <w:kern w:val="0"/>
                      <w:sz w:val="21"/>
                      <w:szCs w:val="21"/>
                      <w:highlight w:val="none"/>
                    </w:rPr>
                    <w:t>验收</w:t>
                  </w:r>
                </w:p>
                <w:p w14:paraId="6AACDC98">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内容</w:t>
                  </w:r>
                </w:p>
              </w:tc>
              <w:tc>
                <w:tcPr>
                  <w:tcW w:w="458" w:type="pct"/>
                  <w:noWrap w:val="0"/>
                  <w:vAlign w:val="center"/>
                </w:tcPr>
                <w:p w14:paraId="45E95548">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位置</w:t>
                  </w:r>
                </w:p>
              </w:tc>
              <w:tc>
                <w:tcPr>
                  <w:tcW w:w="696" w:type="pct"/>
                  <w:noWrap w:val="0"/>
                  <w:vAlign w:val="center"/>
                </w:tcPr>
                <w:p w14:paraId="4267DFAE">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治理对象</w:t>
                  </w:r>
                </w:p>
              </w:tc>
              <w:tc>
                <w:tcPr>
                  <w:tcW w:w="1996" w:type="pct"/>
                  <w:noWrap w:val="0"/>
                  <w:vAlign w:val="center"/>
                </w:tcPr>
                <w:p w14:paraId="4C431330">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防治措施</w:t>
                  </w:r>
                </w:p>
              </w:tc>
              <w:tc>
                <w:tcPr>
                  <w:tcW w:w="1411" w:type="pct"/>
                  <w:noWrap w:val="0"/>
                  <w:vAlign w:val="center"/>
                </w:tcPr>
                <w:p w14:paraId="5B6FC416">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验收标准</w:t>
                  </w:r>
                </w:p>
              </w:tc>
            </w:tr>
            <w:tr w14:paraId="7F3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vMerge w:val="restart"/>
                  <w:noWrap w:val="0"/>
                  <w:vAlign w:val="center"/>
                </w:tcPr>
                <w:p w14:paraId="32903A53">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废气</w:t>
                  </w:r>
                </w:p>
              </w:tc>
              <w:tc>
                <w:tcPr>
                  <w:tcW w:w="458" w:type="pct"/>
                  <w:vMerge w:val="restart"/>
                  <w:noWrap w:val="0"/>
                  <w:vAlign w:val="center"/>
                </w:tcPr>
                <w:p w14:paraId="04FFFED4">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井场</w:t>
                  </w:r>
                </w:p>
              </w:tc>
              <w:tc>
                <w:tcPr>
                  <w:tcW w:w="696" w:type="pct"/>
                  <w:noWrap w:val="0"/>
                  <w:vAlign w:val="center"/>
                </w:tcPr>
                <w:p w14:paraId="0857402C">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柴油废气</w:t>
                  </w:r>
                </w:p>
              </w:tc>
              <w:tc>
                <w:tcPr>
                  <w:tcW w:w="1996" w:type="pct"/>
                  <w:noWrap w:val="0"/>
                  <w:vAlign w:val="center"/>
                </w:tcPr>
                <w:p w14:paraId="444A77F4">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使用达标柴油，加强设备维护</w:t>
                  </w:r>
                </w:p>
              </w:tc>
              <w:tc>
                <w:tcPr>
                  <w:tcW w:w="1411" w:type="pct"/>
                  <w:vMerge w:val="restart"/>
                  <w:noWrap w:val="0"/>
                  <w:vAlign w:val="center"/>
                </w:tcPr>
                <w:p w14:paraId="11F4EB81">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w:t>
                  </w:r>
                </w:p>
              </w:tc>
            </w:tr>
            <w:tr w14:paraId="4ACD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vMerge w:val="continue"/>
                  <w:noWrap w:val="0"/>
                  <w:vAlign w:val="center"/>
                </w:tcPr>
                <w:p w14:paraId="44D67F6D">
                  <w:pPr>
                    <w:widowControl/>
                    <w:overflowPunct w:val="0"/>
                    <w:autoSpaceDE w:val="0"/>
                    <w:autoSpaceDN w:val="0"/>
                    <w:spacing w:line="280" w:lineRule="exact"/>
                    <w:textAlignment w:val="baseline"/>
                    <w:rPr>
                      <w:color w:val="000000"/>
                      <w:kern w:val="0"/>
                      <w:sz w:val="21"/>
                      <w:szCs w:val="21"/>
                      <w:highlight w:val="none"/>
                    </w:rPr>
                  </w:pPr>
                </w:p>
              </w:tc>
              <w:tc>
                <w:tcPr>
                  <w:tcW w:w="458" w:type="pct"/>
                  <w:vMerge w:val="continue"/>
                  <w:noWrap w:val="0"/>
                  <w:vAlign w:val="center"/>
                </w:tcPr>
                <w:p w14:paraId="798F5D38">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19541C83">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扬尘</w:t>
                  </w:r>
                </w:p>
              </w:tc>
              <w:tc>
                <w:tcPr>
                  <w:tcW w:w="1996" w:type="pct"/>
                  <w:noWrap w:val="0"/>
                  <w:vAlign w:val="center"/>
                </w:tcPr>
                <w:p w14:paraId="483B48D5">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对易起尘物料遮盖，加强车辆管理</w:t>
                  </w:r>
                </w:p>
              </w:tc>
              <w:tc>
                <w:tcPr>
                  <w:tcW w:w="1411" w:type="pct"/>
                  <w:vMerge w:val="continue"/>
                  <w:noWrap w:val="0"/>
                  <w:vAlign w:val="center"/>
                </w:tcPr>
                <w:p w14:paraId="33DEAA95">
                  <w:pPr>
                    <w:widowControl/>
                    <w:overflowPunct w:val="0"/>
                    <w:autoSpaceDE w:val="0"/>
                    <w:autoSpaceDN w:val="0"/>
                    <w:spacing w:line="280" w:lineRule="exact"/>
                    <w:textAlignment w:val="baseline"/>
                    <w:rPr>
                      <w:color w:val="000000"/>
                      <w:kern w:val="0"/>
                      <w:sz w:val="21"/>
                      <w:szCs w:val="21"/>
                      <w:highlight w:val="none"/>
                    </w:rPr>
                  </w:pPr>
                </w:p>
              </w:tc>
            </w:tr>
            <w:tr w14:paraId="441F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vMerge w:val="continue"/>
                  <w:noWrap w:val="0"/>
                  <w:vAlign w:val="center"/>
                </w:tcPr>
                <w:p w14:paraId="6AB12CB8">
                  <w:pPr>
                    <w:widowControl/>
                    <w:overflowPunct w:val="0"/>
                    <w:autoSpaceDE w:val="0"/>
                    <w:autoSpaceDN w:val="0"/>
                    <w:spacing w:line="280" w:lineRule="exact"/>
                    <w:textAlignment w:val="baseline"/>
                    <w:rPr>
                      <w:color w:val="000000"/>
                      <w:kern w:val="0"/>
                      <w:sz w:val="21"/>
                      <w:szCs w:val="21"/>
                      <w:highlight w:val="none"/>
                    </w:rPr>
                  </w:pPr>
                </w:p>
              </w:tc>
              <w:tc>
                <w:tcPr>
                  <w:tcW w:w="458" w:type="pct"/>
                  <w:vMerge w:val="continue"/>
                  <w:noWrap w:val="0"/>
                  <w:vAlign w:val="center"/>
                </w:tcPr>
                <w:p w14:paraId="4BBAF331">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0AC24487">
                  <w:pPr>
                    <w:pStyle w:val="26"/>
                    <w:rPr>
                      <w:rFonts w:ascii="Times New Roman" w:hAnsi="Times New Roman"/>
                      <w:b w:val="0"/>
                      <w:bCs/>
                      <w:color w:val="000000"/>
                      <w:kern w:val="0"/>
                      <w:szCs w:val="21"/>
                      <w:highlight w:val="none"/>
                    </w:rPr>
                  </w:pPr>
                  <w:r>
                    <w:rPr>
                      <w:rFonts w:ascii="Times New Roman" w:hAnsi="Times New Roman"/>
                      <w:b w:val="0"/>
                      <w:bCs/>
                      <w:color w:val="000000"/>
                      <w:szCs w:val="21"/>
                      <w:highlight w:val="none"/>
                    </w:rPr>
                    <w:t>伴生气</w:t>
                  </w:r>
                </w:p>
              </w:tc>
              <w:tc>
                <w:tcPr>
                  <w:tcW w:w="1996" w:type="pct"/>
                  <w:noWrap w:val="0"/>
                  <w:vAlign w:val="center"/>
                </w:tcPr>
                <w:p w14:paraId="3B476C00">
                  <w:pPr>
                    <w:pStyle w:val="26"/>
                    <w:rPr>
                      <w:rFonts w:ascii="Times New Roman" w:hAnsi="Times New Roman"/>
                      <w:b w:val="0"/>
                      <w:bCs/>
                      <w:color w:val="000000"/>
                      <w:kern w:val="0"/>
                      <w:szCs w:val="21"/>
                      <w:highlight w:val="none"/>
                    </w:rPr>
                  </w:pPr>
                  <w:r>
                    <w:rPr>
                      <w:rFonts w:ascii="Times New Roman" w:hAnsi="Times New Roman"/>
                      <w:b w:val="0"/>
                      <w:bCs/>
                      <w:color w:val="000000"/>
                      <w:szCs w:val="21"/>
                      <w:highlight w:val="none"/>
                    </w:rPr>
                    <w:t>放散管燃放，无组织排放</w:t>
                  </w:r>
                </w:p>
              </w:tc>
              <w:tc>
                <w:tcPr>
                  <w:tcW w:w="1411" w:type="pct"/>
                  <w:vMerge w:val="continue"/>
                  <w:noWrap w:val="0"/>
                  <w:vAlign w:val="center"/>
                </w:tcPr>
                <w:p w14:paraId="4E9F9610">
                  <w:pPr>
                    <w:widowControl/>
                    <w:overflowPunct w:val="0"/>
                    <w:autoSpaceDE w:val="0"/>
                    <w:autoSpaceDN w:val="0"/>
                    <w:spacing w:line="280" w:lineRule="exact"/>
                    <w:textAlignment w:val="baseline"/>
                    <w:rPr>
                      <w:color w:val="000000"/>
                      <w:kern w:val="0"/>
                      <w:sz w:val="21"/>
                      <w:szCs w:val="21"/>
                      <w:highlight w:val="none"/>
                    </w:rPr>
                  </w:pPr>
                </w:p>
              </w:tc>
            </w:tr>
            <w:tr w14:paraId="6408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38" w:type="pct"/>
                  <w:vMerge w:val="restart"/>
                  <w:noWrap w:val="0"/>
                  <w:vAlign w:val="center"/>
                </w:tcPr>
                <w:p w14:paraId="5F5F5A06">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废水</w:t>
                  </w:r>
                </w:p>
              </w:tc>
              <w:tc>
                <w:tcPr>
                  <w:tcW w:w="458" w:type="pct"/>
                  <w:vMerge w:val="restart"/>
                  <w:noWrap w:val="0"/>
                  <w:vAlign w:val="center"/>
                </w:tcPr>
                <w:p w14:paraId="3A854BEE">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井场</w:t>
                  </w:r>
                </w:p>
              </w:tc>
              <w:tc>
                <w:tcPr>
                  <w:tcW w:w="696" w:type="pct"/>
                  <w:noWrap w:val="0"/>
                  <w:vAlign w:val="center"/>
                </w:tcPr>
                <w:p w14:paraId="2AED43E9">
                  <w:pPr>
                    <w:widowControl/>
                    <w:overflowPunct w:val="0"/>
                    <w:autoSpaceDE w:val="0"/>
                    <w:autoSpaceDN w:val="0"/>
                    <w:spacing w:line="280" w:lineRule="exact"/>
                    <w:textAlignment w:val="baseline"/>
                    <w:rPr>
                      <w:color w:val="000000"/>
                      <w:kern w:val="0"/>
                      <w:sz w:val="21"/>
                      <w:szCs w:val="21"/>
                      <w:highlight w:val="none"/>
                    </w:rPr>
                  </w:pPr>
                  <w:r>
                    <w:rPr>
                      <w:rFonts w:hint="eastAsia"/>
                      <w:color w:val="000000"/>
                      <w:kern w:val="0"/>
                      <w:sz w:val="21"/>
                      <w:szCs w:val="21"/>
                      <w:highlight w:val="none"/>
                    </w:rPr>
                    <w:t>井下作业</w:t>
                  </w:r>
                  <w:r>
                    <w:rPr>
                      <w:color w:val="000000"/>
                      <w:kern w:val="0"/>
                      <w:sz w:val="21"/>
                      <w:szCs w:val="21"/>
                      <w:highlight w:val="none"/>
                    </w:rPr>
                    <w:t>废水</w:t>
                  </w:r>
                </w:p>
              </w:tc>
              <w:tc>
                <w:tcPr>
                  <w:tcW w:w="1996" w:type="pct"/>
                  <w:noWrap w:val="0"/>
                  <w:vAlign w:val="center"/>
                </w:tcPr>
                <w:p w14:paraId="08E0D26B">
                  <w:pPr>
                    <w:widowControl/>
                    <w:overflowPunct w:val="0"/>
                    <w:autoSpaceDE w:val="0"/>
                    <w:autoSpaceDN w:val="0"/>
                    <w:spacing w:line="280" w:lineRule="exact"/>
                    <w:textAlignment w:val="baseline"/>
                    <w:rPr>
                      <w:color w:val="000000"/>
                      <w:sz w:val="21"/>
                      <w:szCs w:val="21"/>
                      <w:highlight w:val="none"/>
                    </w:rPr>
                  </w:pPr>
                  <w:r>
                    <w:rPr>
                      <w:color w:val="000000"/>
                      <w:kern w:val="0"/>
                      <w:sz w:val="21"/>
                      <w:szCs w:val="21"/>
                      <w:highlight w:val="none"/>
                    </w:rPr>
                    <w:t>作业单位自带回收罐回收，</w:t>
                  </w:r>
                  <w:r>
                    <w:rPr>
                      <w:rFonts w:hint="eastAsia"/>
                      <w:color w:val="000000"/>
                      <w:spacing w:val="4"/>
                      <w:sz w:val="21"/>
                      <w:szCs w:val="21"/>
                      <w:highlight w:val="none"/>
                    </w:rPr>
                    <w:t>拉</w:t>
                  </w:r>
                  <w:r>
                    <w:rPr>
                      <w:rFonts w:hint="eastAsia"/>
                      <w:color w:val="000000"/>
                      <w:sz w:val="21"/>
                      <w:szCs w:val="21"/>
                      <w:highlight w:val="none"/>
                    </w:rPr>
                    <w:t>运至石西集中处理站</w:t>
                  </w:r>
                  <w:r>
                    <w:rPr>
                      <w:color w:val="000000"/>
                      <w:sz w:val="21"/>
                      <w:szCs w:val="21"/>
                      <w:highlight w:val="none"/>
                    </w:rPr>
                    <w:t>修井废液池中后再回收至石西</w:t>
                  </w:r>
                  <w:r>
                    <w:rPr>
                      <w:rFonts w:hint="eastAsia"/>
                      <w:color w:val="000000"/>
                      <w:sz w:val="21"/>
                      <w:szCs w:val="21"/>
                      <w:highlight w:val="none"/>
                    </w:rPr>
                    <w:t>采出水处理</w:t>
                  </w:r>
                  <w:r>
                    <w:rPr>
                      <w:color w:val="000000"/>
                      <w:sz w:val="21"/>
                      <w:szCs w:val="21"/>
                      <w:highlight w:val="none"/>
                    </w:rPr>
                    <w:t>系统</w:t>
                  </w:r>
                  <w:r>
                    <w:rPr>
                      <w:rFonts w:hint="eastAsia"/>
                      <w:color w:val="000000"/>
                      <w:sz w:val="21"/>
                      <w:szCs w:val="21"/>
                      <w:highlight w:val="none"/>
                    </w:rPr>
                    <w:t>处理，处理后用于回注油藏。</w:t>
                  </w:r>
                </w:p>
              </w:tc>
              <w:tc>
                <w:tcPr>
                  <w:tcW w:w="1411" w:type="pct"/>
                  <w:noWrap w:val="0"/>
                  <w:vAlign w:val="center"/>
                </w:tcPr>
                <w:p w14:paraId="4273D00D">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不外排</w:t>
                  </w:r>
                </w:p>
              </w:tc>
            </w:tr>
            <w:tr w14:paraId="4F86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38" w:type="pct"/>
                  <w:vMerge w:val="continue"/>
                  <w:noWrap w:val="0"/>
                  <w:vAlign w:val="center"/>
                </w:tcPr>
                <w:p w14:paraId="21494B1A">
                  <w:pPr>
                    <w:widowControl/>
                    <w:overflowPunct w:val="0"/>
                    <w:autoSpaceDE w:val="0"/>
                    <w:autoSpaceDN w:val="0"/>
                    <w:spacing w:line="280" w:lineRule="exact"/>
                    <w:textAlignment w:val="baseline"/>
                    <w:rPr>
                      <w:color w:val="000000"/>
                      <w:kern w:val="0"/>
                      <w:sz w:val="21"/>
                      <w:szCs w:val="21"/>
                      <w:highlight w:val="none"/>
                    </w:rPr>
                  </w:pPr>
                </w:p>
              </w:tc>
              <w:tc>
                <w:tcPr>
                  <w:tcW w:w="458" w:type="pct"/>
                  <w:vMerge w:val="continue"/>
                  <w:noWrap w:val="0"/>
                  <w:vAlign w:val="center"/>
                </w:tcPr>
                <w:p w14:paraId="27552691">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7C861D96">
                  <w:pPr>
                    <w:widowControl/>
                    <w:overflowPunct w:val="0"/>
                    <w:autoSpaceDE w:val="0"/>
                    <w:autoSpaceDN w:val="0"/>
                    <w:spacing w:line="280" w:lineRule="exact"/>
                    <w:textAlignment w:val="baseline"/>
                    <w:rPr>
                      <w:bCs/>
                      <w:color w:val="000000"/>
                      <w:sz w:val="21"/>
                      <w:szCs w:val="21"/>
                      <w:highlight w:val="none"/>
                    </w:rPr>
                  </w:pPr>
                  <w:r>
                    <w:rPr>
                      <w:bCs/>
                      <w:color w:val="000000"/>
                      <w:sz w:val="21"/>
                      <w:szCs w:val="21"/>
                      <w:highlight w:val="none"/>
                    </w:rPr>
                    <w:t>压裂返</w:t>
                  </w:r>
                </w:p>
                <w:p w14:paraId="564AB672">
                  <w:pPr>
                    <w:widowControl/>
                    <w:overflowPunct w:val="0"/>
                    <w:autoSpaceDE w:val="0"/>
                    <w:autoSpaceDN w:val="0"/>
                    <w:spacing w:line="280" w:lineRule="exact"/>
                    <w:textAlignment w:val="baseline"/>
                    <w:rPr>
                      <w:color w:val="000000"/>
                      <w:kern w:val="0"/>
                      <w:sz w:val="21"/>
                      <w:szCs w:val="21"/>
                      <w:highlight w:val="none"/>
                    </w:rPr>
                  </w:pPr>
                  <w:r>
                    <w:rPr>
                      <w:bCs/>
                      <w:color w:val="000000"/>
                      <w:sz w:val="21"/>
                      <w:szCs w:val="21"/>
                      <w:highlight w:val="none"/>
                    </w:rPr>
                    <w:t>排液</w:t>
                  </w:r>
                </w:p>
              </w:tc>
              <w:tc>
                <w:tcPr>
                  <w:tcW w:w="1996" w:type="pct"/>
                  <w:noWrap w:val="0"/>
                  <w:vAlign w:val="center"/>
                </w:tcPr>
                <w:p w14:paraId="17E15FC1">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压裂返排液入方罐，拉运至</w:t>
                  </w:r>
                  <w:r>
                    <w:rPr>
                      <w:rFonts w:hint="eastAsia"/>
                      <w:color w:val="000000"/>
                      <w:sz w:val="21"/>
                      <w:szCs w:val="21"/>
                      <w:highlight w:val="none"/>
                    </w:rPr>
                    <w:t>石西集中处理站</w:t>
                  </w:r>
                  <w:r>
                    <w:rPr>
                      <w:color w:val="000000"/>
                      <w:sz w:val="21"/>
                      <w:szCs w:val="21"/>
                      <w:highlight w:val="none"/>
                    </w:rPr>
                    <w:t>修井废液池中后再回收至石西</w:t>
                  </w:r>
                  <w:r>
                    <w:rPr>
                      <w:rFonts w:hint="eastAsia"/>
                      <w:color w:val="000000"/>
                      <w:sz w:val="21"/>
                      <w:szCs w:val="21"/>
                      <w:highlight w:val="none"/>
                    </w:rPr>
                    <w:t>采出水处理</w:t>
                  </w:r>
                  <w:r>
                    <w:rPr>
                      <w:color w:val="000000"/>
                      <w:sz w:val="21"/>
                      <w:szCs w:val="21"/>
                      <w:highlight w:val="none"/>
                    </w:rPr>
                    <w:t>系统</w:t>
                  </w:r>
                  <w:r>
                    <w:rPr>
                      <w:rFonts w:hint="eastAsia"/>
                      <w:color w:val="000000"/>
                      <w:sz w:val="21"/>
                      <w:szCs w:val="21"/>
                      <w:highlight w:val="none"/>
                    </w:rPr>
                    <w:t>处理，处理后用于回注油藏。</w:t>
                  </w:r>
                </w:p>
              </w:tc>
              <w:tc>
                <w:tcPr>
                  <w:tcW w:w="1411" w:type="pct"/>
                  <w:noWrap w:val="0"/>
                  <w:vAlign w:val="center"/>
                </w:tcPr>
                <w:p w14:paraId="3FC77C40">
                  <w:pPr>
                    <w:widowControl/>
                    <w:overflowPunct w:val="0"/>
                    <w:autoSpaceDE w:val="0"/>
                    <w:autoSpaceDN w:val="0"/>
                    <w:spacing w:line="280" w:lineRule="exact"/>
                    <w:textAlignment w:val="baseline"/>
                    <w:rPr>
                      <w:color w:val="000000"/>
                      <w:kern w:val="0"/>
                      <w:sz w:val="21"/>
                      <w:szCs w:val="21"/>
                      <w:highlight w:val="none"/>
                    </w:rPr>
                  </w:pPr>
                  <w:r>
                    <w:rPr>
                      <w:bCs/>
                      <w:color w:val="000000"/>
                      <w:sz w:val="21"/>
                      <w:szCs w:val="21"/>
                      <w:highlight w:val="none"/>
                    </w:rPr>
                    <w:t>不外排</w:t>
                  </w:r>
                </w:p>
              </w:tc>
            </w:tr>
            <w:tr w14:paraId="4362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38" w:type="pct"/>
                  <w:vMerge w:val="continue"/>
                  <w:noWrap w:val="0"/>
                  <w:vAlign w:val="center"/>
                </w:tcPr>
                <w:p w14:paraId="714C8674">
                  <w:pPr>
                    <w:widowControl/>
                    <w:overflowPunct w:val="0"/>
                    <w:autoSpaceDE w:val="0"/>
                    <w:autoSpaceDN w:val="0"/>
                    <w:spacing w:line="280" w:lineRule="exact"/>
                    <w:textAlignment w:val="baseline"/>
                    <w:rPr>
                      <w:color w:val="000000"/>
                      <w:kern w:val="0"/>
                      <w:sz w:val="21"/>
                      <w:szCs w:val="21"/>
                      <w:highlight w:val="none"/>
                    </w:rPr>
                  </w:pPr>
                </w:p>
              </w:tc>
              <w:tc>
                <w:tcPr>
                  <w:tcW w:w="458" w:type="pct"/>
                  <w:vMerge w:val="continue"/>
                  <w:noWrap w:val="0"/>
                  <w:vAlign w:val="center"/>
                </w:tcPr>
                <w:p w14:paraId="4B9AD591">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30B22F5C">
                  <w:pPr>
                    <w:widowControl/>
                    <w:overflowPunct w:val="0"/>
                    <w:autoSpaceDE w:val="0"/>
                    <w:autoSpaceDN w:val="0"/>
                    <w:textAlignment w:val="baseline"/>
                    <w:rPr>
                      <w:color w:val="000000"/>
                      <w:kern w:val="0"/>
                      <w:sz w:val="21"/>
                      <w:szCs w:val="21"/>
                      <w:highlight w:val="none"/>
                    </w:rPr>
                  </w:pPr>
                  <w:r>
                    <w:rPr>
                      <w:color w:val="000000"/>
                      <w:kern w:val="0"/>
                      <w:sz w:val="21"/>
                      <w:szCs w:val="21"/>
                      <w:highlight w:val="none"/>
                    </w:rPr>
                    <w:t>生活污水</w:t>
                  </w:r>
                </w:p>
              </w:tc>
              <w:tc>
                <w:tcPr>
                  <w:tcW w:w="1996" w:type="pct"/>
                  <w:noWrap w:val="0"/>
                  <w:vAlign w:val="center"/>
                </w:tcPr>
                <w:p w14:paraId="5DF59CCA">
                  <w:pPr>
                    <w:pStyle w:val="24"/>
                    <w:spacing w:line="240" w:lineRule="auto"/>
                    <w:ind w:firstLine="0" w:firstLineChars="0"/>
                    <w:jc w:val="center"/>
                    <w:rPr>
                      <w:color w:val="000000"/>
                      <w:kern w:val="0"/>
                      <w:sz w:val="21"/>
                      <w:szCs w:val="21"/>
                      <w:highlight w:val="none"/>
                    </w:rPr>
                  </w:pPr>
                  <w:r>
                    <w:rPr>
                      <w:bCs/>
                      <w:color w:val="000000"/>
                      <w:sz w:val="21"/>
                      <w:szCs w:val="21"/>
                      <w:highlight w:val="none"/>
                    </w:rPr>
                    <w:t>排入防渗污水收集池</w:t>
                  </w:r>
                </w:p>
              </w:tc>
              <w:tc>
                <w:tcPr>
                  <w:tcW w:w="1411" w:type="pct"/>
                  <w:noWrap w:val="0"/>
                  <w:vAlign w:val="center"/>
                </w:tcPr>
                <w:p w14:paraId="4D5F7742">
                  <w:pPr>
                    <w:widowControl/>
                    <w:overflowPunct w:val="0"/>
                    <w:autoSpaceDE w:val="0"/>
                    <w:autoSpaceDN w:val="0"/>
                    <w:spacing w:line="280" w:lineRule="exact"/>
                    <w:textAlignment w:val="baseline"/>
                    <w:rPr>
                      <w:rFonts w:hint="eastAsia"/>
                      <w:color w:val="000000"/>
                      <w:kern w:val="0"/>
                      <w:sz w:val="21"/>
                      <w:szCs w:val="21"/>
                      <w:highlight w:val="none"/>
                    </w:rPr>
                  </w:pPr>
                  <w:r>
                    <w:rPr>
                      <w:bCs/>
                      <w:color w:val="000000"/>
                      <w:sz w:val="21"/>
                      <w:szCs w:val="21"/>
                      <w:highlight w:val="none"/>
                    </w:rPr>
                    <w:t>清运至</w:t>
                  </w:r>
                  <w:r>
                    <w:rPr>
                      <w:rFonts w:hint="eastAsia"/>
                      <w:bCs/>
                      <w:color w:val="000000"/>
                      <w:sz w:val="21"/>
                      <w:szCs w:val="21"/>
                      <w:highlight w:val="none"/>
                    </w:rPr>
                    <w:t>石西油田作业区生活区污水处理站处理</w:t>
                  </w:r>
                </w:p>
              </w:tc>
            </w:tr>
            <w:tr w14:paraId="71C4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vMerge w:val="restart"/>
                  <w:noWrap w:val="0"/>
                  <w:vAlign w:val="center"/>
                </w:tcPr>
                <w:p w14:paraId="32BAE76B">
                  <w:pPr>
                    <w:overflowPunct w:val="0"/>
                    <w:autoSpaceDE w:val="0"/>
                    <w:autoSpaceDN w:val="0"/>
                    <w:spacing w:line="280" w:lineRule="exact"/>
                    <w:textAlignment w:val="baseline"/>
                    <w:rPr>
                      <w:color w:val="000000"/>
                      <w:kern w:val="0"/>
                      <w:sz w:val="21"/>
                      <w:szCs w:val="21"/>
                      <w:highlight w:val="none"/>
                    </w:rPr>
                  </w:pPr>
                  <w:r>
                    <w:rPr>
                      <w:color w:val="000000"/>
                      <w:sz w:val="21"/>
                      <w:szCs w:val="21"/>
                      <w:highlight w:val="none"/>
                    </w:rPr>
                    <w:t>固废</w:t>
                  </w:r>
                </w:p>
              </w:tc>
              <w:tc>
                <w:tcPr>
                  <w:tcW w:w="458" w:type="pct"/>
                  <w:vMerge w:val="restart"/>
                  <w:noWrap w:val="0"/>
                  <w:vAlign w:val="center"/>
                </w:tcPr>
                <w:p w14:paraId="400A091A">
                  <w:pPr>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井场</w:t>
                  </w:r>
                </w:p>
              </w:tc>
              <w:tc>
                <w:tcPr>
                  <w:tcW w:w="696" w:type="pct"/>
                  <w:noWrap w:val="0"/>
                  <w:vAlign w:val="center"/>
                </w:tcPr>
                <w:p w14:paraId="487BBEDE">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水基岩屑</w:t>
                  </w:r>
                </w:p>
              </w:tc>
              <w:tc>
                <w:tcPr>
                  <w:tcW w:w="1996" w:type="pct"/>
                  <w:noWrap w:val="0"/>
                  <w:vAlign w:val="center"/>
                </w:tcPr>
                <w:p w14:paraId="1900793C">
                  <w:pPr>
                    <w:ind w:left="-120" w:leftChars="-50" w:right="-120" w:rightChars="-50"/>
                    <w:rPr>
                      <w:bCs/>
                      <w:color w:val="000000"/>
                      <w:sz w:val="21"/>
                      <w:szCs w:val="21"/>
                      <w:highlight w:val="none"/>
                    </w:rPr>
                  </w:pPr>
                  <w:bookmarkStart w:id="38" w:name="_Hlk47367042"/>
                  <w:r>
                    <w:rPr>
                      <w:bCs/>
                      <w:color w:val="000000"/>
                      <w:sz w:val="21"/>
                      <w:szCs w:val="21"/>
                      <w:highlight w:val="none"/>
                    </w:rPr>
                    <w:t>岩屑经“钻井泥浆不落地技术”分离后</w:t>
                  </w:r>
                  <w:bookmarkEnd w:id="38"/>
                  <w:r>
                    <w:rPr>
                      <w:bCs/>
                      <w:color w:val="000000"/>
                      <w:sz w:val="21"/>
                      <w:szCs w:val="21"/>
                      <w:highlight w:val="none"/>
                    </w:rPr>
                    <w:t>进入岩屑储罐，委托第三方岩屑公司处置</w:t>
                  </w:r>
                </w:p>
              </w:tc>
              <w:tc>
                <w:tcPr>
                  <w:tcW w:w="1411" w:type="pct"/>
                  <w:noWrap w:val="0"/>
                  <w:vAlign w:val="center"/>
                </w:tcPr>
                <w:p w14:paraId="4641D70F">
                  <w:pPr>
                    <w:ind w:left="-120" w:leftChars="-50" w:right="-120" w:rightChars="-50"/>
                    <w:rPr>
                      <w:bCs/>
                      <w:color w:val="000000"/>
                      <w:sz w:val="21"/>
                      <w:szCs w:val="21"/>
                      <w:highlight w:val="none"/>
                    </w:rPr>
                  </w:pPr>
                  <w:r>
                    <w:rPr>
                      <w:bCs/>
                      <w:color w:val="000000"/>
                      <w:sz w:val="21"/>
                      <w:szCs w:val="21"/>
                      <w:highlight w:val="none"/>
                    </w:rPr>
                    <w:t>/</w:t>
                  </w:r>
                </w:p>
              </w:tc>
            </w:tr>
            <w:tr w14:paraId="2C90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vMerge w:val="continue"/>
                  <w:noWrap w:val="0"/>
                  <w:vAlign w:val="center"/>
                </w:tcPr>
                <w:p w14:paraId="29DB376E">
                  <w:pPr>
                    <w:widowControl/>
                    <w:overflowPunct w:val="0"/>
                    <w:autoSpaceDE w:val="0"/>
                    <w:autoSpaceDN w:val="0"/>
                    <w:spacing w:line="280" w:lineRule="exact"/>
                    <w:textAlignment w:val="baseline"/>
                    <w:rPr>
                      <w:color w:val="000000"/>
                      <w:sz w:val="21"/>
                      <w:szCs w:val="21"/>
                      <w:highlight w:val="none"/>
                    </w:rPr>
                  </w:pPr>
                </w:p>
              </w:tc>
              <w:tc>
                <w:tcPr>
                  <w:tcW w:w="458" w:type="pct"/>
                  <w:vMerge w:val="continue"/>
                  <w:noWrap w:val="0"/>
                  <w:vAlign w:val="center"/>
                </w:tcPr>
                <w:p w14:paraId="32BC89A3">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6E474556">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油基岩屑</w:t>
                  </w:r>
                </w:p>
              </w:tc>
              <w:tc>
                <w:tcPr>
                  <w:tcW w:w="1996" w:type="pct"/>
                  <w:noWrap w:val="0"/>
                  <w:vAlign w:val="center"/>
                </w:tcPr>
                <w:p w14:paraId="65173F29">
                  <w:pPr>
                    <w:ind w:left="-120" w:leftChars="-50" w:right="-120" w:rightChars="-50"/>
                    <w:rPr>
                      <w:bCs/>
                      <w:color w:val="000000"/>
                      <w:sz w:val="21"/>
                      <w:szCs w:val="21"/>
                      <w:highlight w:val="none"/>
                    </w:rPr>
                  </w:pPr>
                  <w:r>
                    <w:rPr>
                      <w:color w:val="000000"/>
                      <w:sz w:val="21"/>
                      <w:szCs w:val="21"/>
                      <w:highlight w:val="none"/>
                    </w:rPr>
                    <w:t>由密封储罐收集，委托有资质的单位转运及处置</w:t>
                  </w:r>
                </w:p>
              </w:tc>
              <w:tc>
                <w:tcPr>
                  <w:tcW w:w="1411" w:type="pct"/>
                  <w:noWrap w:val="0"/>
                  <w:vAlign w:val="center"/>
                </w:tcPr>
                <w:p w14:paraId="07F4A4BF">
                  <w:pPr>
                    <w:ind w:left="-120" w:leftChars="-50" w:right="-120" w:rightChars="-50"/>
                    <w:rPr>
                      <w:bCs/>
                      <w:color w:val="000000"/>
                      <w:sz w:val="21"/>
                      <w:szCs w:val="21"/>
                      <w:highlight w:val="none"/>
                    </w:rPr>
                  </w:pPr>
                  <w:r>
                    <w:rPr>
                      <w:color w:val="000000"/>
                      <w:sz w:val="21"/>
                      <w:szCs w:val="21"/>
                      <w:highlight w:val="none"/>
                    </w:rPr>
                    <w:t>《危险废物贮存污染控制标准》（GB 18597-2023）</w:t>
                  </w:r>
                </w:p>
              </w:tc>
            </w:tr>
            <w:tr w14:paraId="59A8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38" w:type="pct"/>
                  <w:vMerge w:val="continue"/>
                  <w:noWrap w:val="0"/>
                  <w:vAlign w:val="center"/>
                </w:tcPr>
                <w:p w14:paraId="648348E7">
                  <w:pPr>
                    <w:widowControl/>
                    <w:overflowPunct w:val="0"/>
                    <w:autoSpaceDE w:val="0"/>
                    <w:autoSpaceDN w:val="0"/>
                    <w:spacing w:line="280" w:lineRule="exact"/>
                    <w:textAlignment w:val="baseline"/>
                    <w:rPr>
                      <w:color w:val="000000"/>
                      <w:sz w:val="21"/>
                      <w:szCs w:val="21"/>
                      <w:highlight w:val="none"/>
                    </w:rPr>
                  </w:pPr>
                </w:p>
              </w:tc>
              <w:tc>
                <w:tcPr>
                  <w:tcW w:w="458" w:type="pct"/>
                  <w:vMerge w:val="continue"/>
                  <w:noWrap w:val="0"/>
                  <w:vAlign w:val="center"/>
                </w:tcPr>
                <w:p w14:paraId="4B8ACCF3">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3233679D">
                  <w:pPr>
                    <w:pStyle w:val="25"/>
                    <w:rPr>
                      <w:color w:val="000000"/>
                      <w:highlight w:val="none"/>
                    </w:rPr>
                  </w:pPr>
                  <w:r>
                    <w:rPr>
                      <w:color w:val="000000"/>
                      <w:highlight w:val="none"/>
                    </w:rPr>
                    <w:t>机械设</w:t>
                  </w:r>
                </w:p>
                <w:p w14:paraId="3AD83CC1">
                  <w:pPr>
                    <w:pStyle w:val="25"/>
                    <w:rPr>
                      <w:bCs/>
                      <w:color w:val="000000"/>
                      <w:highlight w:val="none"/>
                    </w:rPr>
                  </w:pPr>
                  <w:r>
                    <w:rPr>
                      <w:color w:val="000000"/>
                      <w:highlight w:val="none"/>
                    </w:rPr>
                    <w:t>备废油</w:t>
                  </w:r>
                </w:p>
              </w:tc>
              <w:tc>
                <w:tcPr>
                  <w:tcW w:w="1996" w:type="pct"/>
                  <w:noWrap w:val="0"/>
                  <w:vAlign w:val="center"/>
                </w:tcPr>
                <w:p w14:paraId="0E0E5783">
                  <w:pPr>
                    <w:pStyle w:val="25"/>
                    <w:rPr>
                      <w:bCs/>
                      <w:color w:val="000000"/>
                      <w:highlight w:val="none"/>
                    </w:rPr>
                  </w:pPr>
                  <w:r>
                    <w:rPr>
                      <w:color w:val="000000"/>
                      <w:highlight w:val="none"/>
                    </w:rPr>
                    <w:t>委托有资质单位处置</w:t>
                  </w:r>
                </w:p>
              </w:tc>
              <w:tc>
                <w:tcPr>
                  <w:tcW w:w="1411" w:type="pct"/>
                  <w:noWrap w:val="0"/>
                  <w:vAlign w:val="center"/>
                </w:tcPr>
                <w:p w14:paraId="6619ED92">
                  <w:pPr>
                    <w:pStyle w:val="25"/>
                    <w:rPr>
                      <w:bCs/>
                      <w:color w:val="000000"/>
                      <w:highlight w:val="none"/>
                    </w:rPr>
                  </w:pPr>
                  <w:r>
                    <w:rPr>
                      <w:color w:val="000000"/>
                      <w:highlight w:val="none"/>
                    </w:rPr>
                    <w:t>/</w:t>
                  </w:r>
                </w:p>
              </w:tc>
            </w:tr>
            <w:tr w14:paraId="0E3D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8" w:type="pct"/>
                  <w:vMerge w:val="continue"/>
                  <w:noWrap w:val="0"/>
                  <w:vAlign w:val="center"/>
                </w:tcPr>
                <w:p w14:paraId="6EA9DBDD">
                  <w:pPr>
                    <w:widowControl/>
                    <w:overflowPunct w:val="0"/>
                    <w:autoSpaceDE w:val="0"/>
                    <w:autoSpaceDN w:val="0"/>
                    <w:spacing w:line="280" w:lineRule="exact"/>
                    <w:textAlignment w:val="baseline"/>
                    <w:rPr>
                      <w:color w:val="000000"/>
                      <w:sz w:val="21"/>
                      <w:szCs w:val="21"/>
                      <w:highlight w:val="none"/>
                    </w:rPr>
                  </w:pPr>
                </w:p>
              </w:tc>
              <w:tc>
                <w:tcPr>
                  <w:tcW w:w="458" w:type="pct"/>
                  <w:vMerge w:val="continue"/>
                  <w:noWrap w:val="0"/>
                  <w:vAlign w:val="center"/>
                </w:tcPr>
                <w:p w14:paraId="6B1FAE12">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6E74BA9B">
                  <w:pPr>
                    <w:pStyle w:val="25"/>
                    <w:rPr>
                      <w:color w:val="000000"/>
                      <w:highlight w:val="none"/>
                    </w:rPr>
                  </w:pPr>
                  <w:r>
                    <w:rPr>
                      <w:color w:val="000000"/>
                      <w:highlight w:val="none"/>
                    </w:rPr>
                    <w:t>废弃防</w:t>
                  </w:r>
                </w:p>
                <w:p w14:paraId="14298AE3">
                  <w:pPr>
                    <w:pStyle w:val="25"/>
                    <w:rPr>
                      <w:color w:val="000000"/>
                      <w:highlight w:val="none"/>
                    </w:rPr>
                  </w:pPr>
                  <w:r>
                    <w:rPr>
                      <w:color w:val="000000"/>
                      <w:highlight w:val="none"/>
                    </w:rPr>
                    <w:t>渗膜</w:t>
                  </w:r>
                </w:p>
              </w:tc>
              <w:tc>
                <w:tcPr>
                  <w:tcW w:w="1996" w:type="pct"/>
                  <w:noWrap w:val="0"/>
                  <w:vAlign w:val="center"/>
                </w:tcPr>
                <w:p w14:paraId="70EDF1A5">
                  <w:pPr>
                    <w:pStyle w:val="25"/>
                    <w:rPr>
                      <w:color w:val="000000"/>
                      <w:highlight w:val="none"/>
                    </w:rPr>
                  </w:pPr>
                  <w:r>
                    <w:rPr>
                      <w:color w:val="000000"/>
                      <w:highlight w:val="none"/>
                    </w:rPr>
                    <w:t>委托有资质单位处置</w:t>
                  </w:r>
                </w:p>
              </w:tc>
              <w:tc>
                <w:tcPr>
                  <w:tcW w:w="1411" w:type="pct"/>
                  <w:noWrap w:val="0"/>
                  <w:vAlign w:val="center"/>
                </w:tcPr>
                <w:p w14:paraId="19C079AE">
                  <w:pPr>
                    <w:pStyle w:val="25"/>
                    <w:rPr>
                      <w:color w:val="000000"/>
                      <w:highlight w:val="none"/>
                    </w:rPr>
                  </w:pPr>
                  <w:r>
                    <w:rPr>
                      <w:color w:val="000000"/>
                      <w:highlight w:val="none"/>
                    </w:rPr>
                    <w:t>/</w:t>
                  </w:r>
                </w:p>
              </w:tc>
            </w:tr>
            <w:tr w14:paraId="21B4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8" w:type="pct"/>
                  <w:vMerge w:val="continue"/>
                  <w:noWrap w:val="0"/>
                  <w:vAlign w:val="center"/>
                </w:tcPr>
                <w:p w14:paraId="123B99FD">
                  <w:pPr>
                    <w:widowControl/>
                    <w:overflowPunct w:val="0"/>
                    <w:autoSpaceDE w:val="0"/>
                    <w:autoSpaceDN w:val="0"/>
                    <w:spacing w:line="280" w:lineRule="exact"/>
                    <w:textAlignment w:val="baseline"/>
                    <w:rPr>
                      <w:color w:val="000000"/>
                      <w:sz w:val="21"/>
                      <w:szCs w:val="21"/>
                      <w:highlight w:val="none"/>
                    </w:rPr>
                  </w:pPr>
                </w:p>
              </w:tc>
              <w:tc>
                <w:tcPr>
                  <w:tcW w:w="458" w:type="pct"/>
                  <w:noWrap w:val="0"/>
                  <w:vAlign w:val="center"/>
                </w:tcPr>
                <w:p w14:paraId="73E2058B">
                  <w:pPr>
                    <w:ind w:left="-120" w:leftChars="-50" w:right="-120" w:rightChars="-50"/>
                    <w:rPr>
                      <w:bCs/>
                      <w:color w:val="000000"/>
                      <w:sz w:val="21"/>
                      <w:szCs w:val="21"/>
                      <w:highlight w:val="none"/>
                    </w:rPr>
                  </w:pPr>
                  <w:r>
                    <w:rPr>
                      <w:bCs/>
                      <w:color w:val="000000"/>
                      <w:sz w:val="21"/>
                      <w:szCs w:val="21"/>
                      <w:highlight w:val="none"/>
                    </w:rPr>
                    <w:t>施工</w:t>
                  </w:r>
                </w:p>
                <w:p w14:paraId="1950AA84">
                  <w:pPr>
                    <w:ind w:left="-120" w:leftChars="-50" w:right="-120" w:rightChars="-50"/>
                    <w:rPr>
                      <w:bCs/>
                      <w:color w:val="000000"/>
                      <w:sz w:val="21"/>
                      <w:szCs w:val="21"/>
                      <w:highlight w:val="none"/>
                    </w:rPr>
                  </w:pPr>
                  <w:r>
                    <w:rPr>
                      <w:bCs/>
                      <w:color w:val="000000"/>
                      <w:sz w:val="21"/>
                      <w:szCs w:val="21"/>
                      <w:highlight w:val="none"/>
                    </w:rPr>
                    <w:t>营地</w:t>
                  </w:r>
                </w:p>
              </w:tc>
              <w:tc>
                <w:tcPr>
                  <w:tcW w:w="696" w:type="pct"/>
                  <w:noWrap w:val="0"/>
                  <w:vAlign w:val="center"/>
                </w:tcPr>
                <w:p w14:paraId="73FBF460">
                  <w:pPr>
                    <w:ind w:left="-120" w:leftChars="-50" w:right="-120" w:rightChars="-50"/>
                    <w:rPr>
                      <w:bCs/>
                      <w:color w:val="000000"/>
                      <w:sz w:val="21"/>
                      <w:szCs w:val="21"/>
                      <w:highlight w:val="none"/>
                    </w:rPr>
                  </w:pPr>
                  <w:r>
                    <w:rPr>
                      <w:bCs/>
                      <w:color w:val="000000"/>
                      <w:sz w:val="21"/>
                      <w:szCs w:val="21"/>
                      <w:highlight w:val="none"/>
                    </w:rPr>
                    <w:t>生活垃圾</w:t>
                  </w:r>
                </w:p>
              </w:tc>
              <w:tc>
                <w:tcPr>
                  <w:tcW w:w="1996" w:type="pct"/>
                  <w:noWrap w:val="0"/>
                  <w:vAlign w:val="center"/>
                </w:tcPr>
                <w:p w14:paraId="1AE09E6D">
                  <w:pPr>
                    <w:pStyle w:val="25"/>
                    <w:rPr>
                      <w:color w:val="000000"/>
                      <w:highlight w:val="none"/>
                    </w:rPr>
                  </w:pPr>
                  <w:r>
                    <w:rPr>
                      <w:color w:val="000000"/>
                      <w:highlight w:val="none"/>
                    </w:rPr>
                    <w:t>集中收集后拉运至</w:t>
                  </w:r>
                  <w:r>
                    <w:rPr>
                      <w:rFonts w:hint="eastAsia"/>
                      <w:color w:val="000000"/>
                      <w:kern w:val="2"/>
                      <w:highlight w:val="none"/>
                    </w:rPr>
                    <w:t>石西油田作业区生活垃圾填埋场</w:t>
                  </w:r>
                </w:p>
              </w:tc>
              <w:tc>
                <w:tcPr>
                  <w:tcW w:w="1411" w:type="pct"/>
                  <w:noWrap w:val="0"/>
                  <w:vAlign w:val="center"/>
                </w:tcPr>
                <w:p w14:paraId="5773DEFB">
                  <w:pPr>
                    <w:ind w:left="-120" w:leftChars="-50" w:right="-120" w:rightChars="-50"/>
                    <w:rPr>
                      <w:bCs/>
                      <w:color w:val="000000"/>
                      <w:sz w:val="21"/>
                      <w:szCs w:val="21"/>
                      <w:highlight w:val="none"/>
                    </w:rPr>
                  </w:pPr>
                  <w:r>
                    <w:rPr>
                      <w:bCs/>
                      <w:color w:val="000000"/>
                      <w:sz w:val="21"/>
                      <w:szCs w:val="21"/>
                      <w:highlight w:val="none"/>
                    </w:rPr>
                    <w:t>/</w:t>
                  </w:r>
                </w:p>
              </w:tc>
            </w:tr>
            <w:tr w14:paraId="6ECA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438" w:type="pct"/>
                  <w:vMerge w:val="restart"/>
                  <w:noWrap w:val="0"/>
                  <w:vAlign w:val="center"/>
                </w:tcPr>
                <w:p w14:paraId="56CCC042">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生态</w:t>
                  </w:r>
                </w:p>
              </w:tc>
              <w:tc>
                <w:tcPr>
                  <w:tcW w:w="458" w:type="pct"/>
                  <w:vMerge w:val="restart"/>
                  <w:noWrap w:val="0"/>
                  <w:vAlign w:val="center"/>
                </w:tcPr>
                <w:p w14:paraId="181CA58A">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井场、道路及生活营地</w:t>
                  </w:r>
                </w:p>
              </w:tc>
              <w:tc>
                <w:tcPr>
                  <w:tcW w:w="696" w:type="pct"/>
                  <w:noWrap w:val="0"/>
                  <w:vAlign w:val="center"/>
                </w:tcPr>
                <w:p w14:paraId="6A48CE0A">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生态恢复</w:t>
                  </w:r>
                </w:p>
              </w:tc>
              <w:tc>
                <w:tcPr>
                  <w:tcW w:w="3407" w:type="pct"/>
                  <w:gridSpan w:val="2"/>
                  <w:noWrap w:val="0"/>
                  <w:vAlign w:val="center"/>
                </w:tcPr>
                <w:p w14:paraId="3BA6F870">
                  <w:pPr>
                    <w:widowControl/>
                    <w:overflowPunct w:val="0"/>
                    <w:autoSpaceDE w:val="0"/>
                    <w:autoSpaceDN w:val="0"/>
                    <w:spacing w:line="280" w:lineRule="exact"/>
                    <w:textAlignment w:val="baseline"/>
                    <w:rPr>
                      <w:color w:val="000000"/>
                      <w:spacing w:val="-4"/>
                      <w:kern w:val="0"/>
                      <w:sz w:val="21"/>
                      <w:szCs w:val="21"/>
                      <w:highlight w:val="none"/>
                    </w:rPr>
                  </w:pPr>
                  <w:r>
                    <w:rPr>
                      <w:color w:val="000000"/>
                      <w:kern w:val="0"/>
                      <w:sz w:val="21"/>
                      <w:szCs w:val="21"/>
                      <w:highlight w:val="none"/>
                    </w:rPr>
                    <w:t>生态保护措施落实情况；临时占地清理平整，植被自然恢复</w:t>
                  </w:r>
                </w:p>
              </w:tc>
            </w:tr>
            <w:tr w14:paraId="440A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38" w:type="pct"/>
                  <w:vMerge w:val="continue"/>
                  <w:noWrap w:val="0"/>
                  <w:vAlign w:val="center"/>
                </w:tcPr>
                <w:p w14:paraId="3F6E0802">
                  <w:pPr>
                    <w:widowControl/>
                    <w:overflowPunct w:val="0"/>
                    <w:autoSpaceDE w:val="0"/>
                    <w:autoSpaceDN w:val="0"/>
                    <w:spacing w:line="280" w:lineRule="exact"/>
                    <w:textAlignment w:val="baseline"/>
                    <w:rPr>
                      <w:color w:val="000000"/>
                      <w:kern w:val="0"/>
                      <w:sz w:val="21"/>
                      <w:szCs w:val="21"/>
                      <w:highlight w:val="none"/>
                    </w:rPr>
                  </w:pPr>
                </w:p>
              </w:tc>
              <w:tc>
                <w:tcPr>
                  <w:tcW w:w="458" w:type="pct"/>
                  <w:vMerge w:val="continue"/>
                  <w:noWrap w:val="0"/>
                  <w:vAlign w:val="center"/>
                </w:tcPr>
                <w:p w14:paraId="6B872BCC">
                  <w:pPr>
                    <w:widowControl/>
                    <w:overflowPunct w:val="0"/>
                    <w:autoSpaceDE w:val="0"/>
                    <w:autoSpaceDN w:val="0"/>
                    <w:spacing w:line="280" w:lineRule="exact"/>
                    <w:textAlignment w:val="baseline"/>
                    <w:rPr>
                      <w:color w:val="000000"/>
                      <w:kern w:val="0"/>
                      <w:sz w:val="21"/>
                      <w:szCs w:val="21"/>
                      <w:highlight w:val="none"/>
                    </w:rPr>
                  </w:pPr>
                </w:p>
              </w:tc>
              <w:tc>
                <w:tcPr>
                  <w:tcW w:w="696" w:type="pct"/>
                  <w:noWrap w:val="0"/>
                  <w:vAlign w:val="center"/>
                </w:tcPr>
                <w:p w14:paraId="110DC69F">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野生动物</w:t>
                  </w:r>
                </w:p>
                <w:p w14:paraId="5476611C">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及植被</w:t>
                  </w:r>
                </w:p>
              </w:tc>
              <w:tc>
                <w:tcPr>
                  <w:tcW w:w="3407" w:type="pct"/>
                  <w:gridSpan w:val="2"/>
                  <w:noWrap w:val="0"/>
                  <w:vAlign w:val="center"/>
                </w:tcPr>
                <w:p w14:paraId="5E0B0D94">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严禁滥捕保护动物，严禁乱碾乱轧，毁坏植被；禁止车辆离开道路行驶，保护野生动物生境和生物多样性</w:t>
                  </w:r>
                </w:p>
              </w:tc>
            </w:tr>
            <w:tr w14:paraId="248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2" w:type="pct"/>
                  <w:gridSpan w:val="3"/>
                  <w:noWrap w:val="0"/>
                  <w:vAlign w:val="center"/>
                </w:tcPr>
                <w:p w14:paraId="18449C69">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环境管理</w:t>
                  </w:r>
                </w:p>
              </w:tc>
              <w:tc>
                <w:tcPr>
                  <w:tcW w:w="3407" w:type="pct"/>
                  <w:gridSpan w:val="2"/>
                  <w:noWrap w:val="0"/>
                  <w:vAlign w:val="center"/>
                </w:tcPr>
                <w:p w14:paraId="51FF4AAC">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环境管理制度是否建立并完善，环保机构及人员是否设置到位；是否保留必要的影像资料</w:t>
                  </w:r>
                </w:p>
              </w:tc>
            </w:tr>
            <w:tr w14:paraId="500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92" w:type="pct"/>
                  <w:gridSpan w:val="3"/>
                  <w:noWrap w:val="0"/>
                  <w:vAlign w:val="center"/>
                </w:tcPr>
                <w:p w14:paraId="50418421">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环境风险措施</w:t>
                  </w:r>
                </w:p>
              </w:tc>
              <w:tc>
                <w:tcPr>
                  <w:tcW w:w="3407" w:type="pct"/>
                  <w:gridSpan w:val="2"/>
                  <w:noWrap w:val="0"/>
                  <w:vAlign w:val="center"/>
                </w:tcPr>
                <w:p w14:paraId="3B3D409E">
                  <w:pPr>
                    <w:widowControl/>
                    <w:overflowPunct w:val="0"/>
                    <w:autoSpaceDE w:val="0"/>
                    <w:autoSpaceDN w:val="0"/>
                    <w:spacing w:line="280" w:lineRule="exact"/>
                    <w:textAlignment w:val="baseline"/>
                    <w:rPr>
                      <w:color w:val="000000"/>
                      <w:kern w:val="0"/>
                      <w:sz w:val="21"/>
                      <w:szCs w:val="21"/>
                      <w:highlight w:val="none"/>
                    </w:rPr>
                  </w:pPr>
                  <w:r>
                    <w:rPr>
                      <w:color w:val="000000"/>
                      <w:kern w:val="0"/>
                      <w:sz w:val="21"/>
                      <w:szCs w:val="21"/>
                      <w:highlight w:val="none"/>
                    </w:rPr>
                    <w:t>配备灭火装置、应急点火系统、钻井井口防喷器等</w:t>
                  </w:r>
                </w:p>
              </w:tc>
            </w:tr>
          </w:tbl>
          <w:p w14:paraId="3419C77B">
            <w:pPr>
              <w:pStyle w:val="24"/>
              <w:ind w:firstLine="0" w:firstLineChars="0"/>
              <w:rPr>
                <w:color w:val="000000"/>
                <w:highlight w:val="none"/>
              </w:rPr>
            </w:pPr>
          </w:p>
        </w:tc>
      </w:tr>
      <w:tr w14:paraId="6097D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53" w:type="dxa"/>
            <w:noWrap w:val="0"/>
            <w:tcMar>
              <w:left w:w="28" w:type="dxa"/>
              <w:right w:w="28" w:type="dxa"/>
            </w:tcMar>
            <w:vAlign w:val="center"/>
          </w:tcPr>
          <w:p w14:paraId="46A93754">
            <w:pPr>
              <w:rPr>
                <w:bCs/>
                <w:color w:val="000000"/>
                <w:spacing w:val="10"/>
                <w:highlight w:val="none"/>
              </w:rPr>
            </w:pPr>
            <w:r>
              <w:rPr>
                <w:bCs/>
                <w:color w:val="000000"/>
                <w:spacing w:val="10"/>
                <w:highlight w:val="none"/>
              </w:rPr>
              <w:t>运营期生态环境保护措施</w:t>
            </w:r>
          </w:p>
        </w:tc>
        <w:tc>
          <w:tcPr>
            <w:tcW w:w="8457" w:type="dxa"/>
            <w:noWrap w:val="0"/>
            <w:vAlign w:val="center"/>
          </w:tcPr>
          <w:p w14:paraId="7608F466">
            <w:pPr>
              <w:pStyle w:val="24"/>
              <w:jc w:val="both"/>
              <w:rPr>
                <w:color w:val="000000"/>
                <w:sz w:val="24"/>
                <w:szCs w:val="21"/>
                <w:highlight w:val="none"/>
              </w:rPr>
            </w:pPr>
            <w:r>
              <w:rPr>
                <w:color w:val="000000"/>
                <w:sz w:val="24"/>
                <w:szCs w:val="21"/>
                <w:highlight w:val="none"/>
              </w:rPr>
              <w:t>本项目无运营期，试油结束后视试油结果决定是否转为生产井，若可转为生产井，则应当在产能开发建设前开展其环境影响评价工作。如发现该井不具开发价值或目的层不含油，则进行封井。</w:t>
            </w:r>
          </w:p>
          <w:p w14:paraId="52F273F6">
            <w:pPr>
              <w:spacing w:line="360" w:lineRule="auto"/>
              <w:ind w:firstLine="520" w:firstLineChars="200"/>
              <w:jc w:val="both"/>
              <w:rPr>
                <w:bCs/>
                <w:color w:val="000000"/>
                <w:spacing w:val="10"/>
                <w:highlight w:val="none"/>
              </w:rPr>
            </w:pPr>
          </w:p>
        </w:tc>
      </w:tr>
      <w:tr w14:paraId="065F4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3" w:type="dxa"/>
            <w:noWrap w:val="0"/>
            <w:vAlign w:val="center"/>
          </w:tcPr>
          <w:p w14:paraId="36F1B5BD">
            <w:pPr>
              <w:rPr>
                <w:bCs/>
                <w:color w:val="000000"/>
                <w:spacing w:val="10"/>
                <w:highlight w:val="none"/>
              </w:rPr>
            </w:pPr>
            <w:r>
              <w:rPr>
                <w:bCs/>
                <w:color w:val="000000"/>
                <w:highlight w:val="none"/>
              </w:rPr>
              <w:t>其他</w:t>
            </w:r>
          </w:p>
        </w:tc>
        <w:tc>
          <w:tcPr>
            <w:tcW w:w="8457" w:type="dxa"/>
            <w:noWrap w:val="0"/>
            <w:vAlign w:val="center"/>
          </w:tcPr>
          <w:p w14:paraId="29C27290">
            <w:pPr>
              <w:rPr>
                <w:bCs/>
                <w:color w:val="000000"/>
                <w:spacing w:val="10"/>
                <w:highlight w:val="none"/>
              </w:rPr>
            </w:pPr>
            <w:r>
              <w:rPr>
                <w:bCs/>
                <w:color w:val="000000"/>
                <w:spacing w:val="10"/>
                <w:highlight w:val="none"/>
              </w:rPr>
              <w:t>无</w:t>
            </w:r>
          </w:p>
        </w:tc>
      </w:tr>
      <w:tr w14:paraId="394D9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3" w:hRule="atLeast"/>
          <w:jc w:val="center"/>
        </w:trPr>
        <w:tc>
          <w:tcPr>
            <w:tcW w:w="753" w:type="dxa"/>
            <w:noWrap w:val="0"/>
            <w:vAlign w:val="center"/>
          </w:tcPr>
          <w:p w14:paraId="68F78609">
            <w:pPr>
              <w:rPr>
                <w:bCs/>
                <w:color w:val="000000"/>
                <w:spacing w:val="10"/>
                <w:highlight w:val="none"/>
              </w:rPr>
            </w:pPr>
            <w:r>
              <w:rPr>
                <w:bCs/>
                <w:color w:val="000000"/>
                <w:highlight w:val="none"/>
              </w:rPr>
              <w:t>环保投资</w:t>
            </w:r>
          </w:p>
        </w:tc>
        <w:tc>
          <w:tcPr>
            <w:tcW w:w="8457" w:type="dxa"/>
            <w:noWrap w:val="0"/>
            <w:vAlign w:val="top"/>
          </w:tcPr>
          <w:p w14:paraId="69E0BB56">
            <w:pPr>
              <w:pStyle w:val="24"/>
              <w:rPr>
                <w:rFonts w:ascii="Times New Roman" w:hAnsi="Times New Roman"/>
                <w:color w:val="000000"/>
                <w:sz w:val="24"/>
                <w:szCs w:val="21"/>
                <w:highlight w:val="none"/>
              </w:rPr>
            </w:pPr>
            <w:r>
              <w:rPr>
                <w:rFonts w:ascii="Times New Roman" w:hAnsi="Times New Roman"/>
                <w:color w:val="000000"/>
                <w:sz w:val="24"/>
                <w:szCs w:val="21"/>
                <w:highlight w:val="none"/>
              </w:rPr>
              <w:t>本项目总投资1294.8万元，估算环保投资为138万元，占总投资的10.6%。本项目环保投资估算，见表5-5。</w:t>
            </w:r>
          </w:p>
          <w:p w14:paraId="73C10FBB">
            <w:pPr>
              <w:overflowPunct w:val="0"/>
              <w:adjustRightInd/>
              <w:ind w:firstLine="422" w:firstLineChars="200"/>
              <w:rPr>
                <w:b/>
                <w:color w:val="000000"/>
                <w:sz w:val="21"/>
                <w:szCs w:val="21"/>
                <w:highlight w:val="none"/>
              </w:rPr>
            </w:pPr>
            <w:r>
              <w:rPr>
                <w:b/>
                <w:color w:val="000000"/>
                <w:sz w:val="21"/>
                <w:szCs w:val="21"/>
                <w:highlight w:val="none"/>
              </w:rPr>
              <w:t>表5-5  工程环保投资估算</w:t>
            </w:r>
          </w:p>
          <w:tbl>
            <w:tblPr>
              <w:tblStyle w:val="16"/>
              <w:tblW w:w="823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51"/>
              <w:gridCol w:w="3605"/>
              <w:gridCol w:w="1092"/>
              <w:gridCol w:w="1577"/>
            </w:tblGrid>
            <w:tr w14:paraId="4C04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noWrap w:val="0"/>
                  <w:vAlign w:val="center"/>
                </w:tcPr>
                <w:p w14:paraId="5C86CD3A">
                  <w:pPr>
                    <w:pStyle w:val="25"/>
                    <w:rPr>
                      <w:color w:val="000000"/>
                      <w:highlight w:val="none"/>
                    </w:rPr>
                  </w:pPr>
                  <w:bookmarkStart w:id="39" w:name="_Hlk48510648"/>
                  <w:bookmarkEnd w:id="39"/>
                  <w:r>
                    <w:rPr>
                      <w:color w:val="000000"/>
                      <w:highlight w:val="none"/>
                    </w:rPr>
                    <w:t>序号</w:t>
                  </w:r>
                </w:p>
              </w:tc>
              <w:tc>
                <w:tcPr>
                  <w:tcW w:w="1251" w:type="dxa"/>
                  <w:noWrap w:val="0"/>
                  <w:vAlign w:val="center"/>
                </w:tcPr>
                <w:p w14:paraId="558D1D36">
                  <w:pPr>
                    <w:pStyle w:val="25"/>
                    <w:rPr>
                      <w:color w:val="000000"/>
                      <w:highlight w:val="none"/>
                    </w:rPr>
                  </w:pPr>
                  <w:r>
                    <w:rPr>
                      <w:color w:val="000000"/>
                      <w:highlight w:val="none"/>
                    </w:rPr>
                    <w:t>环保项目</w:t>
                  </w:r>
                </w:p>
              </w:tc>
              <w:tc>
                <w:tcPr>
                  <w:tcW w:w="3605" w:type="dxa"/>
                  <w:noWrap w:val="0"/>
                  <w:vAlign w:val="center"/>
                </w:tcPr>
                <w:p w14:paraId="4B69EDF2">
                  <w:pPr>
                    <w:pStyle w:val="25"/>
                    <w:rPr>
                      <w:color w:val="000000"/>
                      <w:highlight w:val="none"/>
                    </w:rPr>
                  </w:pPr>
                  <w:r>
                    <w:rPr>
                      <w:color w:val="000000"/>
                      <w:highlight w:val="none"/>
                    </w:rPr>
                    <w:t>主要内容</w:t>
                  </w:r>
                </w:p>
              </w:tc>
              <w:tc>
                <w:tcPr>
                  <w:tcW w:w="1092" w:type="dxa"/>
                  <w:noWrap w:val="0"/>
                  <w:vAlign w:val="center"/>
                </w:tcPr>
                <w:p w14:paraId="07C1BD2F">
                  <w:pPr>
                    <w:pStyle w:val="25"/>
                    <w:rPr>
                      <w:color w:val="000000"/>
                      <w:highlight w:val="none"/>
                    </w:rPr>
                  </w:pPr>
                  <w:r>
                    <w:rPr>
                      <w:color w:val="000000"/>
                      <w:highlight w:val="none"/>
                    </w:rPr>
                    <w:t>投资</w:t>
                  </w:r>
                </w:p>
                <w:p w14:paraId="313FC0D0">
                  <w:pPr>
                    <w:pStyle w:val="25"/>
                    <w:rPr>
                      <w:color w:val="000000"/>
                      <w:highlight w:val="none"/>
                    </w:rPr>
                  </w:pPr>
                  <w:r>
                    <w:rPr>
                      <w:color w:val="000000"/>
                      <w:highlight w:val="none"/>
                    </w:rPr>
                    <w:t>（万元）</w:t>
                  </w:r>
                </w:p>
              </w:tc>
              <w:tc>
                <w:tcPr>
                  <w:tcW w:w="1577" w:type="dxa"/>
                  <w:noWrap w:val="0"/>
                  <w:vAlign w:val="center"/>
                </w:tcPr>
                <w:p w14:paraId="7989C2F0">
                  <w:pPr>
                    <w:pStyle w:val="25"/>
                    <w:rPr>
                      <w:color w:val="000000"/>
                      <w:highlight w:val="none"/>
                    </w:rPr>
                  </w:pPr>
                  <w:r>
                    <w:rPr>
                      <w:color w:val="000000"/>
                      <w:highlight w:val="none"/>
                    </w:rPr>
                    <w:t>备注</w:t>
                  </w:r>
                </w:p>
              </w:tc>
            </w:tr>
            <w:tr w14:paraId="04F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noWrap w:val="0"/>
                  <w:vAlign w:val="center"/>
                </w:tcPr>
                <w:p w14:paraId="5810A9FE">
                  <w:pPr>
                    <w:pStyle w:val="25"/>
                    <w:rPr>
                      <w:color w:val="000000"/>
                      <w:highlight w:val="none"/>
                    </w:rPr>
                  </w:pPr>
                  <w:r>
                    <w:rPr>
                      <w:color w:val="000000"/>
                      <w:highlight w:val="none"/>
                    </w:rPr>
                    <w:t>1</w:t>
                  </w:r>
                </w:p>
              </w:tc>
              <w:tc>
                <w:tcPr>
                  <w:tcW w:w="1251" w:type="dxa"/>
                  <w:noWrap w:val="0"/>
                  <w:vAlign w:val="center"/>
                </w:tcPr>
                <w:p w14:paraId="383608CB">
                  <w:pPr>
                    <w:pStyle w:val="25"/>
                    <w:rPr>
                      <w:color w:val="000000"/>
                      <w:highlight w:val="none"/>
                    </w:rPr>
                  </w:pPr>
                  <w:r>
                    <w:rPr>
                      <w:color w:val="000000"/>
                      <w:highlight w:val="none"/>
                    </w:rPr>
                    <w:t>废气处理</w:t>
                  </w:r>
                </w:p>
              </w:tc>
              <w:tc>
                <w:tcPr>
                  <w:tcW w:w="3605" w:type="dxa"/>
                  <w:noWrap w:val="0"/>
                  <w:vAlign w:val="center"/>
                </w:tcPr>
                <w:p w14:paraId="3CFCCB4D">
                  <w:pPr>
                    <w:pStyle w:val="25"/>
                    <w:rPr>
                      <w:b/>
                      <w:bCs/>
                      <w:color w:val="000000"/>
                      <w:highlight w:val="none"/>
                    </w:rPr>
                  </w:pPr>
                  <w:r>
                    <w:rPr>
                      <w:color w:val="000000"/>
                      <w:highlight w:val="none"/>
                    </w:rPr>
                    <w:t>施工期定时洒水、钻井材料加盖篷布等</w:t>
                  </w:r>
                </w:p>
              </w:tc>
              <w:tc>
                <w:tcPr>
                  <w:tcW w:w="1092" w:type="dxa"/>
                  <w:noWrap w:val="0"/>
                  <w:vAlign w:val="center"/>
                </w:tcPr>
                <w:p w14:paraId="3BA2DB33">
                  <w:pPr>
                    <w:pStyle w:val="25"/>
                    <w:rPr>
                      <w:color w:val="000000"/>
                      <w:highlight w:val="none"/>
                    </w:rPr>
                  </w:pPr>
                  <w:r>
                    <w:rPr>
                      <w:color w:val="000000"/>
                      <w:highlight w:val="none"/>
                    </w:rPr>
                    <w:t>1</w:t>
                  </w:r>
                </w:p>
              </w:tc>
              <w:tc>
                <w:tcPr>
                  <w:tcW w:w="1577" w:type="dxa"/>
                  <w:noWrap w:val="0"/>
                  <w:vAlign w:val="center"/>
                </w:tcPr>
                <w:p w14:paraId="5EEB6A9E">
                  <w:pPr>
                    <w:pStyle w:val="25"/>
                    <w:rPr>
                      <w:color w:val="000000"/>
                      <w:highlight w:val="none"/>
                    </w:rPr>
                  </w:pPr>
                  <w:r>
                    <w:rPr>
                      <w:color w:val="000000"/>
                      <w:highlight w:val="none"/>
                    </w:rPr>
                    <w:t>/</w:t>
                  </w:r>
                </w:p>
              </w:tc>
            </w:tr>
            <w:tr w14:paraId="2DBE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noWrap w:val="0"/>
                  <w:vAlign w:val="center"/>
                </w:tcPr>
                <w:p w14:paraId="1EBD4E0B">
                  <w:pPr>
                    <w:pStyle w:val="25"/>
                    <w:rPr>
                      <w:color w:val="000000"/>
                      <w:highlight w:val="none"/>
                    </w:rPr>
                  </w:pPr>
                  <w:r>
                    <w:rPr>
                      <w:color w:val="000000"/>
                      <w:highlight w:val="none"/>
                    </w:rPr>
                    <w:t>2</w:t>
                  </w:r>
                </w:p>
              </w:tc>
              <w:tc>
                <w:tcPr>
                  <w:tcW w:w="1251" w:type="dxa"/>
                  <w:noWrap w:val="0"/>
                  <w:vAlign w:val="center"/>
                </w:tcPr>
                <w:p w14:paraId="4651EF63">
                  <w:pPr>
                    <w:pStyle w:val="25"/>
                    <w:rPr>
                      <w:color w:val="000000"/>
                      <w:highlight w:val="none"/>
                    </w:rPr>
                  </w:pPr>
                  <w:r>
                    <w:rPr>
                      <w:color w:val="000000"/>
                      <w:highlight w:val="none"/>
                    </w:rPr>
                    <w:t>废水处理</w:t>
                  </w:r>
                </w:p>
              </w:tc>
              <w:tc>
                <w:tcPr>
                  <w:tcW w:w="3605" w:type="dxa"/>
                  <w:noWrap w:val="0"/>
                  <w:vAlign w:val="center"/>
                </w:tcPr>
                <w:p w14:paraId="0DB75B1D">
                  <w:pPr>
                    <w:pStyle w:val="25"/>
                    <w:rPr>
                      <w:color w:val="000000"/>
                      <w:highlight w:val="none"/>
                    </w:rPr>
                  </w:pPr>
                  <w:r>
                    <w:rPr>
                      <w:color w:val="000000"/>
                      <w:highlight w:val="none"/>
                    </w:rPr>
                    <w:t>井下带罐作业；洗井废水、压裂返排液清运；生活营地设置防渗污水收集池，生活污水拉运</w:t>
                  </w:r>
                </w:p>
              </w:tc>
              <w:tc>
                <w:tcPr>
                  <w:tcW w:w="1092" w:type="dxa"/>
                  <w:noWrap w:val="0"/>
                  <w:vAlign w:val="center"/>
                </w:tcPr>
                <w:p w14:paraId="1B676373">
                  <w:pPr>
                    <w:pStyle w:val="25"/>
                    <w:rPr>
                      <w:color w:val="000000"/>
                      <w:highlight w:val="none"/>
                    </w:rPr>
                  </w:pPr>
                  <w:r>
                    <w:rPr>
                      <w:color w:val="000000"/>
                      <w:highlight w:val="none"/>
                    </w:rPr>
                    <w:t>1</w:t>
                  </w:r>
                </w:p>
              </w:tc>
              <w:tc>
                <w:tcPr>
                  <w:tcW w:w="1577" w:type="dxa"/>
                  <w:noWrap w:val="0"/>
                  <w:vAlign w:val="center"/>
                </w:tcPr>
                <w:p w14:paraId="145891F2">
                  <w:pPr>
                    <w:pStyle w:val="25"/>
                    <w:rPr>
                      <w:color w:val="000000"/>
                      <w:highlight w:val="none"/>
                    </w:rPr>
                  </w:pPr>
                  <w:r>
                    <w:rPr>
                      <w:color w:val="000000"/>
                      <w:highlight w:val="none"/>
                    </w:rPr>
                    <w:t>/</w:t>
                  </w:r>
                </w:p>
              </w:tc>
            </w:tr>
            <w:tr w14:paraId="02CC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noWrap w:val="0"/>
                  <w:vAlign w:val="center"/>
                </w:tcPr>
                <w:p w14:paraId="4AB04710">
                  <w:pPr>
                    <w:pStyle w:val="25"/>
                    <w:rPr>
                      <w:color w:val="000000"/>
                      <w:highlight w:val="none"/>
                    </w:rPr>
                  </w:pPr>
                  <w:r>
                    <w:rPr>
                      <w:color w:val="000000"/>
                      <w:highlight w:val="none"/>
                    </w:rPr>
                    <w:t>3</w:t>
                  </w:r>
                </w:p>
              </w:tc>
              <w:tc>
                <w:tcPr>
                  <w:tcW w:w="1251" w:type="dxa"/>
                  <w:noWrap w:val="0"/>
                  <w:vAlign w:val="center"/>
                </w:tcPr>
                <w:p w14:paraId="6072FE82">
                  <w:pPr>
                    <w:pStyle w:val="25"/>
                    <w:rPr>
                      <w:color w:val="000000"/>
                      <w:highlight w:val="none"/>
                    </w:rPr>
                  </w:pPr>
                  <w:r>
                    <w:rPr>
                      <w:color w:val="000000"/>
                      <w:highlight w:val="none"/>
                    </w:rPr>
                    <w:t>风险措施</w:t>
                  </w:r>
                </w:p>
              </w:tc>
              <w:tc>
                <w:tcPr>
                  <w:tcW w:w="3605" w:type="dxa"/>
                  <w:noWrap w:val="0"/>
                  <w:vAlign w:val="center"/>
                </w:tcPr>
                <w:p w14:paraId="728255CA">
                  <w:pPr>
                    <w:pStyle w:val="25"/>
                    <w:rPr>
                      <w:color w:val="000000"/>
                      <w:highlight w:val="none"/>
                    </w:rPr>
                  </w:pPr>
                  <w:r>
                    <w:rPr>
                      <w:color w:val="000000"/>
                      <w:highlight w:val="none"/>
                    </w:rPr>
                    <w:t>井口防喷器</w:t>
                  </w:r>
                </w:p>
              </w:tc>
              <w:tc>
                <w:tcPr>
                  <w:tcW w:w="1092" w:type="dxa"/>
                  <w:noWrap w:val="0"/>
                  <w:vAlign w:val="center"/>
                </w:tcPr>
                <w:p w14:paraId="4AAA10B1">
                  <w:pPr>
                    <w:pStyle w:val="25"/>
                    <w:rPr>
                      <w:color w:val="000000"/>
                      <w:highlight w:val="none"/>
                    </w:rPr>
                  </w:pPr>
                  <w:r>
                    <w:rPr>
                      <w:rFonts w:hint="eastAsia"/>
                      <w:color w:val="000000"/>
                      <w:highlight w:val="none"/>
                    </w:rPr>
                    <w:t>30</w:t>
                  </w:r>
                </w:p>
              </w:tc>
              <w:tc>
                <w:tcPr>
                  <w:tcW w:w="1577" w:type="dxa"/>
                  <w:noWrap w:val="0"/>
                  <w:vAlign w:val="center"/>
                </w:tcPr>
                <w:p w14:paraId="2B5675DF">
                  <w:pPr>
                    <w:pStyle w:val="25"/>
                    <w:rPr>
                      <w:color w:val="000000"/>
                      <w:highlight w:val="none"/>
                    </w:rPr>
                  </w:pPr>
                  <w:r>
                    <w:rPr>
                      <w:color w:val="000000"/>
                      <w:highlight w:val="none"/>
                    </w:rPr>
                    <w:t>8000元×钻井天数×0.3</w:t>
                  </w:r>
                </w:p>
              </w:tc>
            </w:tr>
            <w:tr w14:paraId="0FD7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restart"/>
                  <w:noWrap w:val="0"/>
                  <w:vAlign w:val="center"/>
                </w:tcPr>
                <w:p w14:paraId="7091464D">
                  <w:pPr>
                    <w:pStyle w:val="25"/>
                    <w:rPr>
                      <w:color w:val="000000"/>
                      <w:highlight w:val="none"/>
                    </w:rPr>
                  </w:pPr>
                  <w:r>
                    <w:rPr>
                      <w:color w:val="000000"/>
                      <w:highlight w:val="none"/>
                    </w:rPr>
                    <w:t>4</w:t>
                  </w:r>
                </w:p>
              </w:tc>
              <w:tc>
                <w:tcPr>
                  <w:tcW w:w="1251" w:type="dxa"/>
                  <w:vMerge w:val="restart"/>
                  <w:noWrap w:val="0"/>
                  <w:vAlign w:val="center"/>
                </w:tcPr>
                <w:p w14:paraId="10D924C4">
                  <w:pPr>
                    <w:pStyle w:val="25"/>
                    <w:rPr>
                      <w:color w:val="000000"/>
                      <w:highlight w:val="none"/>
                    </w:rPr>
                  </w:pPr>
                  <w:r>
                    <w:rPr>
                      <w:color w:val="000000"/>
                      <w:highlight w:val="none"/>
                    </w:rPr>
                    <w:t>固体废弃物</w:t>
                  </w:r>
                </w:p>
              </w:tc>
              <w:tc>
                <w:tcPr>
                  <w:tcW w:w="3605" w:type="dxa"/>
                  <w:noWrap w:val="0"/>
                  <w:vAlign w:val="center"/>
                </w:tcPr>
                <w:p w14:paraId="263C42A2">
                  <w:pPr>
                    <w:pStyle w:val="25"/>
                    <w:rPr>
                      <w:color w:val="000000"/>
                      <w:highlight w:val="none"/>
                    </w:rPr>
                  </w:pPr>
                  <w:r>
                    <w:rPr>
                      <w:color w:val="000000"/>
                      <w:highlight w:val="none"/>
                    </w:rPr>
                    <w:t>钻井泥浆不落地，岩屑拉运、处理</w:t>
                  </w:r>
                </w:p>
              </w:tc>
              <w:tc>
                <w:tcPr>
                  <w:tcW w:w="1092" w:type="dxa"/>
                  <w:noWrap w:val="0"/>
                  <w:vAlign w:val="center"/>
                </w:tcPr>
                <w:p w14:paraId="3BBC0D7E">
                  <w:pPr>
                    <w:pStyle w:val="25"/>
                    <w:rPr>
                      <w:color w:val="000000"/>
                      <w:highlight w:val="none"/>
                    </w:rPr>
                  </w:pPr>
                  <w:r>
                    <w:rPr>
                      <w:color w:val="000000"/>
                      <w:highlight w:val="none"/>
                    </w:rPr>
                    <w:t>100</w:t>
                  </w:r>
                </w:p>
              </w:tc>
              <w:tc>
                <w:tcPr>
                  <w:tcW w:w="1577" w:type="dxa"/>
                  <w:noWrap w:val="0"/>
                  <w:vAlign w:val="center"/>
                </w:tcPr>
                <w:p w14:paraId="3274B266">
                  <w:pPr>
                    <w:pStyle w:val="25"/>
                    <w:rPr>
                      <w:color w:val="000000"/>
                      <w:highlight w:val="none"/>
                    </w:rPr>
                  </w:pPr>
                  <w:r>
                    <w:rPr>
                      <w:color w:val="000000"/>
                      <w:highlight w:val="none"/>
                    </w:rPr>
                    <w:t>/</w:t>
                  </w:r>
                </w:p>
              </w:tc>
            </w:tr>
            <w:tr w14:paraId="2C8A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continue"/>
                  <w:noWrap w:val="0"/>
                  <w:vAlign w:val="center"/>
                </w:tcPr>
                <w:p w14:paraId="6FD69D5F">
                  <w:pPr>
                    <w:pStyle w:val="25"/>
                    <w:rPr>
                      <w:color w:val="000000"/>
                      <w:highlight w:val="none"/>
                    </w:rPr>
                  </w:pPr>
                </w:p>
              </w:tc>
              <w:tc>
                <w:tcPr>
                  <w:tcW w:w="1251" w:type="dxa"/>
                  <w:vMerge w:val="continue"/>
                  <w:noWrap w:val="0"/>
                  <w:vAlign w:val="center"/>
                </w:tcPr>
                <w:p w14:paraId="4CFC8054">
                  <w:pPr>
                    <w:pStyle w:val="25"/>
                    <w:rPr>
                      <w:color w:val="000000"/>
                      <w:highlight w:val="none"/>
                    </w:rPr>
                  </w:pPr>
                </w:p>
              </w:tc>
              <w:tc>
                <w:tcPr>
                  <w:tcW w:w="3605" w:type="dxa"/>
                  <w:noWrap w:val="0"/>
                  <w:vAlign w:val="center"/>
                </w:tcPr>
                <w:p w14:paraId="5D077F34">
                  <w:pPr>
                    <w:pStyle w:val="25"/>
                    <w:rPr>
                      <w:color w:val="000000"/>
                      <w:highlight w:val="none"/>
                    </w:rPr>
                  </w:pPr>
                  <w:r>
                    <w:rPr>
                      <w:color w:val="000000"/>
                      <w:highlight w:val="none"/>
                    </w:rPr>
                    <w:t>落地油回收、废弃防渗膜委托有资质单位处理</w:t>
                  </w:r>
                </w:p>
              </w:tc>
              <w:tc>
                <w:tcPr>
                  <w:tcW w:w="1092" w:type="dxa"/>
                  <w:noWrap w:val="0"/>
                  <w:vAlign w:val="center"/>
                </w:tcPr>
                <w:p w14:paraId="20635155">
                  <w:pPr>
                    <w:pStyle w:val="25"/>
                    <w:rPr>
                      <w:color w:val="000000"/>
                      <w:highlight w:val="none"/>
                    </w:rPr>
                  </w:pPr>
                  <w:r>
                    <w:rPr>
                      <w:color w:val="000000"/>
                      <w:highlight w:val="none"/>
                    </w:rPr>
                    <w:t>1</w:t>
                  </w:r>
                </w:p>
              </w:tc>
              <w:tc>
                <w:tcPr>
                  <w:tcW w:w="1577" w:type="dxa"/>
                  <w:noWrap w:val="0"/>
                  <w:vAlign w:val="center"/>
                </w:tcPr>
                <w:p w14:paraId="5E22D358">
                  <w:pPr>
                    <w:pStyle w:val="25"/>
                    <w:rPr>
                      <w:color w:val="000000"/>
                      <w:highlight w:val="none"/>
                    </w:rPr>
                  </w:pPr>
                  <w:r>
                    <w:rPr>
                      <w:color w:val="000000"/>
                      <w:highlight w:val="none"/>
                    </w:rPr>
                    <w:t>/</w:t>
                  </w:r>
                </w:p>
              </w:tc>
            </w:tr>
            <w:tr w14:paraId="30AC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continue"/>
                  <w:noWrap w:val="0"/>
                  <w:vAlign w:val="center"/>
                </w:tcPr>
                <w:p w14:paraId="7466C953">
                  <w:pPr>
                    <w:pStyle w:val="25"/>
                    <w:rPr>
                      <w:color w:val="000000"/>
                      <w:highlight w:val="none"/>
                    </w:rPr>
                  </w:pPr>
                </w:p>
              </w:tc>
              <w:tc>
                <w:tcPr>
                  <w:tcW w:w="1251" w:type="dxa"/>
                  <w:vMerge w:val="continue"/>
                  <w:noWrap w:val="0"/>
                  <w:vAlign w:val="center"/>
                </w:tcPr>
                <w:p w14:paraId="33D5AAE3">
                  <w:pPr>
                    <w:pStyle w:val="25"/>
                    <w:rPr>
                      <w:color w:val="000000"/>
                      <w:highlight w:val="none"/>
                    </w:rPr>
                  </w:pPr>
                </w:p>
              </w:tc>
              <w:tc>
                <w:tcPr>
                  <w:tcW w:w="3605" w:type="dxa"/>
                  <w:noWrap w:val="0"/>
                  <w:vAlign w:val="center"/>
                </w:tcPr>
                <w:p w14:paraId="76149E21">
                  <w:pPr>
                    <w:pStyle w:val="25"/>
                    <w:rPr>
                      <w:color w:val="000000"/>
                      <w:highlight w:val="none"/>
                    </w:rPr>
                  </w:pPr>
                  <w:r>
                    <w:rPr>
                      <w:color w:val="000000"/>
                      <w:highlight w:val="none"/>
                    </w:rPr>
                    <w:t>岩屑储罐外部场地防渗</w:t>
                  </w:r>
                </w:p>
              </w:tc>
              <w:tc>
                <w:tcPr>
                  <w:tcW w:w="1092" w:type="dxa"/>
                  <w:noWrap w:val="0"/>
                  <w:vAlign w:val="center"/>
                </w:tcPr>
                <w:p w14:paraId="57F94839">
                  <w:pPr>
                    <w:pStyle w:val="25"/>
                    <w:rPr>
                      <w:color w:val="000000"/>
                      <w:highlight w:val="none"/>
                    </w:rPr>
                  </w:pPr>
                  <w:r>
                    <w:rPr>
                      <w:color w:val="000000"/>
                      <w:highlight w:val="none"/>
                    </w:rPr>
                    <w:t>2</w:t>
                  </w:r>
                </w:p>
              </w:tc>
              <w:tc>
                <w:tcPr>
                  <w:tcW w:w="1577" w:type="dxa"/>
                  <w:noWrap w:val="0"/>
                  <w:vAlign w:val="center"/>
                </w:tcPr>
                <w:p w14:paraId="7DCBD154">
                  <w:pPr>
                    <w:pStyle w:val="25"/>
                    <w:rPr>
                      <w:color w:val="000000"/>
                      <w:highlight w:val="none"/>
                    </w:rPr>
                  </w:pPr>
                  <w:r>
                    <w:rPr>
                      <w:color w:val="000000"/>
                      <w:highlight w:val="none"/>
                    </w:rPr>
                    <w:t>/</w:t>
                  </w:r>
                </w:p>
              </w:tc>
            </w:tr>
            <w:tr w14:paraId="1EB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6" w:type="dxa"/>
                  <w:vMerge w:val="continue"/>
                  <w:noWrap w:val="0"/>
                  <w:vAlign w:val="center"/>
                </w:tcPr>
                <w:p w14:paraId="643E1980">
                  <w:pPr>
                    <w:pStyle w:val="25"/>
                    <w:rPr>
                      <w:color w:val="000000"/>
                      <w:highlight w:val="none"/>
                    </w:rPr>
                  </w:pPr>
                </w:p>
              </w:tc>
              <w:tc>
                <w:tcPr>
                  <w:tcW w:w="1251" w:type="dxa"/>
                  <w:vMerge w:val="continue"/>
                  <w:noWrap w:val="0"/>
                  <w:vAlign w:val="center"/>
                </w:tcPr>
                <w:p w14:paraId="3DD8D2A5">
                  <w:pPr>
                    <w:pStyle w:val="25"/>
                    <w:rPr>
                      <w:color w:val="000000"/>
                      <w:highlight w:val="none"/>
                    </w:rPr>
                  </w:pPr>
                </w:p>
              </w:tc>
              <w:tc>
                <w:tcPr>
                  <w:tcW w:w="3605" w:type="dxa"/>
                  <w:noWrap w:val="0"/>
                  <w:vAlign w:val="center"/>
                </w:tcPr>
                <w:p w14:paraId="2A520D94">
                  <w:pPr>
                    <w:pStyle w:val="25"/>
                    <w:rPr>
                      <w:color w:val="000000"/>
                      <w:highlight w:val="none"/>
                    </w:rPr>
                  </w:pPr>
                  <w:r>
                    <w:rPr>
                      <w:color w:val="000000"/>
                      <w:highlight w:val="none"/>
                    </w:rPr>
                    <w:t>生活垃圾清运</w:t>
                  </w:r>
                </w:p>
              </w:tc>
              <w:tc>
                <w:tcPr>
                  <w:tcW w:w="1092" w:type="dxa"/>
                  <w:noWrap w:val="0"/>
                  <w:vAlign w:val="center"/>
                </w:tcPr>
                <w:p w14:paraId="45E6CE9C">
                  <w:pPr>
                    <w:pStyle w:val="25"/>
                    <w:rPr>
                      <w:color w:val="000000"/>
                      <w:highlight w:val="none"/>
                    </w:rPr>
                  </w:pPr>
                  <w:r>
                    <w:rPr>
                      <w:color w:val="000000"/>
                      <w:highlight w:val="none"/>
                    </w:rPr>
                    <w:t>1</w:t>
                  </w:r>
                </w:p>
              </w:tc>
              <w:tc>
                <w:tcPr>
                  <w:tcW w:w="1577" w:type="dxa"/>
                  <w:noWrap w:val="0"/>
                  <w:vAlign w:val="center"/>
                </w:tcPr>
                <w:p w14:paraId="7733743E">
                  <w:pPr>
                    <w:pStyle w:val="25"/>
                    <w:rPr>
                      <w:color w:val="000000"/>
                      <w:highlight w:val="none"/>
                    </w:rPr>
                  </w:pPr>
                  <w:r>
                    <w:rPr>
                      <w:color w:val="000000"/>
                      <w:highlight w:val="none"/>
                    </w:rPr>
                    <w:t>/</w:t>
                  </w:r>
                </w:p>
              </w:tc>
            </w:tr>
            <w:tr w14:paraId="692D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6" w:type="dxa"/>
                  <w:noWrap w:val="0"/>
                  <w:vAlign w:val="center"/>
                </w:tcPr>
                <w:p w14:paraId="338EE54E">
                  <w:pPr>
                    <w:pStyle w:val="25"/>
                    <w:rPr>
                      <w:color w:val="000000"/>
                      <w:highlight w:val="none"/>
                    </w:rPr>
                  </w:pPr>
                  <w:r>
                    <w:rPr>
                      <w:color w:val="000000"/>
                      <w:highlight w:val="none"/>
                    </w:rPr>
                    <w:t>5</w:t>
                  </w:r>
                </w:p>
              </w:tc>
              <w:tc>
                <w:tcPr>
                  <w:tcW w:w="1251" w:type="dxa"/>
                  <w:noWrap w:val="0"/>
                  <w:vAlign w:val="center"/>
                </w:tcPr>
                <w:p w14:paraId="618B1894">
                  <w:pPr>
                    <w:pStyle w:val="25"/>
                    <w:rPr>
                      <w:color w:val="000000"/>
                      <w:highlight w:val="none"/>
                    </w:rPr>
                  </w:pPr>
                  <w:r>
                    <w:rPr>
                      <w:color w:val="000000"/>
                      <w:highlight w:val="none"/>
                    </w:rPr>
                    <w:t>生态措施</w:t>
                  </w:r>
                </w:p>
              </w:tc>
              <w:tc>
                <w:tcPr>
                  <w:tcW w:w="3605" w:type="dxa"/>
                  <w:noWrap w:val="0"/>
                  <w:vAlign w:val="center"/>
                </w:tcPr>
                <w:p w14:paraId="68037275">
                  <w:pPr>
                    <w:pStyle w:val="25"/>
                    <w:rPr>
                      <w:color w:val="000000"/>
                      <w:highlight w:val="none"/>
                    </w:rPr>
                  </w:pPr>
                  <w:r>
                    <w:rPr>
                      <w:color w:val="000000"/>
                      <w:highlight w:val="none"/>
                    </w:rPr>
                    <w:t>井场、入场道路、施工营地等临时占地清理平整及恢复</w:t>
                  </w:r>
                </w:p>
              </w:tc>
              <w:tc>
                <w:tcPr>
                  <w:tcW w:w="1092" w:type="dxa"/>
                  <w:noWrap w:val="0"/>
                  <w:vAlign w:val="center"/>
                </w:tcPr>
                <w:p w14:paraId="12CD59B1">
                  <w:pPr>
                    <w:pStyle w:val="25"/>
                    <w:rPr>
                      <w:color w:val="000000"/>
                      <w:highlight w:val="none"/>
                    </w:rPr>
                  </w:pPr>
                  <w:r>
                    <w:rPr>
                      <w:color w:val="000000"/>
                      <w:highlight w:val="none"/>
                    </w:rPr>
                    <w:t>2</w:t>
                  </w:r>
                </w:p>
              </w:tc>
              <w:tc>
                <w:tcPr>
                  <w:tcW w:w="1577" w:type="dxa"/>
                  <w:noWrap w:val="0"/>
                  <w:vAlign w:val="center"/>
                </w:tcPr>
                <w:p w14:paraId="77206449">
                  <w:pPr>
                    <w:pStyle w:val="25"/>
                    <w:rPr>
                      <w:color w:val="000000"/>
                      <w:highlight w:val="none"/>
                    </w:rPr>
                  </w:pPr>
                  <w:r>
                    <w:rPr>
                      <w:color w:val="000000"/>
                      <w:highlight w:val="none"/>
                    </w:rPr>
                    <w:t>/</w:t>
                  </w:r>
                </w:p>
              </w:tc>
            </w:tr>
            <w:tr w14:paraId="491C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2" w:type="dxa"/>
                  <w:gridSpan w:val="3"/>
                  <w:noWrap w:val="0"/>
                  <w:vAlign w:val="center"/>
                </w:tcPr>
                <w:p w14:paraId="573D6367">
                  <w:pPr>
                    <w:pStyle w:val="25"/>
                    <w:rPr>
                      <w:color w:val="000000"/>
                      <w:highlight w:val="none"/>
                    </w:rPr>
                  </w:pPr>
                  <w:r>
                    <w:rPr>
                      <w:color w:val="000000"/>
                      <w:highlight w:val="none"/>
                    </w:rPr>
                    <w:t>总计</w:t>
                  </w:r>
                </w:p>
              </w:tc>
              <w:tc>
                <w:tcPr>
                  <w:tcW w:w="1092" w:type="dxa"/>
                  <w:noWrap w:val="0"/>
                  <w:vAlign w:val="center"/>
                </w:tcPr>
                <w:p w14:paraId="6505AAF8">
                  <w:pPr>
                    <w:rPr>
                      <w:color w:val="000000"/>
                      <w:highlight w:val="none"/>
                    </w:rPr>
                  </w:pPr>
                  <w:r>
                    <w:rPr>
                      <w:rFonts w:hint="eastAsia"/>
                      <w:color w:val="000000"/>
                      <w:sz w:val="21"/>
                      <w:szCs w:val="21"/>
                      <w:highlight w:val="none"/>
                    </w:rPr>
                    <w:t>138</w:t>
                  </w:r>
                </w:p>
              </w:tc>
              <w:tc>
                <w:tcPr>
                  <w:tcW w:w="1577" w:type="dxa"/>
                  <w:noWrap w:val="0"/>
                  <w:vAlign w:val="center"/>
                </w:tcPr>
                <w:p w14:paraId="1326CEE5">
                  <w:pPr>
                    <w:pStyle w:val="25"/>
                    <w:rPr>
                      <w:color w:val="000000"/>
                      <w:highlight w:val="none"/>
                    </w:rPr>
                  </w:pPr>
                  <w:r>
                    <w:rPr>
                      <w:color w:val="000000"/>
                      <w:highlight w:val="none"/>
                    </w:rPr>
                    <w:t>/</w:t>
                  </w:r>
                </w:p>
              </w:tc>
            </w:tr>
          </w:tbl>
          <w:p w14:paraId="40CE3368">
            <w:pPr>
              <w:jc w:val="both"/>
              <w:rPr>
                <w:bCs/>
                <w:color w:val="000000"/>
                <w:spacing w:val="10"/>
                <w:highlight w:val="none"/>
              </w:rPr>
            </w:pPr>
          </w:p>
        </w:tc>
      </w:tr>
    </w:tbl>
    <w:p w14:paraId="7FD32D84">
      <w:pPr>
        <w:rPr>
          <w:color w:val="000000"/>
          <w:highlight w:val="none"/>
        </w:rPr>
        <w:sectPr>
          <w:pgSz w:w="11907" w:h="16840"/>
          <w:pgMar w:top="1440" w:right="1797" w:bottom="1440" w:left="1797" w:header="851" w:footer="1077" w:gutter="0"/>
          <w:cols w:space="720" w:num="1"/>
          <w:docGrid w:linePitch="312" w:charSpace="0"/>
        </w:sectPr>
      </w:pPr>
    </w:p>
    <w:p w14:paraId="5E7EDC87">
      <w:pPr>
        <w:pStyle w:val="14"/>
        <w:jc w:val="center"/>
        <w:outlineLvl w:val="0"/>
        <w:rPr>
          <w:rFonts w:ascii="Times New Roman" w:hAnsi="Times New Roman" w:eastAsia="黑体"/>
          <w:snapToGrid w:val="0"/>
          <w:color w:val="000000"/>
          <w:sz w:val="30"/>
          <w:szCs w:val="30"/>
          <w:highlight w:val="none"/>
        </w:rPr>
      </w:pPr>
      <w:r>
        <w:rPr>
          <w:rFonts w:ascii="Times New Roman" w:hAnsi="Times New Roman" w:eastAsia="黑体"/>
          <w:snapToGrid w:val="0"/>
          <w:color w:val="000000"/>
          <w:sz w:val="30"/>
          <w:szCs w:val="30"/>
          <w:highlight w:val="none"/>
        </w:rPr>
        <w:t>六、生态环境保护措施监督检查清单</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537"/>
        <w:gridCol w:w="2229"/>
        <w:gridCol w:w="912"/>
        <w:gridCol w:w="1514"/>
      </w:tblGrid>
      <w:tr w14:paraId="19B30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80" w:type="pct"/>
            <w:vMerge w:val="restart"/>
            <w:tcBorders>
              <w:tl2br w:val="single" w:color="auto" w:sz="4" w:space="0"/>
            </w:tcBorders>
            <w:noWrap w:val="0"/>
            <w:vAlign w:val="top"/>
          </w:tcPr>
          <w:p w14:paraId="036D6223">
            <w:pPr>
              <w:pStyle w:val="14"/>
              <w:spacing w:before="72" w:beforeLines="3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内容</w:t>
            </w:r>
          </w:p>
          <w:p w14:paraId="65E44705">
            <w:pPr>
              <w:pStyle w:val="14"/>
              <w:spacing w:before="72" w:beforeLines="30" w:beforeAutospacing="0" w:after="0" w:afterAutospacing="0"/>
              <w:jc w:val="center"/>
              <w:outlineLvl w:val="0"/>
              <w:rPr>
                <w:rFonts w:ascii="Times New Roman" w:hAnsi="Times New Roman"/>
                <w:color w:val="000000"/>
                <w:kern w:val="2"/>
                <w:sz w:val="21"/>
                <w:szCs w:val="21"/>
                <w:highlight w:val="none"/>
              </w:rPr>
            </w:pPr>
          </w:p>
          <w:p w14:paraId="36AA9468">
            <w:pPr>
              <w:pStyle w:val="14"/>
              <w:spacing w:before="0" w:beforeAutospacing="0" w:after="0" w:afterAutospacing="0"/>
              <w:jc w:val="center"/>
              <w:outlineLvl w:val="0"/>
              <w:rPr>
                <w:rFonts w:ascii="Times New Roman" w:hAnsi="Times New Roman"/>
                <w:color w:val="000000"/>
                <w:kern w:val="2"/>
                <w:sz w:val="21"/>
                <w:szCs w:val="21"/>
                <w:highlight w:val="none"/>
              </w:rPr>
            </w:pPr>
          </w:p>
          <w:p w14:paraId="0F046A07">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要素</w:t>
            </w:r>
          </w:p>
        </w:tc>
        <w:tc>
          <w:tcPr>
            <w:tcW w:w="2796" w:type="pct"/>
            <w:gridSpan w:val="2"/>
            <w:noWrap w:val="0"/>
            <w:vAlign w:val="center"/>
          </w:tcPr>
          <w:p w14:paraId="2DAAD195">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施工期</w:t>
            </w:r>
          </w:p>
        </w:tc>
        <w:tc>
          <w:tcPr>
            <w:tcW w:w="1423" w:type="pct"/>
            <w:gridSpan w:val="2"/>
            <w:noWrap w:val="0"/>
            <w:vAlign w:val="center"/>
          </w:tcPr>
          <w:p w14:paraId="3A6EDE25">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运营期</w:t>
            </w:r>
          </w:p>
        </w:tc>
      </w:tr>
      <w:tr w14:paraId="2BCCA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0" w:type="pct"/>
            <w:vMerge w:val="continue"/>
            <w:noWrap w:val="0"/>
            <w:vAlign w:val="top"/>
          </w:tcPr>
          <w:p w14:paraId="2840A828">
            <w:pPr>
              <w:pStyle w:val="14"/>
              <w:spacing w:before="0" w:beforeAutospacing="0" w:after="0" w:afterAutospacing="0"/>
              <w:jc w:val="center"/>
              <w:outlineLvl w:val="0"/>
              <w:rPr>
                <w:rFonts w:ascii="Times New Roman" w:hAnsi="Times New Roman"/>
                <w:color w:val="000000"/>
                <w:kern w:val="2"/>
                <w:sz w:val="21"/>
                <w:szCs w:val="21"/>
                <w:highlight w:val="none"/>
              </w:rPr>
            </w:pPr>
          </w:p>
        </w:tc>
        <w:tc>
          <w:tcPr>
            <w:tcW w:w="1488" w:type="pct"/>
            <w:noWrap w:val="0"/>
            <w:vAlign w:val="center"/>
          </w:tcPr>
          <w:p w14:paraId="56DB5C90">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环境保护措施</w:t>
            </w:r>
          </w:p>
        </w:tc>
        <w:tc>
          <w:tcPr>
            <w:tcW w:w="1307" w:type="pct"/>
            <w:noWrap w:val="0"/>
            <w:vAlign w:val="center"/>
          </w:tcPr>
          <w:p w14:paraId="710C2935">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验收要求</w:t>
            </w:r>
          </w:p>
        </w:tc>
        <w:tc>
          <w:tcPr>
            <w:tcW w:w="535" w:type="pct"/>
            <w:noWrap w:val="0"/>
            <w:vAlign w:val="center"/>
          </w:tcPr>
          <w:p w14:paraId="59770CC6">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环境保护措施</w:t>
            </w:r>
          </w:p>
        </w:tc>
        <w:tc>
          <w:tcPr>
            <w:tcW w:w="888" w:type="pct"/>
            <w:noWrap w:val="0"/>
            <w:vAlign w:val="center"/>
          </w:tcPr>
          <w:p w14:paraId="78D99D34">
            <w:pPr>
              <w:pStyle w:val="14"/>
              <w:spacing w:before="0" w:beforeAutospacing="0" w:after="0" w:afterAutospacing="0"/>
              <w:jc w:val="center"/>
              <w:outlineLvl w:val="0"/>
              <w:rPr>
                <w:rFonts w:ascii="Times New Roman" w:hAnsi="Times New Roman"/>
                <w:color w:val="000000"/>
                <w:kern w:val="2"/>
                <w:sz w:val="21"/>
                <w:szCs w:val="21"/>
                <w:highlight w:val="none"/>
              </w:rPr>
            </w:pPr>
            <w:r>
              <w:rPr>
                <w:rFonts w:ascii="Times New Roman" w:hAnsi="Times New Roman"/>
                <w:color w:val="000000"/>
                <w:kern w:val="2"/>
                <w:sz w:val="21"/>
                <w:szCs w:val="21"/>
                <w:highlight w:val="none"/>
              </w:rPr>
              <w:t>验收要求</w:t>
            </w:r>
          </w:p>
        </w:tc>
      </w:tr>
      <w:tr w14:paraId="49933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0" w:type="pct"/>
            <w:noWrap w:val="0"/>
            <w:vAlign w:val="center"/>
          </w:tcPr>
          <w:p w14:paraId="28F2318A">
            <w:pPr>
              <w:rPr>
                <w:color w:val="000000"/>
                <w:sz w:val="21"/>
                <w:szCs w:val="21"/>
                <w:highlight w:val="none"/>
              </w:rPr>
            </w:pPr>
            <w:r>
              <w:rPr>
                <w:color w:val="000000"/>
                <w:sz w:val="21"/>
                <w:szCs w:val="21"/>
                <w:highlight w:val="none"/>
              </w:rPr>
              <w:t>陆生生态</w:t>
            </w:r>
          </w:p>
        </w:tc>
        <w:tc>
          <w:tcPr>
            <w:tcW w:w="1488" w:type="pct"/>
            <w:noWrap w:val="0"/>
            <w:vAlign w:val="center"/>
          </w:tcPr>
          <w:p w14:paraId="3EE8A8DE">
            <w:pPr>
              <w:rPr>
                <w:color w:val="000000"/>
                <w:kern w:val="0"/>
                <w:sz w:val="21"/>
                <w:szCs w:val="21"/>
                <w:highlight w:val="none"/>
              </w:rPr>
            </w:pPr>
            <w:r>
              <w:rPr>
                <w:color w:val="000000"/>
                <w:kern w:val="0"/>
                <w:sz w:val="21"/>
                <w:szCs w:val="21"/>
                <w:highlight w:val="none"/>
              </w:rPr>
              <w:t>临时占地清理平整，植被自然恢复</w:t>
            </w:r>
          </w:p>
        </w:tc>
        <w:tc>
          <w:tcPr>
            <w:tcW w:w="1307" w:type="pct"/>
            <w:noWrap w:val="0"/>
            <w:vAlign w:val="center"/>
          </w:tcPr>
          <w:p w14:paraId="329F57FE">
            <w:pPr>
              <w:rPr>
                <w:color w:val="000000"/>
                <w:sz w:val="21"/>
                <w:szCs w:val="21"/>
                <w:highlight w:val="none"/>
              </w:rPr>
            </w:pPr>
            <w:r>
              <w:rPr>
                <w:color w:val="000000"/>
                <w:kern w:val="0"/>
                <w:sz w:val="21"/>
                <w:szCs w:val="21"/>
                <w:highlight w:val="none"/>
              </w:rPr>
              <w:t>临时占地清理平整，植被自然恢复</w:t>
            </w:r>
          </w:p>
        </w:tc>
        <w:tc>
          <w:tcPr>
            <w:tcW w:w="535" w:type="pct"/>
            <w:noWrap w:val="0"/>
            <w:vAlign w:val="center"/>
          </w:tcPr>
          <w:p w14:paraId="4F66196E">
            <w:pPr>
              <w:rPr>
                <w:color w:val="000000"/>
                <w:sz w:val="21"/>
                <w:szCs w:val="21"/>
                <w:highlight w:val="none"/>
              </w:rPr>
            </w:pPr>
            <w:r>
              <w:rPr>
                <w:color w:val="000000"/>
                <w:sz w:val="21"/>
                <w:szCs w:val="21"/>
                <w:highlight w:val="none"/>
              </w:rPr>
              <w:t>-</w:t>
            </w:r>
          </w:p>
        </w:tc>
        <w:tc>
          <w:tcPr>
            <w:tcW w:w="888" w:type="pct"/>
            <w:noWrap w:val="0"/>
            <w:vAlign w:val="center"/>
          </w:tcPr>
          <w:p w14:paraId="4A610AB0">
            <w:pPr>
              <w:rPr>
                <w:color w:val="000000"/>
                <w:sz w:val="21"/>
                <w:szCs w:val="21"/>
                <w:highlight w:val="none"/>
              </w:rPr>
            </w:pPr>
            <w:r>
              <w:rPr>
                <w:color w:val="000000"/>
                <w:sz w:val="21"/>
                <w:szCs w:val="21"/>
                <w:highlight w:val="none"/>
              </w:rPr>
              <w:t>-</w:t>
            </w:r>
          </w:p>
        </w:tc>
      </w:tr>
      <w:tr w14:paraId="6C457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pct"/>
            <w:noWrap w:val="0"/>
            <w:vAlign w:val="center"/>
          </w:tcPr>
          <w:p w14:paraId="45D7B190">
            <w:pPr>
              <w:rPr>
                <w:color w:val="000000"/>
                <w:sz w:val="21"/>
                <w:szCs w:val="21"/>
                <w:highlight w:val="none"/>
              </w:rPr>
            </w:pPr>
            <w:r>
              <w:rPr>
                <w:color w:val="000000"/>
                <w:sz w:val="21"/>
                <w:szCs w:val="21"/>
                <w:highlight w:val="none"/>
              </w:rPr>
              <w:t>水生生态</w:t>
            </w:r>
          </w:p>
        </w:tc>
        <w:tc>
          <w:tcPr>
            <w:tcW w:w="1488" w:type="pct"/>
            <w:noWrap w:val="0"/>
            <w:vAlign w:val="center"/>
          </w:tcPr>
          <w:p w14:paraId="2EF9533B">
            <w:pPr>
              <w:rPr>
                <w:color w:val="000000"/>
                <w:sz w:val="21"/>
                <w:szCs w:val="21"/>
                <w:highlight w:val="none"/>
              </w:rPr>
            </w:pPr>
            <w:r>
              <w:rPr>
                <w:color w:val="000000"/>
                <w:sz w:val="21"/>
                <w:szCs w:val="21"/>
                <w:highlight w:val="none"/>
              </w:rPr>
              <w:t>-</w:t>
            </w:r>
          </w:p>
        </w:tc>
        <w:tc>
          <w:tcPr>
            <w:tcW w:w="1307" w:type="pct"/>
            <w:noWrap w:val="0"/>
            <w:vAlign w:val="center"/>
          </w:tcPr>
          <w:p w14:paraId="4A1BF0DA">
            <w:pPr>
              <w:rPr>
                <w:color w:val="000000"/>
                <w:sz w:val="21"/>
                <w:szCs w:val="21"/>
                <w:highlight w:val="none"/>
              </w:rPr>
            </w:pPr>
            <w:r>
              <w:rPr>
                <w:color w:val="000000"/>
                <w:sz w:val="21"/>
                <w:szCs w:val="21"/>
                <w:highlight w:val="none"/>
              </w:rPr>
              <w:t>-</w:t>
            </w:r>
          </w:p>
        </w:tc>
        <w:tc>
          <w:tcPr>
            <w:tcW w:w="535" w:type="pct"/>
            <w:noWrap w:val="0"/>
            <w:vAlign w:val="center"/>
          </w:tcPr>
          <w:p w14:paraId="587F6E94">
            <w:pPr>
              <w:rPr>
                <w:color w:val="000000"/>
                <w:sz w:val="21"/>
                <w:szCs w:val="21"/>
                <w:highlight w:val="none"/>
              </w:rPr>
            </w:pPr>
            <w:r>
              <w:rPr>
                <w:color w:val="000000"/>
                <w:sz w:val="21"/>
                <w:szCs w:val="21"/>
                <w:highlight w:val="none"/>
              </w:rPr>
              <w:t>-</w:t>
            </w:r>
          </w:p>
        </w:tc>
        <w:tc>
          <w:tcPr>
            <w:tcW w:w="888" w:type="pct"/>
            <w:noWrap w:val="0"/>
            <w:vAlign w:val="center"/>
          </w:tcPr>
          <w:p w14:paraId="0A8F279B">
            <w:pPr>
              <w:rPr>
                <w:color w:val="000000"/>
                <w:sz w:val="21"/>
                <w:szCs w:val="21"/>
                <w:highlight w:val="none"/>
              </w:rPr>
            </w:pPr>
            <w:r>
              <w:rPr>
                <w:color w:val="000000"/>
                <w:sz w:val="21"/>
                <w:szCs w:val="21"/>
                <w:highlight w:val="none"/>
              </w:rPr>
              <w:t>-</w:t>
            </w:r>
          </w:p>
        </w:tc>
      </w:tr>
      <w:tr w14:paraId="1124B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80" w:type="pct"/>
            <w:noWrap w:val="0"/>
            <w:vAlign w:val="center"/>
          </w:tcPr>
          <w:p w14:paraId="675EC910">
            <w:pPr>
              <w:rPr>
                <w:color w:val="000000"/>
                <w:sz w:val="21"/>
                <w:szCs w:val="21"/>
                <w:highlight w:val="none"/>
              </w:rPr>
            </w:pPr>
            <w:r>
              <w:rPr>
                <w:color w:val="000000"/>
                <w:sz w:val="21"/>
                <w:szCs w:val="21"/>
                <w:highlight w:val="none"/>
              </w:rPr>
              <w:t>地表水环境</w:t>
            </w:r>
          </w:p>
        </w:tc>
        <w:tc>
          <w:tcPr>
            <w:tcW w:w="1488" w:type="pct"/>
            <w:noWrap w:val="0"/>
            <w:vAlign w:val="center"/>
          </w:tcPr>
          <w:p w14:paraId="1C0098A6">
            <w:pPr>
              <w:rPr>
                <w:color w:val="000000"/>
                <w:sz w:val="21"/>
                <w:szCs w:val="21"/>
                <w:highlight w:val="none"/>
              </w:rPr>
            </w:pPr>
            <w:r>
              <w:rPr>
                <w:color w:val="000000"/>
                <w:sz w:val="21"/>
                <w:szCs w:val="21"/>
                <w:highlight w:val="none"/>
              </w:rPr>
              <w:t>-</w:t>
            </w:r>
          </w:p>
        </w:tc>
        <w:tc>
          <w:tcPr>
            <w:tcW w:w="1307" w:type="pct"/>
            <w:noWrap w:val="0"/>
            <w:vAlign w:val="center"/>
          </w:tcPr>
          <w:p w14:paraId="442E577F">
            <w:pPr>
              <w:rPr>
                <w:color w:val="000000"/>
                <w:sz w:val="21"/>
                <w:szCs w:val="21"/>
                <w:highlight w:val="none"/>
              </w:rPr>
            </w:pPr>
            <w:r>
              <w:rPr>
                <w:color w:val="000000"/>
                <w:sz w:val="21"/>
                <w:szCs w:val="21"/>
                <w:highlight w:val="none"/>
              </w:rPr>
              <w:t>-</w:t>
            </w:r>
          </w:p>
        </w:tc>
        <w:tc>
          <w:tcPr>
            <w:tcW w:w="535" w:type="pct"/>
            <w:noWrap w:val="0"/>
            <w:vAlign w:val="center"/>
          </w:tcPr>
          <w:p w14:paraId="29643B3C">
            <w:pPr>
              <w:rPr>
                <w:color w:val="000000"/>
                <w:sz w:val="21"/>
                <w:szCs w:val="21"/>
                <w:highlight w:val="none"/>
              </w:rPr>
            </w:pPr>
            <w:r>
              <w:rPr>
                <w:color w:val="000000"/>
                <w:sz w:val="21"/>
                <w:szCs w:val="21"/>
                <w:highlight w:val="none"/>
              </w:rPr>
              <w:t>-</w:t>
            </w:r>
          </w:p>
        </w:tc>
        <w:tc>
          <w:tcPr>
            <w:tcW w:w="888" w:type="pct"/>
            <w:noWrap w:val="0"/>
            <w:vAlign w:val="center"/>
          </w:tcPr>
          <w:p w14:paraId="4CD14F3B">
            <w:pPr>
              <w:rPr>
                <w:color w:val="000000"/>
                <w:sz w:val="21"/>
                <w:szCs w:val="21"/>
                <w:highlight w:val="none"/>
              </w:rPr>
            </w:pPr>
            <w:r>
              <w:rPr>
                <w:color w:val="000000"/>
                <w:sz w:val="21"/>
                <w:szCs w:val="21"/>
                <w:highlight w:val="none"/>
              </w:rPr>
              <w:t>-</w:t>
            </w:r>
          </w:p>
        </w:tc>
      </w:tr>
      <w:tr w14:paraId="05A53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pct"/>
            <w:vMerge w:val="restart"/>
            <w:noWrap w:val="0"/>
            <w:vAlign w:val="center"/>
          </w:tcPr>
          <w:p w14:paraId="01F581B4">
            <w:pPr>
              <w:rPr>
                <w:color w:val="000000"/>
                <w:sz w:val="21"/>
                <w:szCs w:val="21"/>
                <w:highlight w:val="none"/>
              </w:rPr>
            </w:pPr>
            <w:r>
              <w:rPr>
                <w:color w:val="000000"/>
                <w:sz w:val="21"/>
                <w:szCs w:val="21"/>
                <w:highlight w:val="none"/>
              </w:rPr>
              <w:t>地下水及土壤环境</w:t>
            </w:r>
          </w:p>
        </w:tc>
        <w:tc>
          <w:tcPr>
            <w:tcW w:w="1488" w:type="pct"/>
            <w:noWrap w:val="0"/>
            <w:vAlign w:val="center"/>
          </w:tcPr>
          <w:p w14:paraId="75C8F12E">
            <w:pPr>
              <w:rPr>
                <w:color w:val="000000"/>
                <w:sz w:val="21"/>
                <w:szCs w:val="21"/>
                <w:highlight w:val="none"/>
              </w:rPr>
            </w:pPr>
            <w:r>
              <w:rPr>
                <w:rFonts w:hint="eastAsia"/>
                <w:color w:val="000000"/>
                <w:sz w:val="21"/>
                <w:szCs w:val="21"/>
                <w:highlight w:val="none"/>
              </w:rPr>
              <w:t>井下作业废水</w:t>
            </w:r>
            <w:r>
              <w:rPr>
                <w:color w:val="000000"/>
                <w:sz w:val="21"/>
                <w:szCs w:val="21"/>
                <w:highlight w:val="none"/>
              </w:rPr>
              <w:t>、</w:t>
            </w:r>
            <w:r>
              <w:rPr>
                <w:color w:val="000000"/>
                <w:kern w:val="0"/>
                <w:sz w:val="21"/>
                <w:szCs w:val="21"/>
                <w:highlight w:val="none"/>
              </w:rPr>
              <w:t>压裂返排液</w:t>
            </w:r>
            <w:r>
              <w:rPr>
                <w:color w:val="000000"/>
                <w:sz w:val="21"/>
                <w:szCs w:val="21"/>
                <w:highlight w:val="none"/>
              </w:rPr>
              <w:t>：</w:t>
            </w:r>
            <w:r>
              <w:rPr>
                <w:color w:val="000000"/>
                <w:kern w:val="0"/>
                <w:sz w:val="21"/>
                <w:szCs w:val="21"/>
                <w:highlight w:val="none"/>
              </w:rPr>
              <w:t>作业单位自带回收罐回收，</w:t>
            </w:r>
            <w:r>
              <w:rPr>
                <w:rFonts w:hint="eastAsia"/>
                <w:color w:val="000000"/>
                <w:sz w:val="21"/>
                <w:szCs w:val="21"/>
                <w:highlight w:val="none"/>
              </w:rPr>
              <w:t>拉运至石西集中处理站</w:t>
            </w:r>
            <w:r>
              <w:rPr>
                <w:color w:val="000000"/>
                <w:sz w:val="21"/>
                <w:szCs w:val="21"/>
                <w:highlight w:val="none"/>
              </w:rPr>
              <w:t>修井废液池中后再回收至石西</w:t>
            </w:r>
            <w:r>
              <w:rPr>
                <w:rFonts w:hint="eastAsia"/>
                <w:color w:val="000000"/>
                <w:sz w:val="21"/>
                <w:szCs w:val="21"/>
                <w:highlight w:val="none"/>
              </w:rPr>
              <w:t>采出水处理</w:t>
            </w:r>
            <w:r>
              <w:rPr>
                <w:color w:val="000000"/>
                <w:sz w:val="21"/>
                <w:szCs w:val="21"/>
                <w:highlight w:val="none"/>
              </w:rPr>
              <w:t>系统</w:t>
            </w:r>
            <w:r>
              <w:rPr>
                <w:rFonts w:hint="eastAsia"/>
                <w:color w:val="000000"/>
                <w:sz w:val="21"/>
                <w:szCs w:val="21"/>
                <w:highlight w:val="none"/>
              </w:rPr>
              <w:t>处理，处理达标后用于回注油藏。</w:t>
            </w:r>
          </w:p>
        </w:tc>
        <w:tc>
          <w:tcPr>
            <w:tcW w:w="1307" w:type="pct"/>
            <w:noWrap w:val="0"/>
            <w:vAlign w:val="center"/>
          </w:tcPr>
          <w:p w14:paraId="16427B20">
            <w:pPr>
              <w:rPr>
                <w:color w:val="000000"/>
                <w:sz w:val="21"/>
                <w:szCs w:val="21"/>
                <w:highlight w:val="none"/>
              </w:rPr>
            </w:pPr>
            <w:r>
              <w:rPr>
                <w:rFonts w:hint="eastAsia"/>
                <w:color w:val="000000"/>
                <w:sz w:val="21"/>
                <w:szCs w:val="21"/>
                <w:highlight w:val="none"/>
              </w:rPr>
              <w:t>井下作业废水</w:t>
            </w:r>
            <w:r>
              <w:rPr>
                <w:color w:val="000000"/>
                <w:sz w:val="21"/>
                <w:szCs w:val="21"/>
                <w:highlight w:val="none"/>
              </w:rPr>
              <w:t>、压裂返排液：</w:t>
            </w:r>
            <w:r>
              <w:rPr>
                <w:color w:val="000000"/>
                <w:kern w:val="0"/>
                <w:sz w:val="21"/>
                <w:szCs w:val="21"/>
                <w:highlight w:val="none"/>
              </w:rPr>
              <w:t>作业单位自带回收罐回收，</w:t>
            </w:r>
            <w:r>
              <w:rPr>
                <w:rFonts w:hint="eastAsia"/>
                <w:color w:val="000000"/>
                <w:sz w:val="21"/>
                <w:szCs w:val="21"/>
                <w:highlight w:val="none"/>
              </w:rPr>
              <w:t>拉运至石西集中处理站修井废液池中后再回收至石西采出水处理系统处理，处理达标后用于回注油藏。</w:t>
            </w:r>
          </w:p>
        </w:tc>
        <w:tc>
          <w:tcPr>
            <w:tcW w:w="535" w:type="pct"/>
            <w:noWrap w:val="0"/>
            <w:vAlign w:val="center"/>
          </w:tcPr>
          <w:p w14:paraId="70D2F3D0">
            <w:pPr>
              <w:rPr>
                <w:color w:val="000000"/>
                <w:sz w:val="21"/>
                <w:szCs w:val="21"/>
                <w:highlight w:val="none"/>
              </w:rPr>
            </w:pPr>
            <w:r>
              <w:rPr>
                <w:color w:val="000000"/>
                <w:sz w:val="21"/>
                <w:szCs w:val="21"/>
                <w:highlight w:val="none"/>
              </w:rPr>
              <w:t>-</w:t>
            </w:r>
          </w:p>
        </w:tc>
        <w:tc>
          <w:tcPr>
            <w:tcW w:w="888" w:type="pct"/>
            <w:noWrap w:val="0"/>
            <w:vAlign w:val="center"/>
          </w:tcPr>
          <w:p w14:paraId="1286F0AC">
            <w:pPr>
              <w:rPr>
                <w:rFonts w:hint="eastAsia"/>
                <w:color w:val="000000"/>
                <w:sz w:val="21"/>
                <w:szCs w:val="21"/>
                <w:highlight w:val="none"/>
              </w:rPr>
            </w:pPr>
            <w:r>
              <w:rPr>
                <w:rFonts w:hint="eastAsia"/>
                <w:bCs/>
                <w:color w:val="000000"/>
                <w:sz w:val="21"/>
                <w:szCs w:val="21"/>
                <w:highlight w:val="none"/>
              </w:rPr>
              <w:t>不外排</w:t>
            </w:r>
          </w:p>
        </w:tc>
      </w:tr>
      <w:tr w14:paraId="003DF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80" w:type="pct"/>
            <w:vMerge w:val="continue"/>
            <w:noWrap w:val="0"/>
            <w:vAlign w:val="center"/>
          </w:tcPr>
          <w:p w14:paraId="58AD1BA2">
            <w:pPr>
              <w:rPr>
                <w:color w:val="000000"/>
                <w:sz w:val="21"/>
                <w:szCs w:val="21"/>
                <w:highlight w:val="none"/>
              </w:rPr>
            </w:pPr>
          </w:p>
        </w:tc>
        <w:tc>
          <w:tcPr>
            <w:tcW w:w="1488" w:type="pct"/>
            <w:noWrap w:val="0"/>
            <w:vAlign w:val="center"/>
          </w:tcPr>
          <w:p w14:paraId="05A29AAC">
            <w:pPr>
              <w:rPr>
                <w:color w:val="000000"/>
                <w:sz w:val="21"/>
                <w:szCs w:val="21"/>
                <w:highlight w:val="none"/>
              </w:rPr>
            </w:pPr>
            <w:r>
              <w:rPr>
                <w:color w:val="000000"/>
                <w:sz w:val="21"/>
                <w:szCs w:val="21"/>
                <w:highlight w:val="none"/>
              </w:rPr>
              <w:t>生活污水：</w:t>
            </w:r>
            <w:r>
              <w:rPr>
                <w:color w:val="000000"/>
                <w:kern w:val="0"/>
                <w:sz w:val="21"/>
                <w:szCs w:val="21"/>
                <w:highlight w:val="none"/>
              </w:rPr>
              <w:t>排入防渗污水收集池，定期拉运至</w:t>
            </w:r>
            <w:r>
              <w:rPr>
                <w:rFonts w:hint="eastAsia"/>
                <w:color w:val="000000"/>
                <w:kern w:val="0"/>
                <w:sz w:val="21"/>
                <w:szCs w:val="21"/>
                <w:highlight w:val="none"/>
              </w:rPr>
              <w:t>石西集中处理站采出</w:t>
            </w:r>
            <w:r>
              <w:rPr>
                <w:color w:val="000000"/>
                <w:kern w:val="0"/>
                <w:sz w:val="21"/>
                <w:szCs w:val="21"/>
                <w:highlight w:val="none"/>
              </w:rPr>
              <w:t>水处理系统处理</w:t>
            </w:r>
          </w:p>
        </w:tc>
        <w:tc>
          <w:tcPr>
            <w:tcW w:w="1307" w:type="pct"/>
            <w:noWrap w:val="0"/>
            <w:vAlign w:val="center"/>
          </w:tcPr>
          <w:p w14:paraId="25DC2FFB">
            <w:pPr>
              <w:rPr>
                <w:color w:val="000000"/>
                <w:sz w:val="21"/>
                <w:szCs w:val="21"/>
                <w:highlight w:val="none"/>
              </w:rPr>
            </w:pPr>
            <w:r>
              <w:rPr>
                <w:color w:val="000000"/>
                <w:sz w:val="21"/>
                <w:szCs w:val="21"/>
                <w:highlight w:val="none"/>
              </w:rPr>
              <w:t>生活污水：</w:t>
            </w:r>
            <w:r>
              <w:rPr>
                <w:color w:val="000000"/>
                <w:kern w:val="0"/>
                <w:sz w:val="21"/>
                <w:szCs w:val="21"/>
                <w:highlight w:val="none"/>
              </w:rPr>
              <w:t>排入防渗污水收集池，定期拉运至</w:t>
            </w:r>
            <w:r>
              <w:rPr>
                <w:rFonts w:hint="eastAsia"/>
                <w:color w:val="000000"/>
                <w:kern w:val="0"/>
                <w:sz w:val="21"/>
                <w:szCs w:val="21"/>
                <w:highlight w:val="none"/>
              </w:rPr>
              <w:t>石西集中处理站采出</w:t>
            </w:r>
            <w:r>
              <w:rPr>
                <w:color w:val="000000"/>
                <w:kern w:val="0"/>
                <w:sz w:val="21"/>
                <w:szCs w:val="21"/>
                <w:highlight w:val="none"/>
              </w:rPr>
              <w:t>水处理系统处理</w:t>
            </w:r>
          </w:p>
        </w:tc>
        <w:tc>
          <w:tcPr>
            <w:tcW w:w="535" w:type="pct"/>
            <w:noWrap w:val="0"/>
            <w:vAlign w:val="center"/>
          </w:tcPr>
          <w:p w14:paraId="0E5F12E0">
            <w:pPr>
              <w:rPr>
                <w:color w:val="000000"/>
                <w:sz w:val="21"/>
                <w:szCs w:val="21"/>
                <w:highlight w:val="none"/>
              </w:rPr>
            </w:pPr>
            <w:r>
              <w:rPr>
                <w:color w:val="000000"/>
                <w:sz w:val="21"/>
                <w:szCs w:val="21"/>
                <w:highlight w:val="none"/>
              </w:rPr>
              <w:t>-</w:t>
            </w:r>
          </w:p>
        </w:tc>
        <w:tc>
          <w:tcPr>
            <w:tcW w:w="888" w:type="pct"/>
            <w:noWrap w:val="0"/>
            <w:vAlign w:val="center"/>
          </w:tcPr>
          <w:p w14:paraId="72A25973">
            <w:pPr>
              <w:rPr>
                <w:color w:val="000000"/>
                <w:sz w:val="21"/>
                <w:szCs w:val="21"/>
                <w:highlight w:val="none"/>
              </w:rPr>
            </w:pPr>
            <w:r>
              <w:rPr>
                <w:bCs/>
                <w:color w:val="000000"/>
                <w:sz w:val="21"/>
                <w:szCs w:val="21"/>
                <w:highlight w:val="none"/>
              </w:rPr>
              <w:t>《污水综合排放标准》（GB8978-1996）表4三级标准</w:t>
            </w:r>
          </w:p>
        </w:tc>
      </w:tr>
      <w:tr w14:paraId="6B80C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pct"/>
            <w:vMerge w:val="continue"/>
            <w:noWrap w:val="0"/>
            <w:vAlign w:val="center"/>
          </w:tcPr>
          <w:p w14:paraId="3C6EE33D">
            <w:pPr>
              <w:rPr>
                <w:color w:val="000000"/>
                <w:sz w:val="21"/>
                <w:szCs w:val="21"/>
                <w:highlight w:val="none"/>
              </w:rPr>
            </w:pPr>
          </w:p>
        </w:tc>
        <w:tc>
          <w:tcPr>
            <w:tcW w:w="1488" w:type="pct"/>
            <w:noWrap w:val="0"/>
            <w:vAlign w:val="center"/>
          </w:tcPr>
          <w:p w14:paraId="0D93F882">
            <w:pPr>
              <w:rPr>
                <w:color w:val="000000"/>
                <w:sz w:val="21"/>
                <w:szCs w:val="21"/>
                <w:highlight w:val="none"/>
              </w:rPr>
            </w:pPr>
            <w:r>
              <w:rPr>
                <w:color w:val="000000"/>
                <w:sz w:val="21"/>
                <w:szCs w:val="21"/>
                <w:highlight w:val="none"/>
              </w:rPr>
              <w:t>应严格控制临时占地面积，减少土壤扰动。施工机械及运输车辆应按规定的道路行驶，减少对土壤的碾压。施工产生固体废物集中收集并及时清运，防止污染土壤。</w:t>
            </w:r>
            <w:r>
              <w:rPr>
                <w:rFonts w:hint="eastAsia"/>
                <w:color w:val="000000"/>
                <w:sz w:val="21"/>
                <w:szCs w:val="21"/>
                <w:highlight w:val="none"/>
              </w:rPr>
              <w:t>试油</w:t>
            </w:r>
            <w:r>
              <w:rPr>
                <w:color w:val="000000"/>
                <w:sz w:val="21"/>
                <w:szCs w:val="21"/>
                <w:highlight w:val="none"/>
              </w:rPr>
              <w:t>作业铺垫防渗膜，防止油泥落地污染土壤</w:t>
            </w:r>
          </w:p>
        </w:tc>
        <w:tc>
          <w:tcPr>
            <w:tcW w:w="1307" w:type="pct"/>
            <w:noWrap w:val="0"/>
            <w:vAlign w:val="center"/>
          </w:tcPr>
          <w:p w14:paraId="3C476549">
            <w:pPr>
              <w:rPr>
                <w:color w:val="000000"/>
                <w:sz w:val="21"/>
                <w:szCs w:val="21"/>
                <w:highlight w:val="none"/>
              </w:rPr>
            </w:pPr>
            <w:r>
              <w:rPr>
                <w:color w:val="000000"/>
                <w:sz w:val="21"/>
                <w:szCs w:val="21"/>
                <w:highlight w:val="none"/>
              </w:rPr>
              <w:t>是否造成土壤污染</w:t>
            </w:r>
          </w:p>
        </w:tc>
        <w:tc>
          <w:tcPr>
            <w:tcW w:w="535" w:type="pct"/>
            <w:noWrap w:val="0"/>
            <w:vAlign w:val="center"/>
          </w:tcPr>
          <w:p w14:paraId="62B4682A">
            <w:pPr>
              <w:rPr>
                <w:rFonts w:hint="eastAsia"/>
                <w:color w:val="000000"/>
                <w:sz w:val="21"/>
                <w:szCs w:val="21"/>
                <w:highlight w:val="none"/>
              </w:rPr>
            </w:pPr>
            <w:r>
              <w:rPr>
                <w:rFonts w:hint="eastAsia"/>
                <w:color w:val="000000"/>
                <w:sz w:val="21"/>
                <w:szCs w:val="21"/>
                <w:highlight w:val="none"/>
              </w:rPr>
              <w:t>-</w:t>
            </w:r>
          </w:p>
        </w:tc>
        <w:tc>
          <w:tcPr>
            <w:tcW w:w="888" w:type="pct"/>
            <w:noWrap w:val="0"/>
            <w:vAlign w:val="center"/>
          </w:tcPr>
          <w:p w14:paraId="7A515121">
            <w:pPr>
              <w:rPr>
                <w:rFonts w:hint="eastAsia"/>
                <w:color w:val="000000"/>
                <w:sz w:val="21"/>
                <w:szCs w:val="21"/>
                <w:highlight w:val="none"/>
              </w:rPr>
            </w:pPr>
            <w:r>
              <w:rPr>
                <w:rFonts w:hint="eastAsia"/>
                <w:color w:val="000000"/>
                <w:sz w:val="21"/>
                <w:szCs w:val="21"/>
                <w:highlight w:val="none"/>
              </w:rPr>
              <w:t>-</w:t>
            </w:r>
          </w:p>
        </w:tc>
      </w:tr>
      <w:tr w14:paraId="18249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0" w:type="pct"/>
            <w:noWrap w:val="0"/>
            <w:vAlign w:val="center"/>
          </w:tcPr>
          <w:p w14:paraId="732802F8">
            <w:pPr>
              <w:rPr>
                <w:color w:val="000000"/>
                <w:sz w:val="21"/>
                <w:szCs w:val="21"/>
                <w:highlight w:val="none"/>
              </w:rPr>
            </w:pPr>
            <w:r>
              <w:rPr>
                <w:color w:val="000000"/>
                <w:sz w:val="21"/>
                <w:szCs w:val="21"/>
                <w:highlight w:val="none"/>
              </w:rPr>
              <w:t>声环境</w:t>
            </w:r>
          </w:p>
        </w:tc>
        <w:tc>
          <w:tcPr>
            <w:tcW w:w="1488" w:type="pct"/>
            <w:noWrap w:val="0"/>
            <w:vAlign w:val="center"/>
          </w:tcPr>
          <w:p w14:paraId="2CE9CCB5">
            <w:pPr>
              <w:rPr>
                <w:color w:val="000000"/>
                <w:sz w:val="21"/>
                <w:szCs w:val="21"/>
                <w:highlight w:val="none"/>
              </w:rPr>
            </w:pPr>
            <w:r>
              <w:rPr>
                <w:color w:val="000000"/>
                <w:sz w:val="21"/>
                <w:szCs w:val="21"/>
                <w:highlight w:val="none"/>
              </w:rPr>
              <w:t>高噪声设备采取基础减振、隔声措施</w:t>
            </w:r>
          </w:p>
        </w:tc>
        <w:tc>
          <w:tcPr>
            <w:tcW w:w="1307" w:type="pct"/>
            <w:noWrap w:val="0"/>
            <w:vAlign w:val="center"/>
          </w:tcPr>
          <w:p w14:paraId="3E485E03">
            <w:pPr>
              <w:rPr>
                <w:color w:val="000000"/>
                <w:sz w:val="21"/>
                <w:szCs w:val="21"/>
                <w:highlight w:val="none"/>
              </w:rPr>
            </w:pPr>
            <w:r>
              <w:rPr>
                <w:color w:val="000000"/>
                <w:sz w:val="21"/>
                <w:szCs w:val="21"/>
                <w:highlight w:val="none"/>
              </w:rPr>
              <w:t>高噪声设备采取基础减振、隔声措施</w:t>
            </w:r>
          </w:p>
        </w:tc>
        <w:tc>
          <w:tcPr>
            <w:tcW w:w="535" w:type="pct"/>
            <w:noWrap w:val="0"/>
            <w:vAlign w:val="center"/>
          </w:tcPr>
          <w:p w14:paraId="5B04E3A6">
            <w:pPr>
              <w:rPr>
                <w:color w:val="000000"/>
                <w:sz w:val="21"/>
                <w:szCs w:val="21"/>
                <w:highlight w:val="none"/>
              </w:rPr>
            </w:pPr>
            <w:r>
              <w:rPr>
                <w:color w:val="000000"/>
                <w:sz w:val="21"/>
                <w:szCs w:val="21"/>
                <w:highlight w:val="none"/>
              </w:rPr>
              <w:t>-</w:t>
            </w:r>
          </w:p>
        </w:tc>
        <w:tc>
          <w:tcPr>
            <w:tcW w:w="888" w:type="pct"/>
            <w:noWrap w:val="0"/>
            <w:vAlign w:val="center"/>
          </w:tcPr>
          <w:p w14:paraId="21ADF113">
            <w:pPr>
              <w:rPr>
                <w:color w:val="000000"/>
                <w:sz w:val="21"/>
                <w:szCs w:val="21"/>
                <w:highlight w:val="none"/>
              </w:rPr>
            </w:pPr>
            <w:r>
              <w:rPr>
                <w:color w:val="000000"/>
                <w:sz w:val="21"/>
                <w:szCs w:val="21"/>
                <w:highlight w:val="none"/>
              </w:rPr>
              <w:t>-</w:t>
            </w:r>
          </w:p>
        </w:tc>
      </w:tr>
      <w:tr w14:paraId="1F2F7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0" w:type="pct"/>
            <w:noWrap w:val="0"/>
            <w:vAlign w:val="center"/>
          </w:tcPr>
          <w:p w14:paraId="1EEE89DC">
            <w:pPr>
              <w:rPr>
                <w:color w:val="000000"/>
                <w:sz w:val="21"/>
                <w:szCs w:val="21"/>
                <w:highlight w:val="none"/>
              </w:rPr>
            </w:pPr>
            <w:r>
              <w:rPr>
                <w:color w:val="000000"/>
                <w:sz w:val="21"/>
                <w:szCs w:val="21"/>
                <w:highlight w:val="none"/>
              </w:rPr>
              <w:t>振动</w:t>
            </w:r>
          </w:p>
        </w:tc>
        <w:tc>
          <w:tcPr>
            <w:tcW w:w="1488" w:type="pct"/>
            <w:noWrap w:val="0"/>
            <w:vAlign w:val="center"/>
          </w:tcPr>
          <w:p w14:paraId="456C37B9">
            <w:pPr>
              <w:rPr>
                <w:color w:val="000000"/>
                <w:sz w:val="21"/>
                <w:szCs w:val="21"/>
                <w:highlight w:val="none"/>
              </w:rPr>
            </w:pPr>
            <w:r>
              <w:rPr>
                <w:color w:val="000000"/>
                <w:sz w:val="21"/>
                <w:szCs w:val="21"/>
                <w:highlight w:val="none"/>
              </w:rPr>
              <w:t>-</w:t>
            </w:r>
          </w:p>
        </w:tc>
        <w:tc>
          <w:tcPr>
            <w:tcW w:w="1307" w:type="pct"/>
            <w:noWrap w:val="0"/>
            <w:vAlign w:val="center"/>
          </w:tcPr>
          <w:p w14:paraId="61246BF4">
            <w:pPr>
              <w:rPr>
                <w:color w:val="000000"/>
                <w:sz w:val="21"/>
                <w:szCs w:val="21"/>
                <w:highlight w:val="none"/>
              </w:rPr>
            </w:pPr>
            <w:r>
              <w:rPr>
                <w:color w:val="000000"/>
                <w:sz w:val="21"/>
                <w:szCs w:val="21"/>
                <w:highlight w:val="none"/>
              </w:rPr>
              <w:t>-</w:t>
            </w:r>
          </w:p>
        </w:tc>
        <w:tc>
          <w:tcPr>
            <w:tcW w:w="535" w:type="pct"/>
            <w:noWrap w:val="0"/>
            <w:vAlign w:val="center"/>
          </w:tcPr>
          <w:p w14:paraId="5BDB0D6F">
            <w:pPr>
              <w:rPr>
                <w:color w:val="000000"/>
                <w:sz w:val="21"/>
                <w:szCs w:val="21"/>
                <w:highlight w:val="none"/>
              </w:rPr>
            </w:pPr>
            <w:r>
              <w:rPr>
                <w:color w:val="000000"/>
                <w:sz w:val="21"/>
                <w:szCs w:val="21"/>
                <w:highlight w:val="none"/>
              </w:rPr>
              <w:t>-</w:t>
            </w:r>
          </w:p>
        </w:tc>
        <w:tc>
          <w:tcPr>
            <w:tcW w:w="888" w:type="pct"/>
            <w:noWrap w:val="0"/>
            <w:vAlign w:val="center"/>
          </w:tcPr>
          <w:p w14:paraId="7AF57DA1">
            <w:pPr>
              <w:rPr>
                <w:color w:val="000000"/>
                <w:sz w:val="21"/>
                <w:szCs w:val="21"/>
                <w:highlight w:val="none"/>
              </w:rPr>
            </w:pPr>
            <w:r>
              <w:rPr>
                <w:color w:val="000000"/>
                <w:sz w:val="21"/>
                <w:szCs w:val="21"/>
                <w:highlight w:val="none"/>
              </w:rPr>
              <w:t>-</w:t>
            </w:r>
          </w:p>
        </w:tc>
      </w:tr>
      <w:tr w14:paraId="25AC9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0" w:type="pct"/>
            <w:vMerge w:val="restart"/>
            <w:noWrap w:val="0"/>
            <w:vAlign w:val="center"/>
          </w:tcPr>
          <w:p w14:paraId="0B83C523">
            <w:pPr>
              <w:rPr>
                <w:color w:val="000000"/>
                <w:sz w:val="21"/>
                <w:szCs w:val="21"/>
                <w:highlight w:val="none"/>
              </w:rPr>
            </w:pPr>
            <w:r>
              <w:rPr>
                <w:color w:val="000000"/>
                <w:sz w:val="21"/>
                <w:szCs w:val="21"/>
                <w:highlight w:val="none"/>
              </w:rPr>
              <w:t>大气环境</w:t>
            </w:r>
          </w:p>
        </w:tc>
        <w:tc>
          <w:tcPr>
            <w:tcW w:w="1488" w:type="pct"/>
            <w:noWrap w:val="0"/>
            <w:vAlign w:val="center"/>
          </w:tcPr>
          <w:p w14:paraId="4ABFDE50">
            <w:pPr>
              <w:rPr>
                <w:color w:val="000000"/>
                <w:sz w:val="21"/>
                <w:szCs w:val="21"/>
                <w:highlight w:val="none"/>
              </w:rPr>
            </w:pPr>
            <w:r>
              <w:rPr>
                <w:color w:val="000000"/>
                <w:sz w:val="21"/>
                <w:szCs w:val="21"/>
                <w:highlight w:val="none"/>
              </w:rPr>
              <w:t>柴油废气：使用达标柴油，加强设备维护</w:t>
            </w:r>
          </w:p>
        </w:tc>
        <w:tc>
          <w:tcPr>
            <w:tcW w:w="1307" w:type="pct"/>
            <w:noWrap w:val="0"/>
            <w:vAlign w:val="center"/>
          </w:tcPr>
          <w:p w14:paraId="0C5252A2">
            <w:pPr>
              <w:rPr>
                <w:color w:val="000000"/>
                <w:sz w:val="21"/>
                <w:szCs w:val="21"/>
                <w:highlight w:val="none"/>
              </w:rPr>
            </w:pPr>
            <w:r>
              <w:rPr>
                <w:color w:val="000000"/>
                <w:sz w:val="21"/>
                <w:szCs w:val="21"/>
                <w:highlight w:val="none"/>
              </w:rPr>
              <w:t>柴油废气：使用达标柴油，加强设备维护</w:t>
            </w:r>
          </w:p>
        </w:tc>
        <w:tc>
          <w:tcPr>
            <w:tcW w:w="535" w:type="pct"/>
            <w:noWrap w:val="0"/>
            <w:vAlign w:val="center"/>
          </w:tcPr>
          <w:p w14:paraId="2A7E0036">
            <w:pPr>
              <w:rPr>
                <w:color w:val="000000"/>
                <w:sz w:val="21"/>
                <w:szCs w:val="21"/>
                <w:highlight w:val="none"/>
              </w:rPr>
            </w:pPr>
            <w:r>
              <w:rPr>
                <w:color w:val="000000"/>
                <w:sz w:val="21"/>
                <w:szCs w:val="21"/>
                <w:highlight w:val="none"/>
              </w:rPr>
              <w:t>-</w:t>
            </w:r>
          </w:p>
        </w:tc>
        <w:tc>
          <w:tcPr>
            <w:tcW w:w="888" w:type="pct"/>
            <w:noWrap w:val="0"/>
            <w:vAlign w:val="center"/>
          </w:tcPr>
          <w:p w14:paraId="325AFDDD">
            <w:pPr>
              <w:jc w:val="both"/>
              <w:rPr>
                <w:color w:val="000000"/>
                <w:sz w:val="21"/>
                <w:szCs w:val="21"/>
                <w:highlight w:val="none"/>
              </w:rPr>
            </w:pPr>
            <w:r>
              <w:rPr>
                <w:rFonts w:hint="eastAsia"/>
                <w:bCs/>
                <w:color w:val="000000"/>
                <w:sz w:val="21"/>
                <w:szCs w:val="21"/>
                <w:highlight w:val="none"/>
              </w:rPr>
              <w:t>《非道路柴油移动机械污染物排放控制技术要求》（HJ1014-2020）</w:t>
            </w:r>
          </w:p>
        </w:tc>
      </w:tr>
      <w:tr w14:paraId="17D46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0" w:type="pct"/>
            <w:vMerge w:val="continue"/>
            <w:noWrap w:val="0"/>
            <w:vAlign w:val="center"/>
          </w:tcPr>
          <w:p w14:paraId="0851788F">
            <w:pPr>
              <w:rPr>
                <w:color w:val="000000"/>
                <w:highlight w:val="none"/>
              </w:rPr>
            </w:pPr>
          </w:p>
        </w:tc>
        <w:tc>
          <w:tcPr>
            <w:tcW w:w="1488" w:type="pct"/>
            <w:noWrap w:val="0"/>
            <w:vAlign w:val="center"/>
          </w:tcPr>
          <w:p w14:paraId="5772F132">
            <w:pPr>
              <w:rPr>
                <w:color w:val="000000"/>
                <w:sz w:val="21"/>
                <w:szCs w:val="21"/>
                <w:highlight w:val="none"/>
              </w:rPr>
            </w:pPr>
            <w:r>
              <w:rPr>
                <w:color w:val="000000"/>
                <w:sz w:val="21"/>
                <w:szCs w:val="21"/>
                <w:highlight w:val="none"/>
              </w:rPr>
              <w:t>扬尘：对易起尘物料遮盖，加强车辆管理</w:t>
            </w:r>
          </w:p>
        </w:tc>
        <w:tc>
          <w:tcPr>
            <w:tcW w:w="1307" w:type="pct"/>
            <w:noWrap w:val="0"/>
            <w:vAlign w:val="center"/>
          </w:tcPr>
          <w:p w14:paraId="5C6890A9">
            <w:pPr>
              <w:rPr>
                <w:color w:val="000000"/>
                <w:sz w:val="21"/>
                <w:szCs w:val="21"/>
                <w:highlight w:val="none"/>
              </w:rPr>
            </w:pPr>
            <w:r>
              <w:rPr>
                <w:color w:val="000000"/>
                <w:sz w:val="21"/>
                <w:szCs w:val="21"/>
                <w:highlight w:val="none"/>
              </w:rPr>
              <w:t>扬尘：对易起尘物料遮盖，加强车辆管理</w:t>
            </w:r>
          </w:p>
        </w:tc>
        <w:tc>
          <w:tcPr>
            <w:tcW w:w="535" w:type="pct"/>
            <w:noWrap w:val="0"/>
            <w:vAlign w:val="center"/>
          </w:tcPr>
          <w:p w14:paraId="1D1C9178">
            <w:pPr>
              <w:rPr>
                <w:rFonts w:hint="eastAsia"/>
                <w:color w:val="000000"/>
                <w:sz w:val="21"/>
                <w:szCs w:val="21"/>
                <w:highlight w:val="none"/>
              </w:rPr>
            </w:pPr>
            <w:r>
              <w:rPr>
                <w:rFonts w:hint="eastAsia"/>
                <w:color w:val="000000"/>
                <w:sz w:val="21"/>
                <w:szCs w:val="21"/>
                <w:highlight w:val="none"/>
              </w:rPr>
              <w:t>-</w:t>
            </w:r>
          </w:p>
        </w:tc>
        <w:tc>
          <w:tcPr>
            <w:tcW w:w="888" w:type="pct"/>
            <w:vMerge w:val="restart"/>
            <w:noWrap w:val="0"/>
            <w:vAlign w:val="center"/>
          </w:tcPr>
          <w:p w14:paraId="22610875">
            <w:pPr>
              <w:rPr>
                <w:color w:val="000000"/>
                <w:sz w:val="21"/>
                <w:szCs w:val="21"/>
                <w:highlight w:val="none"/>
              </w:rPr>
            </w:pPr>
            <w:r>
              <w:rPr>
                <w:bCs/>
                <w:color w:val="000000"/>
                <w:sz w:val="21"/>
                <w:szCs w:val="21"/>
                <w:highlight w:val="none"/>
              </w:rPr>
              <w:t>《大气污染物综合排放标准》（GB16297-1996）</w:t>
            </w:r>
          </w:p>
        </w:tc>
      </w:tr>
      <w:tr w14:paraId="13F0C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80" w:type="pct"/>
            <w:vMerge w:val="continue"/>
            <w:noWrap w:val="0"/>
            <w:vAlign w:val="center"/>
          </w:tcPr>
          <w:p w14:paraId="379A8216">
            <w:pPr>
              <w:rPr>
                <w:color w:val="000000"/>
                <w:sz w:val="21"/>
                <w:szCs w:val="21"/>
                <w:highlight w:val="none"/>
              </w:rPr>
            </w:pPr>
          </w:p>
        </w:tc>
        <w:tc>
          <w:tcPr>
            <w:tcW w:w="1488" w:type="pct"/>
            <w:noWrap w:val="0"/>
            <w:vAlign w:val="center"/>
          </w:tcPr>
          <w:p w14:paraId="333AD819">
            <w:pPr>
              <w:rPr>
                <w:color w:val="000000"/>
                <w:sz w:val="21"/>
                <w:szCs w:val="21"/>
                <w:highlight w:val="none"/>
              </w:rPr>
            </w:pPr>
            <w:r>
              <w:rPr>
                <w:color w:val="000000"/>
                <w:sz w:val="21"/>
                <w:szCs w:val="21"/>
                <w:highlight w:val="none"/>
              </w:rPr>
              <w:t>伴生气：放散管燃放</w:t>
            </w:r>
          </w:p>
        </w:tc>
        <w:tc>
          <w:tcPr>
            <w:tcW w:w="1307" w:type="pct"/>
            <w:noWrap w:val="0"/>
            <w:vAlign w:val="center"/>
          </w:tcPr>
          <w:p w14:paraId="5B40830A">
            <w:pPr>
              <w:rPr>
                <w:color w:val="000000"/>
                <w:sz w:val="21"/>
                <w:szCs w:val="21"/>
                <w:highlight w:val="none"/>
              </w:rPr>
            </w:pPr>
            <w:r>
              <w:rPr>
                <w:color w:val="000000"/>
                <w:sz w:val="21"/>
                <w:szCs w:val="21"/>
                <w:highlight w:val="none"/>
              </w:rPr>
              <w:t>伴生气：放散管燃放</w:t>
            </w:r>
          </w:p>
        </w:tc>
        <w:tc>
          <w:tcPr>
            <w:tcW w:w="535" w:type="pct"/>
            <w:noWrap w:val="0"/>
            <w:vAlign w:val="center"/>
          </w:tcPr>
          <w:p w14:paraId="298DD3D7">
            <w:pPr>
              <w:rPr>
                <w:rFonts w:hint="eastAsia"/>
                <w:color w:val="000000"/>
                <w:sz w:val="21"/>
                <w:szCs w:val="21"/>
                <w:highlight w:val="none"/>
              </w:rPr>
            </w:pPr>
            <w:r>
              <w:rPr>
                <w:rFonts w:hint="eastAsia"/>
                <w:color w:val="000000"/>
                <w:sz w:val="21"/>
                <w:szCs w:val="21"/>
                <w:highlight w:val="none"/>
              </w:rPr>
              <w:t>-</w:t>
            </w:r>
          </w:p>
        </w:tc>
        <w:tc>
          <w:tcPr>
            <w:tcW w:w="888" w:type="pct"/>
            <w:vMerge w:val="continue"/>
            <w:noWrap w:val="0"/>
            <w:vAlign w:val="center"/>
          </w:tcPr>
          <w:p w14:paraId="40B6765F">
            <w:pPr>
              <w:rPr>
                <w:color w:val="000000"/>
                <w:sz w:val="21"/>
                <w:szCs w:val="21"/>
                <w:highlight w:val="none"/>
              </w:rPr>
            </w:pPr>
          </w:p>
        </w:tc>
      </w:tr>
      <w:tr w14:paraId="20BF4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80" w:type="pct"/>
            <w:vMerge w:val="continue"/>
            <w:noWrap w:val="0"/>
            <w:vAlign w:val="center"/>
          </w:tcPr>
          <w:p w14:paraId="46988E56">
            <w:pPr>
              <w:rPr>
                <w:color w:val="000000"/>
                <w:highlight w:val="none"/>
              </w:rPr>
            </w:pPr>
          </w:p>
        </w:tc>
        <w:tc>
          <w:tcPr>
            <w:tcW w:w="1488" w:type="pct"/>
            <w:noWrap w:val="0"/>
            <w:vAlign w:val="center"/>
          </w:tcPr>
          <w:p w14:paraId="2AD1C17F">
            <w:pPr>
              <w:rPr>
                <w:color w:val="000000"/>
                <w:sz w:val="21"/>
                <w:szCs w:val="21"/>
                <w:highlight w:val="none"/>
              </w:rPr>
            </w:pPr>
            <w:r>
              <w:rPr>
                <w:color w:val="000000"/>
                <w:sz w:val="21"/>
                <w:szCs w:val="21"/>
                <w:highlight w:val="none"/>
              </w:rPr>
              <w:t>临时储罐：无组织排放废气</w:t>
            </w:r>
          </w:p>
        </w:tc>
        <w:tc>
          <w:tcPr>
            <w:tcW w:w="1307" w:type="pct"/>
            <w:noWrap w:val="0"/>
            <w:vAlign w:val="center"/>
          </w:tcPr>
          <w:p w14:paraId="6617893B">
            <w:pPr>
              <w:rPr>
                <w:color w:val="000000"/>
                <w:sz w:val="21"/>
                <w:szCs w:val="21"/>
                <w:highlight w:val="none"/>
              </w:rPr>
            </w:pPr>
            <w:r>
              <w:rPr>
                <w:color w:val="000000"/>
                <w:sz w:val="21"/>
                <w:szCs w:val="21"/>
                <w:highlight w:val="none"/>
              </w:rPr>
              <w:t>临时储罐：无组织排放废气</w:t>
            </w:r>
          </w:p>
        </w:tc>
        <w:tc>
          <w:tcPr>
            <w:tcW w:w="535" w:type="pct"/>
            <w:noWrap w:val="0"/>
            <w:vAlign w:val="center"/>
          </w:tcPr>
          <w:p w14:paraId="52440254">
            <w:pPr>
              <w:rPr>
                <w:rFonts w:hint="eastAsia"/>
                <w:color w:val="000000"/>
                <w:sz w:val="21"/>
                <w:szCs w:val="21"/>
                <w:highlight w:val="none"/>
              </w:rPr>
            </w:pPr>
            <w:r>
              <w:rPr>
                <w:rFonts w:hint="eastAsia"/>
                <w:color w:val="000000"/>
                <w:sz w:val="21"/>
                <w:szCs w:val="21"/>
                <w:highlight w:val="none"/>
              </w:rPr>
              <w:t>-</w:t>
            </w:r>
          </w:p>
        </w:tc>
        <w:tc>
          <w:tcPr>
            <w:tcW w:w="888" w:type="pct"/>
            <w:noWrap w:val="0"/>
            <w:vAlign w:val="center"/>
          </w:tcPr>
          <w:p w14:paraId="5719BC84">
            <w:pPr>
              <w:rPr>
                <w:color w:val="000000"/>
                <w:sz w:val="21"/>
                <w:szCs w:val="21"/>
                <w:highlight w:val="none"/>
              </w:rPr>
            </w:pPr>
            <w:r>
              <w:rPr>
                <w:bCs/>
                <w:color w:val="000000"/>
                <w:sz w:val="21"/>
                <w:szCs w:val="21"/>
                <w:highlight w:val="none"/>
              </w:rPr>
              <w:t>《陆上石油天然气开采工业大气污染物排放标准》（GB39728-2020）</w:t>
            </w:r>
          </w:p>
        </w:tc>
      </w:tr>
      <w:tr w14:paraId="26A79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80" w:type="pct"/>
            <w:vMerge w:val="restart"/>
            <w:noWrap w:val="0"/>
            <w:vAlign w:val="center"/>
          </w:tcPr>
          <w:p w14:paraId="7C5F4683">
            <w:pPr>
              <w:jc w:val="both"/>
              <w:rPr>
                <w:color w:val="000000"/>
                <w:sz w:val="21"/>
                <w:szCs w:val="21"/>
                <w:highlight w:val="none"/>
              </w:rPr>
            </w:pPr>
            <w:r>
              <w:rPr>
                <w:color w:val="000000"/>
                <w:sz w:val="21"/>
                <w:szCs w:val="21"/>
                <w:highlight w:val="none"/>
              </w:rPr>
              <w:t>固体废物</w:t>
            </w:r>
          </w:p>
        </w:tc>
        <w:tc>
          <w:tcPr>
            <w:tcW w:w="1488" w:type="pct"/>
            <w:noWrap w:val="0"/>
            <w:vAlign w:val="center"/>
          </w:tcPr>
          <w:p w14:paraId="29359550">
            <w:pPr>
              <w:rPr>
                <w:color w:val="000000"/>
                <w:sz w:val="21"/>
                <w:szCs w:val="21"/>
                <w:highlight w:val="none"/>
              </w:rPr>
            </w:pPr>
            <w:r>
              <w:rPr>
                <w:color w:val="000000"/>
                <w:sz w:val="21"/>
                <w:szCs w:val="21"/>
                <w:highlight w:val="none"/>
              </w:rPr>
              <w:t>水基岩屑：放于井场岩屑储罐暂存，由第三方合规处置</w:t>
            </w:r>
          </w:p>
        </w:tc>
        <w:tc>
          <w:tcPr>
            <w:tcW w:w="1307" w:type="pct"/>
            <w:noWrap w:val="0"/>
            <w:vAlign w:val="center"/>
          </w:tcPr>
          <w:p w14:paraId="16DE6BC3">
            <w:pPr>
              <w:rPr>
                <w:color w:val="000000"/>
                <w:sz w:val="21"/>
                <w:szCs w:val="21"/>
                <w:highlight w:val="none"/>
              </w:rPr>
            </w:pPr>
            <w:r>
              <w:rPr>
                <w:color w:val="000000"/>
                <w:sz w:val="21"/>
                <w:szCs w:val="21"/>
                <w:highlight w:val="none"/>
              </w:rPr>
              <w:t>水基岩屑：放于井场岩屑储罐暂存，由第三方合规处置</w:t>
            </w:r>
          </w:p>
        </w:tc>
        <w:tc>
          <w:tcPr>
            <w:tcW w:w="535" w:type="pct"/>
            <w:noWrap w:val="0"/>
            <w:vAlign w:val="center"/>
          </w:tcPr>
          <w:p w14:paraId="23C5EF01">
            <w:pPr>
              <w:rPr>
                <w:color w:val="000000"/>
                <w:sz w:val="21"/>
                <w:szCs w:val="21"/>
                <w:highlight w:val="none"/>
              </w:rPr>
            </w:pPr>
          </w:p>
        </w:tc>
        <w:tc>
          <w:tcPr>
            <w:tcW w:w="888" w:type="pct"/>
            <w:noWrap w:val="0"/>
            <w:vAlign w:val="center"/>
          </w:tcPr>
          <w:p w14:paraId="659D0CB5">
            <w:pPr>
              <w:rPr>
                <w:rFonts w:hint="eastAsia"/>
                <w:color w:val="000000"/>
                <w:sz w:val="21"/>
                <w:szCs w:val="21"/>
                <w:highlight w:val="none"/>
              </w:rPr>
            </w:pPr>
            <w:r>
              <w:rPr>
                <w:rFonts w:hint="eastAsia"/>
                <w:color w:val="000000"/>
                <w:sz w:val="21"/>
                <w:szCs w:val="21"/>
                <w:highlight w:val="none"/>
              </w:rPr>
              <w:t>-</w:t>
            </w:r>
          </w:p>
        </w:tc>
      </w:tr>
      <w:tr w14:paraId="365E5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0" w:type="pct"/>
            <w:vMerge w:val="continue"/>
            <w:noWrap w:val="0"/>
            <w:vAlign w:val="center"/>
          </w:tcPr>
          <w:p w14:paraId="4BA04870">
            <w:pPr>
              <w:rPr>
                <w:color w:val="000000"/>
                <w:sz w:val="21"/>
                <w:szCs w:val="21"/>
                <w:highlight w:val="none"/>
              </w:rPr>
            </w:pPr>
          </w:p>
        </w:tc>
        <w:tc>
          <w:tcPr>
            <w:tcW w:w="1488" w:type="pct"/>
            <w:noWrap w:val="0"/>
            <w:vAlign w:val="center"/>
          </w:tcPr>
          <w:p w14:paraId="4CCA47D9">
            <w:pPr>
              <w:rPr>
                <w:color w:val="000000"/>
                <w:sz w:val="21"/>
                <w:szCs w:val="21"/>
                <w:highlight w:val="none"/>
              </w:rPr>
            </w:pPr>
            <w:r>
              <w:rPr>
                <w:color w:val="000000"/>
                <w:sz w:val="21"/>
                <w:szCs w:val="21"/>
                <w:highlight w:val="none"/>
              </w:rPr>
              <w:t>油基岩屑：由密封储罐收集，委托具有危废处置资质的单位转运及处置</w:t>
            </w:r>
          </w:p>
        </w:tc>
        <w:tc>
          <w:tcPr>
            <w:tcW w:w="1307" w:type="pct"/>
            <w:noWrap w:val="0"/>
            <w:vAlign w:val="center"/>
          </w:tcPr>
          <w:p w14:paraId="4E39D83D">
            <w:pPr>
              <w:rPr>
                <w:color w:val="000000"/>
                <w:sz w:val="21"/>
                <w:szCs w:val="21"/>
                <w:highlight w:val="none"/>
              </w:rPr>
            </w:pPr>
            <w:r>
              <w:rPr>
                <w:color w:val="000000"/>
                <w:sz w:val="21"/>
                <w:szCs w:val="21"/>
                <w:highlight w:val="none"/>
              </w:rPr>
              <w:t>油基岩屑：由密封储罐收集，委托具有危废处置资质的单位转运及处置</w:t>
            </w:r>
          </w:p>
        </w:tc>
        <w:tc>
          <w:tcPr>
            <w:tcW w:w="535" w:type="pct"/>
            <w:noWrap w:val="0"/>
            <w:vAlign w:val="center"/>
          </w:tcPr>
          <w:p w14:paraId="6DEBD94D">
            <w:pPr>
              <w:rPr>
                <w:color w:val="000000"/>
                <w:sz w:val="21"/>
                <w:szCs w:val="21"/>
                <w:highlight w:val="none"/>
              </w:rPr>
            </w:pPr>
            <w:r>
              <w:rPr>
                <w:color w:val="000000"/>
                <w:sz w:val="21"/>
                <w:szCs w:val="21"/>
                <w:highlight w:val="none"/>
              </w:rPr>
              <w:t>-</w:t>
            </w:r>
          </w:p>
        </w:tc>
        <w:tc>
          <w:tcPr>
            <w:tcW w:w="888" w:type="pct"/>
            <w:noWrap w:val="0"/>
            <w:vAlign w:val="center"/>
          </w:tcPr>
          <w:p w14:paraId="42DAF83F">
            <w:pPr>
              <w:rPr>
                <w:color w:val="000000"/>
                <w:sz w:val="21"/>
                <w:szCs w:val="21"/>
                <w:highlight w:val="none"/>
              </w:rPr>
            </w:pPr>
            <w:r>
              <w:rPr>
                <w:color w:val="000000"/>
                <w:sz w:val="21"/>
                <w:szCs w:val="21"/>
                <w:highlight w:val="none"/>
              </w:rPr>
              <w:t>《危险废物贮存污染控制标准》（GB 18597-2023）</w:t>
            </w:r>
          </w:p>
        </w:tc>
      </w:tr>
      <w:tr w14:paraId="1F15A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0" w:type="pct"/>
            <w:vMerge w:val="continue"/>
            <w:noWrap w:val="0"/>
            <w:vAlign w:val="center"/>
          </w:tcPr>
          <w:p w14:paraId="6E1A289D">
            <w:pPr>
              <w:rPr>
                <w:color w:val="000000"/>
                <w:sz w:val="21"/>
                <w:szCs w:val="21"/>
                <w:highlight w:val="none"/>
              </w:rPr>
            </w:pPr>
          </w:p>
        </w:tc>
        <w:tc>
          <w:tcPr>
            <w:tcW w:w="1488" w:type="pct"/>
            <w:noWrap w:val="0"/>
            <w:vAlign w:val="center"/>
          </w:tcPr>
          <w:p w14:paraId="4C45CAAE">
            <w:pPr>
              <w:rPr>
                <w:color w:val="000000"/>
                <w:sz w:val="21"/>
                <w:szCs w:val="21"/>
                <w:highlight w:val="none"/>
              </w:rPr>
            </w:pPr>
            <w:r>
              <w:rPr>
                <w:color w:val="000000"/>
                <w:sz w:val="21"/>
                <w:szCs w:val="21"/>
                <w:highlight w:val="none"/>
              </w:rPr>
              <w:t>机械设备废油、废弃防渗膜委托有资质单位处置</w:t>
            </w:r>
          </w:p>
        </w:tc>
        <w:tc>
          <w:tcPr>
            <w:tcW w:w="1307" w:type="pct"/>
            <w:noWrap w:val="0"/>
            <w:vAlign w:val="center"/>
          </w:tcPr>
          <w:p w14:paraId="7BA619E2">
            <w:pPr>
              <w:rPr>
                <w:color w:val="000000"/>
                <w:sz w:val="21"/>
                <w:szCs w:val="21"/>
                <w:highlight w:val="none"/>
              </w:rPr>
            </w:pPr>
            <w:r>
              <w:rPr>
                <w:color w:val="000000"/>
                <w:sz w:val="21"/>
                <w:szCs w:val="21"/>
                <w:highlight w:val="none"/>
              </w:rPr>
              <w:t>机械设备废油、废弃防渗膜委托有资质单位处置</w:t>
            </w:r>
          </w:p>
        </w:tc>
        <w:tc>
          <w:tcPr>
            <w:tcW w:w="535" w:type="pct"/>
            <w:vMerge w:val="restart"/>
            <w:noWrap w:val="0"/>
            <w:vAlign w:val="center"/>
          </w:tcPr>
          <w:p w14:paraId="52CAC4FA">
            <w:pPr>
              <w:rPr>
                <w:color w:val="000000"/>
                <w:sz w:val="21"/>
                <w:szCs w:val="21"/>
                <w:highlight w:val="none"/>
              </w:rPr>
            </w:pPr>
            <w:r>
              <w:rPr>
                <w:color w:val="000000"/>
                <w:sz w:val="21"/>
                <w:szCs w:val="21"/>
                <w:highlight w:val="none"/>
              </w:rPr>
              <w:t>-</w:t>
            </w:r>
          </w:p>
        </w:tc>
        <w:tc>
          <w:tcPr>
            <w:tcW w:w="888" w:type="pct"/>
            <w:noWrap w:val="0"/>
            <w:vAlign w:val="center"/>
          </w:tcPr>
          <w:p w14:paraId="138CAADA">
            <w:pPr>
              <w:rPr>
                <w:bCs/>
                <w:color w:val="000000"/>
                <w:sz w:val="21"/>
                <w:szCs w:val="21"/>
                <w:highlight w:val="none"/>
              </w:rPr>
            </w:pPr>
            <w:r>
              <w:rPr>
                <w:color w:val="000000"/>
                <w:sz w:val="21"/>
                <w:szCs w:val="21"/>
                <w:highlight w:val="none"/>
              </w:rPr>
              <w:t>《危险废物贮存污染控制标准》（GB 18597-2023）</w:t>
            </w:r>
          </w:p>
        </w:tc>
      </w:tr>
      <w:tr w14:paraId="0E89D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0" w:type="pct"/>
            <w:vMerge w:val="continue"/>
            <w:noWrap w:val="0"/>
            <w:vAlign w:val="center"/>
          </w:tcPr>
          <w:p w14:paraId="0DD01BC8">
            <w:pPr>
              <w:rPr>
                <w:color w:val="000000"/>
                <w:sz w:val="21"/>
                <w:szCs w:val="21"/>
                <w:highlight w:val="none"/>
              </w:rPr>
            </w:pPr>
          </w:p>
        </w:tc>
        <w:tc>
          <w:tcPr>
            <w:tcW w:w="1488" w:type="pct"/>
            <w:noWrap w:val="0"/>
            <w:vAlign w:val="center"/>
          </w:tcPr>
          <w:p w14:paraId="7A985CBA">
            <w:pPr>
              <w:rPr>
                <w:color w:val="000000"/>
                <w:sz w:val="21"/>
                <w:szCs w:val="21"/>
                <w:highlight w:val="none"/>
              </w:rPr>
            </w:pPr>
            <w:r>
              <w:rPr>
                <w:color w:val="000000"/>
                <w:sz w:val="21"/>
                <w:szCs w:val="21"/>
                <w:highlight w:val="none"/>
              </w:rPr>
              <w:t>生活垃圾：集中收集后定期拉运至</w:t>
            </w:r>
            <w:r>
              <w:rPr>
                <w:rFonts w:hint="eastAsia"/>
                <w:color w:val="000000"/>
                <w:sz w:val="21"/>
                <w:szCs w:val="21"/>
                <w:highlight w:val="none"/>
              </w:rPr>
              <w:t>石西油田作业区生活垃圾填埋场</w:t>
            </w:r>
            <w:r>
              <w:rPr>
                <w:color w:val="000000"/>
                <w:sz w:val="21"/>
                <w:szCs w:val="21"/>
                <w:highlight w:val="none"/>
              </w:rPr>
              <w:t>处理</w:t>
            </w:r>
          </w:p>
        </w:tc>
        <w:tc>
          <w:tcPr>
            <w:tcW w:w="1307" w:type="pct"/>
            <w:noWrap w:val="0"/>
            <w:vAlign w:val="center"/>
          </w:tcPr>
          <w:p w14:paraId="537051BF">
            <w:pPr>
              <w:rPr>
                <w:color w:val="000000"/>
                <w:sz w:val="21"/>
                <w:szCs w:val="21"/>
                <w:highlight w:val="none"/>
              </w:rPr>
            </w:pPr>
            <w:r>
              <w:rPr>
                <w:color w:val="000000"/>
                <w:sz w:val="21"/>
                <w:szCs w:val="21"/>
                <w:highlight w:val="none"/>
              </w:rPr>
              <w:t>生活垃圾：集中收集后定期拉运至</w:t>
            </w:r>
            <w:r>
              <w:rPr>
                <w:rFonts w:hint="eastAsia"/>
                <w:color w:val="000000"/>
                <w:sz w:val="21"/>
                <w:szCs w:val="21"/>
                <w:highlight w:val="none"/>
              </w:rPr>
              <w:t>石西油田作业区生活垃圾填埋场</w:t>
            </w:r>
            <w:r>
              <w:rPr>
                <w:color w:val="000000"/>
                <w:sz w:val="21"/>
                <w:szCs w:val="21"/>
                <w:highlight w:val="none"/>
              </w:rPr>
              <w:t>处理</w:t>
            </w:r>
          </w:p>
        </w:tc>
        <w:tc>
          <w:tcPr>
            <w:tcW w:w="535" w:type="pct"/>
            <w:vMerge w:val="continue"/>
            <w:noWrap w:val="0"/>
            <w:vAlign w:val="center"/>
          </w:tcPr>
          <w:p w14:paraId="6491A944">
            <w:pPr>
              <w:rPr>
                <w:color w:val="000000"/>
                <w:sz w:val="21"/>
                <w:szCs w:val="21"/>
                <w:highlight w:val="none"/>
              </w:rPr>
            </w:pPr>
          </w:p>
        </w:tc>
        <w:tc>
          <w:tcPr>
            <w:tcW w:w="888" w:type="pct"/>
            <w:noWrap w:val="0"/>
            <w:vAlign w:val="center"/>
          </w:tcPr>
          <w:p w14:paraId="342443AC">
            <w:pPr>
              <w:rPr>
                <w:bCs/>
                <w:color w:val="000000"/>
                <w:sz w:val="21"/>
                <w:szCs w:val="21"/>
                <w:highlight w:val="none"/>
              </w:rPr>
            </w:pPr>
            <w:r>
              <w:rPr>
                <w:bCs/>
                <w:color w:val="000000"/>
                <w:sz w:val="21"/>
                <w:szCs w:val="21"/>
                <w:highlight w:val="none"/>
              </w:rPr>
              <w:t>《一般工业固体废物贮存和填埋污染控制标准》（GB 18599-2020）</w:t>
            </w:r>
          </w:p>
        </w:tc>
      </w:tr>
      <w:tr w14:paraId="128C1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pct"/>
            <w:noWrap w:val="0"/>
            <w:vAlign w:val="center"/>
          </w:tcPr>
          <w:p w14:paraId="19DC8874">
            <w:pPr>
              <w:rPr>
                <w:color w:val="000000"/>
                <w:sz w:val="21"/>
                <w:szCs w:val="21"/>
                <w:highlight w:val="none"/>
              </w:rPr>
            </w:pPr>
            <w:r>
              <w:rPr>
                <w:color w:val="000000"/>
                <w:sz w:val="21"/>
                <w:szCs w:val="21"/>
                <w:highlight w:val="none"/>
              </w:rPr>
              <w:t>电磁环境</w:t>
            </w:r>
          </w:p>
        </w:tc>
        <w:tc>
          <w:tcPr>
            <w:tcW w:w="1488" w:type="pct"/>
            <w:noWrap w:val="0"/>
            <w:vAlign w:val="center"/>
          </w:tcPr>
          <w:p w14:paraId="04A9A492">
            <w:pPr>
              <w:rPr>
                <w:color w:val="000000"/>
                <w:sz w:val="21"/>
                <w:szCs w:val="21"/>
                <w:highlight w:val="none"/>
              </w:rPr>
            </w:pPr>
            <w:r>
              <w:rPr>
                <w:color w:val="000000"/>
                <w:sz w:val="21"/>
                <w:szCs w:val="21"/>
                <w:highlight w:val="none"/>
              </w:rPr>
              <w:t>-</w:t>
            </w:r>
          </w:p>
        </w:tc>
        <w:tc>
          <w:tcPr>
            <w:tcW w:w="1307" w:type="pct"/>
            <w:noWrap w:val="0"/>
            <w:vAlign w:val="center"/>
          </w:tcPr>
          <w:p w14:paraId="1C3EC228">
            <w:pPr>
              <w:rPr>
                <w:color w:val="000000"/>
                <w:sz w:val="21"/>
                <w:szCs w:val="21"/>
                <w:highlight w:val="none"/>
              </w:rPr>
            </w:pPr>
            <w:r>
              <w:rPr>
                <w:color w:val="000000"/>
                <w:sz w:val="21"/>
                <w:szCs w:val="21"/>
                <w:highlight w:val="none"/>
              </w:rPr>
              <w:t>-</w:t>
            </w:r>
          </w:p>
        </w:tc>
        <w:tc>
          <w:tcPr>
            <w:tcW w:w="535" w:type="pct"/>
            <w:noWrap w:val="0"/>
            <w:vAlign w:val="center"/>
          </w:tcPr>
          <w:p w14:paraId="493F0A88">
            <w:pPr>
              <w:rPr>
                <w:color w:val="000000"/>
                <w:sz w:val="21"/>
                <w:szCs w:val="21"/>
                <w:highlight w:val="none"/>
              </w:rPr>
            </w:pPr>
            <w:r>
              <w:rPr>
                <w:color w:val="000000"/>
                <w:sz w:val="21"/>
                <w:szCs w:val="21"/>
                <w:highlight w:val="none"/>
              </w:rPr>
              <w:t>-</w:t>
            </w:r>
          </w:p>
        </w:tc>
        <w:tc>
          <w:tcPr>
            <w:tcW w:w="888" w:type="pct"/>
            <w:noWrap w:val="0"/>
            <w:vAlign w:val="center"/>
          </w:tcPr>
          <w:p w14:paraId="25C162C4">
            <w:pPr>
              <w:rPr>
                <w:color w:val="000000"/>
                <w:sz w:val="21"/>
                <w:szCs w:val="21"/>
                <w:highlight w:val="none"/>
              </w:rPr>
            </w:pPr>
            <w:r>
              <w:rPr>
                <w:color w:val="000000"/>
                <w:sz w:val="21"/>
                <w:szCs w:val="21"/>
                <w:highlight w:val="none"/>
              </w:rPr>
              <w:t>-</w:t>
            </w:r>
          </w:p>
        </w:tc>
      </w:tr>
      <w:tr w14:paraId="02DA2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80" w:type="pct"/>
            <w:noWrap w:val="0"/>
            <w:vAlign w:val="center"/>
          </w:tcPr>
          <w:p w14:paraId="6545BF1B">
            <w:pPr>
              <w:rPr>
                <w:color w:val="000000"/>
                <w:sz w:val="21"/>
                <w:szCs w:val="21"/>
                <w:highlight w:val="none"/>
              </w:rPr>
            </w:pPr>
            <w:r>
              <w:rPr>
                <w:color w:val="000000"/>
                <w:sz w:val="21"/>
                <w:szCs w:val="21"/>
                <w:highlight w:val="none"/>
              </w:rPr>
              <w:t>环境风险</w:t>
            </w:r>
          </w:p>
        </w:tc>
        <w:tc>
          <w:tcPr>
            <w:tcW w:w="1488" w:type="pct"/>
            <w:noWrap w:val="0"/>
            <w:vAlign w:val="center"/>
          </w:tcPr>
          <w:p w14:paraId="7D2B7474">
            <w:pPr>
              <w:rPr>
                <w:color w:val="000000"/>
                <w:sz w:val="21"/>
                <w:szCs w:val="21"/>
                <w:highlight w:val="none"/>
              </w:rPr>
            </w:pPr>
            <w:r>
              <w:rPr>
                <w:color w:val="000000"/>
                <w:kern w:val="0"/>
                <w:sz w:val="21"/>
                <w:szCs w:val="21"/>
                <w:highlight w:val="none"/>
              </w:rPr>
              <w:t>配备灭火装置、应急点火系统等；尽量避免井喷事故的发生；严格要求套管下入深度、确保固井质量等措施，最大限度地降低井喷、井漏及油水窜层事故的发生；施工期生活污水收集池、柴油罐区、钻井施工作业区等采取防渗措施</w:t>
            </w:r>
          </w:p>
        </w:tc>
        <w:tc>
          <w:tcPr>
            <w:tcW w:w="1307" w:type="pct"/>
            <w:noWrap w:val="0"/>
            <w:vAlign w:val="center"/>
          </w:tcPr>
          <w:p w14:paraId="18FA64AC">
            <w:pPr>
              <w:rPr>
                <w:color w:val="000000"/>
                <w:sz w:val="21"/>
                <w:szCs w:val="21"/>
                <w:highlight w:val="none"/>
              </w:rPr>
            </w:pPr>
            <w:r>
              <w:rPr>
                <w:color w:val="000000"/>
                <w:sz w:val="21"/>
                <w:szCs w:val="21"/>
                <w:highlight w:val="none"/>
              </w:rPr>
              <w:t>是否发生环境风险事故，针对环境风险制定应急方案</w:t>
            </w:r>
          </w:p>
        </w:tc>
        <w:tc>
          <w:tcPr>
            <w:tcW w:w="535" w:type="pct"/>
            <w:noWrap w:val="0"/>
            <w:vAlign w:val="center"/>
          </w:tcPr>
          <w:p w14:paraId="1273C7A7">
            <w:pPr>
              <w:rPr>
                <w:color w:val="000000"/>
                <w:sz w:val="21"/>
                <w:szCs w:val="21"/>
                <w:highlight w:val="none"/>
              </w:rPr>
            </w:pPr>
            <w:r>
              <w:rPr>
                <w:color w:val="000000"/>
                <w:sz w:val="21"/>
                <w:szCs w:val="21"/>
                <w:highlight w:val="none"/>
              </w:rPr>
              <w:t>-</w:t>
            </w:r>
          </w:p>
        </w:tc>
        <w:tc>
          <w:tcPr>
            <w:tcW w:w="888" w:type="pct"/>
            <w:noWrap w:val="0"/>
            <w:vAlign w:val="center"/>
          </w:tcPr>
          <w:p w14:paraId="4E8287D8">
            <w:pPr>
              <w:rPr>
                <w:color w:val="000000"/>
                <w:sz w:val="21"/>
                <w:szCs w:val="21"/>
                <w:highlight w:val="none"/>
              </w:rPr>
            </w:pPr>
            <w:r>
              <w:rPr>
                <w:color w:val="000000"/>
                <w:sz w:val="21"/>
                <w:szCs w:val="21"/>
                <w:highlight w:val="none"/>
              </w:rPr>
              <w:t>-</w:t>
            </w:r>
          </w:p>
        </w:tc>
      </w:tr>
      <w:tr w14:paraId="67B49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80" w:type="pct"/>
            <w:noWrap w:val="0"/>
            <w:vAlign w:val="center"/>
          </w:tcPr>
          <w:p w14:paraId="05C742CE">
            <w:pPr>
              <w:rPr>
                <w:color w:val="000000"/>
                <w:sz w:val="21"/>
                <w:szCs w:val="21"/>
                <w:highlight w:val="none"/>
              </w:rPr>
            </w:pPr>
            <w:r>
              <w:rPr>
                <w:color w:val="000000"/>
                <w:sz w:val="21"/>
                <w:szCs w:val="21"/>
                <w:highlight w:val="none"/>
              </w:rPr>
              <w:t>环境监测</w:t>
            </w:r>
          </w:p>
        </w:tc>
        <w:tc>
          <w:tcPr>
            <w:tcW w:w="1488" w:type="pct"/>
            <w:noWrap w:val="0"/>
            <w:vAlign w:val="center"/>
          </w:tcPr>
          <w:p w14:paraId="667527D5">
            <w:pPr>
              <w:rPr>
                <w:color w:val="000000"/>
                <w:sz w:val="21"/>
                <w:szCs w:val="21"/>
                <w:highlight w:val="none"/>
              </w:rPr>
            </w:pPr>
            <w:r>
              <w:rPr>
                <w:color w:val="000000"/>
                <w:sz w:val="21"/>
                <w:szCs w:val="21"/>
                <w:highlight w:val="none"/>
              </w:rPr>
              <w:t>-</w:t>
            </w:r>
          </w:p>
        </w:tc>
        <w:tc>
          <w:tcPr>
            <w:tcW w:w="1307" w:type="pct"/>
            <w:noWrap w:val="0"/>
            <w:vAlign w:val="center"/>
          </w:tcPr>
          <w:p w14:paraId="18AC7F57">
            <w:pPr>
              <w:rPr>
                <w:color w:val="000000"/>
                <w:sz w:val="21"/>
                <w:szCs w:val="21"/>
                <w:highlight w:val="none"/>
              </w:rPr>
            </w:pPr>
            <w:r>
              <w:rPr>
                <w:color w:val="000000"/>
                <w:sz w:val="21"/>
                <w:szCs w:val="21"/>
                <w:highlight w:val="none"/>
              </w:rPr>
              <w:t>-</w:t>
            </w:r>
          </w:p>
        </w:tc>
        <w:tc>
          <w:tcPr>
            <w:tcW w:w="535" w:type="pct"/>
            <w:noWrap w:val="0"/>
            <w:vAlign w:val="center"/>
          </w:tcPr>
          <w:p w14:paraId="7412DA1A">
            <w:pPr>
              <w:rPr>
                <w:color w:val="000000"/>
                <w:sz w:val="21"/>
                <w:szCs w:val="21"/>
                <w:highlight w:val="none"/>
              </w:rPr>
            </w:pPr>
            <w:r>
              <w:rPr>
                <w:color w:val="000000"/>
                <w:sz w:val="21"/>
                <w:szCs w:val="21"/>
                <w:highlight w:val="none"/>
              </w:rPr>
              <w:t>-</w:t>
            </w:r>
          </w:p>
        </w:tc>
        <w:tc>
          <w:tcPr>
            <w:tcW w:w="888" w:type="pct"/>
            <w:noWrap w:val="0"/>
            <w:vAlign w:val="center"/>
          </w:tcPr>
          <w:p w14:paraId="0F480D2A">
            <w:pPr>
              <w:rPr>
                <w:color w:val="000000"/>
                <w:sz w:val="21"/>
                <w:szCs w:val="21"/>
                <w:highlight w:val="none"/>
              </w:rPr>
            </w:pPr>
            <w:r>
              <w:rPr>
                <w:color w:val="000000"/>
                <w:sz w:val="21"/>
                <w:szCs w:val="21"/>
                <w:highlight w:val="none"/>
              </w:rPr>
              <w:t>-</w:t>
            </w:r>
          </w:p>
        </w:tc>
      </w:tr>
      <w:tr w14:paraId="24EB6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pct"/>
            <w:noWrap w:val="0"/>
            <w:vAlign w:val="center"/>
          </w:tcPr>
          <w:p w14:paraId="24130F52">
            <w:pPr>
              <w:rPr>
                <w:color w:val="000000"/>
                <w:sz w:val="21"/>
                <w:szCs w:val="21"/>
                <w:highlight w:val="none"/>
              </w:rPr>
            </w:pPr>
            <w:r>
              <w:rPr>
                <w:color w:val="000000"/>
                <w:sz w:val="21"/>
                <w:szCs w:val="21"/>
                <w:highlight w:val="none"/>
              </w:rPr>
              <w:t>其他</w:t>
            </w:r>
          </w:p>
        </w:tc>
        <w:tc>
          <w:tcPr>
            <w:tcW w:w="1488" w:type="pct"/>
            <w:noWrap w:val="0"/>
            <w:vAlign w:val="center"/>
          </w:tcPr>
          <w:p w14:paraId="3391826A">
            <w:pPr>
              <w:rPr>
                <w:color w:val="000000"/>
                <w:sz w:val="21"/>
                <w:szCs w:val="21"/>
                <w:highlight w:val="none"/>
              </w:rPr>
            </w:pPr>
            <w:r>
              <w:rPr>
                <w:color w:val="000000"/>
                <w:sz w:val="21"/>
                <w:szCs w:val="21"/>
                <w:highlight w:val="none"/>
              </w:rPr>
              <w:t>-</w:t>
            </w:r>
          </w:p>
        </w:tc>
        <w:tc>
          <w:tcPr>
            <w:tcW w:w="1307" w:type="pct"/>
            <w:noWrap w:val="0"/>
            <w:vAlign w:val="center"/>
          </w:tcPr>
          <w:p w14:paraId="4098E0EB">
            <w:pPr>
              <w:rPr>
                <w:color w:val="000000"/>
                <w:sz w:val="21"/>
                <w:szCs w:val="21"/>
                <w:highlight w:val="none"/>
              </w:rPr>
            </w:pPr>
            <w:r>
              <w:rPr>
                <w:color w:val="000000"/>
                <w:sz w:val="21"/>
                <w:szCs w:val="21"/>
                <w:highlight w:val="none"/>
              </w:rPr>
              <w:t>-</w:t>
            </w:r>
          </w:p>
        </w:tc>
        <w:tc>
          <w:tcPr>
            <w:tcW w:w="535" w:type="pct"/>
            <w:noWrap w:val="0"/>
            <w:vAlign w:val="center"/>
          </w:tcPr>
          <w:p w14:paraId="7FC1EB01">
            <w:pPr>
              <w:rPr>
                <w:color w:val="000000"/>
                <w:sz w:val="21"/>
                <w:szCs w:val="21"/>
                <w:highlight w:val="none"/>
              </w:rPr>
            </w:pPr>
            <w:r>
              <w:rPr>
                <w:color w:val="000000"/>
                <w:sz w:val="21"/>
                <w:szCs w:val="21"/>
                <w:highlight w:val="none"/>
              </w:rPr>
              <w:t>-</w:t>
            </w:r>
          </w:p>
        </w:tc>
        <w:tc>
          <w:tcPr>
            <w:tcW w:w="888" w:type="pct"/>
            <w:noWrap w:val="0"/>
            <w:vAlign w:val="center"/>
          </w:tcPr>
          <w:p w14:paraId="15E38D5F">
            <w:pPr>
              <w:rPr>
                <w:color w:val="000000"/>
                <w:sz w:val="21"/>
                <w:szCs w:val="21"/>
                <w:highlight w:val="none"/>
              </w:rPr>
            </w:pPr>
            <w:r>
              <w:rPr>
                <w:color w:val="000000"/>
                <w:sz w:val="21"/>
                <w:szCs w:val="21"/>
                <w:highlight w:val="none"/>
              </w:rPr>
              <w:t>-</w:t>
            </w:r>
          </w:p>
        </w:tc>
      </w:tr>
    </w:tbl>
    <w:p w14:paraId="2BB097C7">
      <w:pPr>
        <w:pStyle w:val="14"/>
        <w:spacing w:before="0" w:beforeAutospacing="0" w:line="14" w:lineRule="auto"/>
        <w:jc w:val="center"/>
        <w:outlineLvl w:val="0"/>
        <w:rPr>
          <w:rFonts w:ascii="Times New Roman" w:hAnsi="Times New Roman"/>
          <w:snapToGrid w:val="0"/>
          <w:color w:val="000000"/>
          <w:sz w:val="30"/>
          <w:szCs w:val="30"/>
          <w:highlight w:val="none"/>
        </w:rPr>
      </w:pPr>
      <w:r>
        <w:rPr>
          <w:rFonts w:ascii="Times New Roman" w:hAnsi="Times New Roman"/>
          <w:snapToGrid w:val="0"/>
          <w:color w:val="000000"/>
          <w:sz w:val="30"/>
          <w:szCs w:val="30"/>
          <w:highlight w:val="none"/>
        </w:rPr>
        <w:br w:type="page"/>
      </w:r>
    </w:p>
    <w:p w14:paraId="5D6F2961">
      <w:pPr>
        <w:pStyle w:val="14"/>
        <w:jc w:val="center"/>
        <w:outlineLvl w:val="0"/>
        <w:rPr>
          <w:rFonts w:ascii="Times New Roman" w:hAnsi="Times New Roman" w:eastAsia="黑体"/>
          <w:snapToGrid w:val="0"/>
          <w:color w:val="000000"/>
          <w:sz w:val="30"/>
          <w:szCs w:val="30"/>
          <w:highlight w:val="none"/>
        </w:rPr>
      </w:pPr>
      <w:r>
        <w:rPr>
          <w:rFonts w:ascii="Times New Roman" w:hAnsi="Times New Roman" w:eastAsia="黑体"/>
          <w:snapToGrid w:val="0"/>
          <w:color w:val="000000"/>
          <w:sz w:val="30"/>
          <w:szCs w:val="30"/>
          <w:highlight w:val="none"/>
        </w:rPr>
        <w:t>七、结论</w:t>
      </w:r>
    </w:p>
    <w:tbl>
      <w:tblPr>
        <w:tblStyle w:val="16"/>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D180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center"/>
          </w:tcPr>
          <w:p w14:paraId="2518A741">
            <w:pPr>
              <w:pStyle w:val="24"/>
              <w:adjustRightInd/>
              <w:snapToGrid/>
              <w:rPr>
                <w:color w:val="000000"/>
                <w:highlight w:val="none"/>
              </w:rPr>
            </w:pPr>
            <w:r>
              <w:rPr>
                <w:color w:val="000000"/>
                <w:sz w:val="24"/>
                <w:szCs w:val="21"/>
                <w:highlight w:val="none"/>
              </w:rPr>
              <w:t>本项目符合国家有关产业政策、“三线一单”和相关规划，项目选址合理，符合风险防范措施要求。通过加强管理，污染物无害处理，及时恢复原貌等措施，在各项污染治理措施实施且确保全部污染物达标排放的前提下，本次项目的建设从环境影响角度而言，项目实施是可行的。</w:t>
            </w:r>
          </w:p>
          <w:p w14:paraId="3753D501">
            <w:pPr>
              <w:pStyle w:val="24"/>
              <w:adjustRightInd/>
              <w:snapToGrid/>
              <w:ind w:firstLine="560"/>
              <w:rPr>
                <w:color w:val="000000"/>
                <w:highlight w:val="none"/>
              </w:rPr>
            </w:pPr>
          </w:p>
          <w:p w14:paraId="31D68339">
            <w:pPr>
              <w:ind w:firstLine="315"/>
              <w:rPr>
                <w:color w:val="000000"/>
                <w:szCs w:val="21"/>
                <w:highlight w:val="none"/>
              </w:rPr>
            </w:pPr>
          </w:p>
        </w:tc>
      </w:tr>
    </w:tbl>
    <w:p w14:paraId="21786785">
      <w:pPr>
        <w:widowControl/>
        <w:spacing w:before="192" w:beforeLines="80"/>
        <w:jc w:val="left"/>
        <w:rPr>
          <w:color w:val="000000"/>
          <w:highlight w:val="none"/>
        </w:rPr>
      </w:pPr>
    </w:p>
    <w:p w14:paraId="17ECF1D6"/>
    <w:sectPr>
      <w:pgSz w:w="11906" w:h="16838"/>
      <w:pgMar w:top="1440" w:right="1800" w:bottom="1440" w:left="180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BB6A">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3221">
    <w:pPr>
      <w:pStyle w:val="1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8DF4">
    <w:pPr>
      <w:pStyle w:val="1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D9E75">
                          <w:pPr>
                            <w:pStyle w:val="1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68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tEZJHLc48cuP75efvy+/vhH0&#10;oUBDgAbz7gNmpvGtH3FtFj+gM/MeVbT5i4wIxhHrfJVXjomI/Khe13WFIYGx5YL47OF5iJDeSW9J&#10;NloacX5FVn76AGlKXVJyNefvtDFlhsb95UDM7GG596nHbKVxP86E9r47I58BR99Sh5tOiXnvUFns&#10;Ly1GXIz9YhxD1Ie+rFGuB+HNMWETpbdcYYKdC+PMCrt5v/JSPL6XrId/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v/luvIAQAAmwMAAA4AAAAAAAAAAQAgAAAAHgEAAGRycy9lMm9Eb2Mu&#10;eG1sUEsFBgAAAAAGAAYAWQEAAFgFAAAAAA==&#10;">
              <v:fill on="f" focussize="0,0"/>
              <v:stroke on="f"/>
              <v:imagedata o:title=""/>
              <o:lock v:ext="edit" aspectratio="f"/>
              <v:textbox inset="0mm,0mm,0mm,0mm" style="mso-fit-shape-to-text:t;">
                <w:txbxContent>
                  <w:p w14:paraId="718D9E75">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C32A0"/>
    <w:multiLevelType w:val="singleLevel"/>
    <w:tmpl w:val="A5EC32A0"/>
    <w:lvl w:ilvl="0" w:tentative="0">
      <w:start w:val="1"/>
      <w:numFmt w:val="decimal"/>
      <w:suff w:val="nothing"/>
      <w:lvlText w:val="（%1）"/>
      <w:lvlJc w:val="left"/>
    </w:lvl>
  </w:abstractNum>
  <w:abstractNum w:abstractNumId="1">
    <w:nsid w:val="A81648DF"/>
    <w:multiLevelType w:val="singleLevel"/>
    <w:tmpl w:val="A81648DF"/>
    <w:lvl w:ilvl="0" w:tentative="0">
      <w:start w:val="1"/>
      <w:numFmt w:val="decimal"/>
      <w:suff w:val="nothing"/>
      <w:lvlText w:val="（%1）"/>
      <w:lvlJc w:val="left"/>
    </w:lvl>
  </w:abstractNum>
  <w:abstractNum w:abstractNumId="2">
    <w:nsid w:val="E239F670"/>
    <w:multiLevelType w:val="singleLevel"/>
    <w:tmpl w:val="E239F670"/>
    <w:lvl w:ilvl="0" w:tentative="0">
      <w:start w:val="1"/>
      <w:numFmt w:val="decimal"/>
      <w:suff w:val="nothing"/>
      <w:lvlText w:val="%1、"/>
      <w:lvlJc w:val="left"/>
    </w:lvl>
  </w:abstractNum>
  <w:abstractNum w:abstractNumId="3">
    <w:nsid w:val="EA71608D"/>
    <w:multiLevelType w:val="singleLevel"/>
    <w:tmpl w:val="EA71608D"/>
    <w:lvl w:ilvl="0" w:tentative="0">
      <w:start w:val="1"/>
      <w:numFmt w:val="decimal"/>
      <w:suff w:val="nothing"/>
      <w:lvlText w:val="（%1）"/>
      <w:lvlJc w:val="left"/>
    </w:lvl>
  </w:abstractNum>
  <w:abstractNum w:abstractNumId="4">
    <w:nsid w:val="2C07D16A"/>
    <w:multiLevelType w:val="singleLevel"/>
    <w:tmpl w:val="2C07D16A"/>
    <w:lvl w:ilvl="0" w:tentative="0">
      <w:start w:val="1"/>
      <w:numFmt w:val="decimal"/>
      <w:suff w:val="nothing"/>
      <w:lvlText w:val="（%1）"/>
      <w:lvlJc w:val="left"/>
    </w:lvl>
  </w:abstractNum>
  <w:abstractNum w:abstractNumId="5">
    <w:nsid w:val="3D501F8E"/>
    <w:multiLevelType w:val="singleLevel"/>
    <w:tmpl w:val="3D501F8E"/>
    <w:lvl w:ilvl="0" w:tentative="0">
      <w:start w:val="1"/>
      <w:numFmt w:val="decimal"/>
      <w:suff w:val="space"/>
      <w:lvlText w:val="%1）"/>
      <w:lvlJc w:val="left"/>
    </w:lvl>
  </w:abstractNum>
  <w:abstractNum w:abstractNumId="6">
    <w:nsid w:val="4CEC45CD"/>
    <w:multiLevelType w:val="multilevel"/>
    <w:tmpl w:val="4CEC45CD"/>
    <w:lvl w:ilvl="0" w:tentative="0">
      <w:start w:val="1"/>
      <w:numFmt w:val="decimal"/>
      <w:suff w:val="nothing"/>
      <w:lvlText w:val="%1"/>
      <w:lvlJc w:val="left"/>
      <w:rPr>
        <w:rFonts w:hint="eastAsia" w:cs="Times New Roman"/>
      </w:rPr>
    </w:lvl>
    <w:lvl w:ilvl="1" w:tentative="0">
      <w:start w:val="1"/>
      <w:numFmt w:val="decimal"/>
      <w:suff w:val="nothing"/>
      <w:lvlText w:val="%1.%2"/>
      <w:lvlJc w:val="left"/>
      <w:rPr>
        <w:rFonts w:hint="eastAsia" w:cs="Times New Roman"/>
      </w:rPr>
    </w:lvl>
    <w:lvl w:ilvl="2" w:tentative="0">
      <w:start w:val="1"/>
      <w:numFmt w:val="decimal"/>
      <w:lvlText w:val="%1.%2.%3"/>
      <w:lvlJc w:val="left"/>
      <w:pPr>
        <w:tabs>
          <w:tab w:val="left" w:pos="720"/>
        </w:tabs>
        <w:ind w:left="720" w:hanging="720"/>
      </w:pPr>
      <w:rPr>
        <w:rFonts w:hint="default" w:ascii="Times New Roman" w:hAnsi="Times New Roman" w:cs="Times New Roman"/>
        <w:color w:val="auto"/>
      </w:rPr>
    </w:lvl>
    <w:lvl w:ilvl="3" w:tentative="0">
      <w:start w:val="1"/>
      <w:numFmt w:val="decimal"/>
      <w:pStyle w:val="5"/>
      <w:lvlText w:val="%1.%2.%3.%4"/>
      <w:lvlJc w:val="left"/>
      <w:pPr>
        <w:tabs>
          <w:tab w:val="left" w:pos="864"/>
        </w:tabs>
        <w:ind w:left="864" w:hanging="864"/>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3CFD1A1"/>
    <w:multiLevelType w:val="singleLevel"/>
    <w:tmpl w:val="53CFD1A1"/>
    <w:lvl w:ilvl="0" w:tentative="0">
      <w:start w:val="1"/>
      <w:numFmt w:val="decimal"/>
      <w:suff w:val="nothing"/>
      <w:lvlText w:val="（%1）"/>
      <w:lvlJc w:val="left"/>
    </w:lvl>
  </w:abstractNum>
  <w:abstractNum w:abstractNumId="8">
    <w:nsid w:val="594031D8"/>
    <w:multiLevelType w:val="multilevel"/>
    <w:tmpl w:val="594031D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FB746A1"/>
    <w:multiLevelType w:val="singleLevel"/>
    <w:tmpl w:val="6FB746A1"/>
    <w:lvl w:ilvl="0" w:tentative="0">
      <w:start w:val="2"/>
      <w:numFmt w:val="decimal"/>
      <w:suff w:val="nothing"/>
      <w:lvlText w:val="（%1）"/>
      <w:lvlJc w:val="left"/>
    </w:lvl>
  </w:abstractNum>
  <w:num w:numId="1">
    <w:abstractNumId w:val="6"/>
  </w:num>
  <w:num w:numId="2">
    <w:abstractNumId w:val="2"/>
  </w:num>
  <w:num w:numId="3">
    <w:abstractNumId w:val="8"/>
  </w:num>
  <w:num w:numId="4">
    <w:abstractNumId w:val="10"/>
  </w:num>
  <w:num w:numId="5">
    <w:abstractNumId w:val="7"/>
  </w:num>
  <w:num w:numId="6">
    <w:abstractNumId w:val="1"/>
  </w:num>
  <w:num w:numId="7">
    <w:abstractNumId w:val="9"/>
  </w:num>
  <w:num w:numId="8">
    <w:abstractNumId w:val="3"/>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42A58"/>
    <w:rsid w:val="107412DB"/>
    <w:rsid w:val="2B54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center"/>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0"/>
    <w:pPr>
      <w:keepNext/>
      <w:keepLines/>
      <w:spacing w:line="360" w:lineRule="auto"/>
      <w:jc w:val="left"/>
      <w:outlineLvl w:val="1"/>
    </w:pPr>
    <w:rPr>
      <w:b/>
      <w:bCs/>
      <w:szCs w:val="32"/>
    </w:rPr>
  </w:style>
  <w:style w:type="paragraph" w:styleId="4">
    <w:name w:val="heading 3"/>
    <w:basedOn w:val="1"/>
    <w:next w:val="1"/>
    <w:qFormat/>
    <w:uiPriority w:val="0"/>
    <w:pPr>
      <w:keepNext/>
      <w:keepLines/>
      <w:spacing w:line="360" w:lineRule="auto"/>
      <w:jc w:val="left"/>
      <w:outlineLvl w:val="2"/>
    </w:pPr>
    <w:rPr>
      <w:b/>
      <w:bCs/>
      <w:szCs w:val="32"/>
    </w:rPr>
  </w:style>
  <w:style w:type="paragraph" w:styleId="5">
    <w:name w:val="heading 4"/>
    <w:basedOn w:val="1"/>
    <w:next w:val="6"/>
    <w:qFormat/>
    <w:uiPriority w:val="99"/>
    <w:pPr>
      <w:numPr>
        <w:ilvl w:val="3"/>
        <w:numId w:val="1"/>
      </w:numPr>
      <w:adjustRightInd w:val="0"/>
      <w:spacing w:line="360" w:lineRule="auto"/>
      <w:ind w:left="864" w:hanging="864"/>
      <w:jc w:val="left"/>
      <w:textAlignment w:val="baseline"/>
      <w:outlineLvl w:val="3"/>
    </w:pPr>
    <w:rPr>
      <w:rFonts w:ascii="Times New Roman" w:hAnsi="Times New Roman"/>
      <w:bCs/>
      <w:smallCaps/>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宋体" w:hAnsi="Calibri" w:eastAsia="宋体" w:cs="Times New Roman"/>
      <w:sz w:val="28"/>
      <w:szCs w:val="22"/>
    </w:rPr>
  </w:style>
  <w:style w:type="paragraph" w:styleId="7">
    <w:name w:val="annotation text"/>
    <w:basedOn w:val="1"/>
    <w:semiHidden/>
    <w:qFormat/>
    <w:uiPriority w:val="0"/>
    <w:pPr>
      <w:jc w:val="left"/>
    </w:pPr>
    <w:rPr>
      <w:kern w:val="0"/>
      <w:sz w:val="20"/>
    </w:rPr>
  </w:style>
  <w:style w:type="paragraph" w:styleId="8">
    <w:name w:val="Body Text"/>
    <w:basedOn w:val="1"/>
    <w:qFormat/>
    <w:uiPriority w:val="0"/>
    <w:pPr>
      <w:widowControl/>
      <w:snapToGrid w:val="0"/>
      <w:spacing w:before="60" w:after="160" w:line="259" w:lineRule="auto"/>
      <w:ind w:right="113"/>
    </w:pPr>
    <w:rPr>
      <w:kern w:val="0"/>
      <w:sz w:val="18"/>
      <w:szCs w:val="18"/>
    </w:rPr>
  </w:style>
  <w:style w:type="paragraph" w:styleId="9">
    <w:name w:val="Body Text Indent"/>
    <w:basedOn w:val="1"/>
    <w:semiHidden/>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List"/>
    <w:basedOn w:val="1"/>
    <w:next w:val="1"/>
    <w:qFormat/>
    <w:uiPriority w:val="0"/>
    <w:pPr>
      <w:adjustRightInd w:val="0"/>
      <w:snapToGrid w:val="0"/>
      <w:spacing w:line="240" w:lineRule="auto"/>
      <w:ind w:left="198" w:hanging="198" w:firstLineChars="0"/>
      <w:contextualSpacing/>
    </w:pPr>
    <w:rPr>
      <w:sz w:val="21"/>
    </w:rPr>
  </w:style>
  <w:style w:type="paragraph" w:styleId="12">
    <w:name w:val="footnote text"/>
    <w:basedOn w:val="1"/>
    <w:qFormat/>
    <w:uiPriority w:val="0"/>
    <w:pPr>
      <w:snapToGrid w:val="0"/>
      <w:jc w:val="left"/>
    </w:pPr>
  </w:style>
  <w:style w:type="paragraph" w:styleId="13">
    <w:name w:val="toc 2"/>
    <w:basedOn w:val="1"/>
    <w:next w:val="1"/>
    <w:unhideWhenUsed/>
    <w:qFormat/>
    <w:uiPriority w:val="39"/>
    <w:pPr>
      <w:spacing w:before="120"/>
      <w:ind w:left="210"/>
      <w:jc w:val="left"/>
    </w:pPr>
    <w:rPr>
      <w:rFonts w:ascii="Calibri" w:hAnsi="Calibri" w:cs="Calibri"/>
      <w:i/>
      <w:iCs/>
      <w:sz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9"/>
    <w:unhideWhenUsed/>
    <w:qFormat/>
    <w:uiPriority w:val="99"/>
    <w:pPr>
      <w:ind w:firstLine="420" w:firstLineChars="200"/>
    </w:pPr>
  </w:style>
  <w:style w:type="character" w:styleId="18">
    <w:name w:val="annotation reference"/>
    <w:qFormat/>
    <w:uiPriority w:val="0"/>
    <w:rPr>
      <w:sz w:val="21"/>
    </w:rPr>
  </w:style>
  <w:style w:type="paragraph" w:customStyle="1" w:styleId="19">
    <w:name w:val="表头"/>
    <w:basedOn w:val="6"/>
    <w:next w:val="1"/>
    <w:qFormat/>
    <w:uiPriority w:val="0"/>
    <w:pPr>
      <w:overflowPunct w:val="0"/>
      <w:ind w:firstLine="0" w:firstLineChars="0"/>
      <w:jc w:val="center"/>
    </w:pPr>
    <w:rPr>
      <w:rFonts w:ascii="Times New Roman" w:hAnsi="Times New Roman"/>
      <w:b/>
      <w:sz w:val="21"/>
    </w:rPr>
  </w:style>
  <w:style w:type="paragraph" w:customStyle="1" w:styleId="20">
    <w:name w:val="Default"/>
    <w:basedOn w:val="21"/>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2">
    <w:name w:val="111111"/>
    <w:basedOn w:val="23"/>
    <w:qFormat/>
    <w:uiPriority w:val="0"/>
    <w:pPr>
      <w:ind w:firstLine="0" w:firstLineChars="0"/>
    </w:pPr>
    <w:rPr>
      <w:sz w:val="28"/>
    </w:rPr>
  </w:style>
  <w:style w:type="paragraph" w:customStyle="1" w:styleId="23">
    <w:name w:val="222222"/>
    <w:basedOn w:val="1"/>
    <w:next w:val="1"/>
    <w:qFormat/>
    <w:uiPriority w:val="0"/>
    <w:pPr>
      <w:spacing w:line="360" w:lineRule="auto"/>
    </w:pPr>
    <w:rPr>
      <w:b/>
      <w:sz w:val="24"/>
      <w:szCs w:val="24"/>
    </w:rPr>
  </w:style>
  <w:style w:type="paragraph" w:customStyle="1" w:styleId="24">
    <w:name w:val="文本"/>
    <w:basedOn w:val="6"/>
    <w:qFormat/>
    <w:uiPriority w:val="0"/>
    <w:pPr>
      <w:adjustRightInd w:val="0"/>
      <w:snapToGrid w:val="0"/>
      <w:spacing w:line="360" w:lineRule="auto"/>
      <w:ind w:firstLine="480" w:firstLineChars="200"/>
      <w:jc w:val="left"/>
    </w:pPr>
  </w:style>
  <w:style w:type="paragraph" w:customStyle="1" w:styleId="25">
    <w:name w:val="表格"/>
    <w:basedOn w:val="11"/>
    <w:next w:val="1"/>
    <w:qFormat/>
    <w:uiPriority w:val="0"/>
    <w:pPr>
      <w:ind w:left="0" w:firstLine="0"/>
      <w:jc w:val="center"/>
    </w:pPr>
    <w:rPr>
      <w:kern w:val="0"/>
      <w:szCs w:val="21"/>
    </w:rPr>
  </w:style>
  <w:style w:type="paragraph" w:customStyle="1" w:styleId="26">
    <w:name w:val="表格内容"/>
    <w:basedOn w:val="19"/>
    <w:next w:val="1"/>
    <w:qFormat/>
    <w:uiPriority w:val="0"/>
    <w:pPr>
      <w:jc w:val="center"/>
    </w:pPr>
    <w:rPr>
      <w:rFonts w:ascii="Calibri" w:hAnsi="Calibri" w:eastAsia="宋体" w:cs="Times New Roman"/>
      <w:szCs w:val="22"/>
    </w:rPr>
  </w:style>
  <w:style w:type="paragraph" w:customStyle="1" w:styleId="27">
    <w:name w:val="！简本正文"/>
    <w:basedOn w:val="15"/>
    <w:qFormat/>
    <w:uiPriority w:val="0"/>
    <w:pPr>
      <w:tabs>
        <w:tab w:val="left" w:pos="4500"/>
      </w:tabs>
      <w:spacing w:line="360" w:lineRule="auto"/>
      <w:ind w:left="0" w:leftChars="0"/>
      <w:jc w:val="left"/>
    </w:pPr>
    <w:rPr>
      <w:sz w:val="24"/>
      <w:szCs w:val="24"/>
    </w:rPr>
  </w:style>
  <w:style w:type="paragraph" w:customStyle="1" w:styleId="28">
    <w:name w:val="正文 内容"/>
    <w:basedOn w:val="1"/>
    <w:qFormat/>
    <w:uiPriority w:val="0"/>
    <w:pPr>
      <w:autoSpaceDE w:val="0"/>
      <w:autoSpaceDN w:val="0"/>
      <w:adjustRightInd w:val="0"/>
      <w:snapToGrid w:val="0"/>
      <w:spacing w:line="360" w:lineRule="auto"/>
      <w:ind w:firstLine="200" w:firstLineChars="200"/>
    </w:pPr>
    <w:rPr>
      <w:kern w:val="0"/>
      <w:sz w:val="24"/>
      <w:szCs w:val="20"/>
    </w:rPr>
  </w:style>
  <w:style w:type="paragraph" w:customStyle="1" w:styleId="29">
    <w:name w:val="wyc正文"/>
    <w:basedOn w:val="1"/>
    <w:qFormat/>
    <w:uiPriority w:val="0"/>
    <w:pPr>
      <w:adjustRightInd w:val="0"/>
      <w:spacing w:line="360" w:lineRule="auto"/>
      <w:ind w:firstLine="480" w:firstLineChars="200"/>
    </w:pPr>
    <w:rPr>
      <w:rFonts w:ascii="Times New Roman" w:hAnsi="Times New Roman"/>
      <w:sz w:val="24"/>
      <w:szCs w:val="20"/>
    </w:rPr>
  </w:style>
  <w:style w:type="paragraph" w:customStyle="1" w:styleId="30">
    <w:name w:val="YJ正文*"/>
    <w:basedOn w:val="1"/>
    <w:qFormat/>
    <w:uiPriority w:val="0"/>
    <w:pPr>
      <w:spacing w:line="500" w:lineRule="exact"/>
      <w:ind w:firstLine="200" w:firstLineChars="200"/>
    </w:pPr>
    <w:rPr>
      <w:rFonts w:ascii="宋体" w:hAnsi="宋体"/>
      <w:kern w:val="0"/>
      <w:sz w:val="24"/>
      <w:szCs w:val="24"/>
    </w:rPr>
  </w:style>
  <w:style w:type="paragraph" w:customStyle="1" w:styleId="31">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2">
    <w:name w:val="报告正文"/>
    <w:basedOn w:val="1"/>
    <w:qFormat/>
    <w:uiPriority w:val="0"/>
    <w:pPr>
      <w:adjustRightInd w:val="0"/>
      <w:snapToGrid w:val="0"/>
      <w:spacing w:line="360" w:lineRule="auto"/>
      <w:ind w:firstLine="560" w:firstLineChars="200"/>
    </w:pPr>
    <w:rPr>
      <w:rFonts w:ascii="仿宋_GB2312" w:eastAsia="仿宋_GB2312"/>
      <w:sz w:val="28"/>
      <w:szCs w:val="20"/>
    </w:rPr>
  </w:style>
  <w:style w:type="paragraph" w:customStyle="1" w:styleId="33">
    <w:name w:val="表头名称"/>
    <w:basedOn w:val="34"/>
    <w:qFormat/>
    <w:uiPriority w:val="0"/>
    <w:pPr>
      <w:spacing w:line="500" w:lineRule="exact"/>
      <w:ind w:firstLine="200" w:firstLineChars="200"/>
      <w:jc w:val="both"/>
    </w:pPr>
    <w:rPr>
      <w:rFonts w:ascii="Times New Roman" w:eastAsia="宋体"/>
      <w:sz w:val="21"/>
    </w:rPr>
  </w:style>
  <w:style w:type="paragraph" w:customStyle="1" w:styleId="34">
    <w:name w:val="图名"/>
    <w:next w:val="1"/>
    <w:qFormat/>
    <w:uiPriority w:val="0"/>
    <w:pPr>
      <w:adjustRightInd w:val="0"/>
      <w:snapToGrid w:val="0"/>
      <w:jc w:val="center"/>
    </w:pPr>
    <w:rPr>
      <w:rFonts w:ascii="仿宋_GB2312" w:hAnsi="Times New Roman" w:eastAsia="仿宋_GB2312" w:cs="Times New Roman"/>
      <w:b/>
      <w:bCs/>
      <w:snapToGrid w:val="0"/>
      <w:sz w:val="28"/>
      <w:szCs w:val="24"/>
      <w:lang w:val="en-US" w:eastAsia="zh-CN" w:bidi="ar-SA"/>
    </w:rPr>
  </w:style>
  <w:style w:type="paragraph" w:customStyle="1" w:styleId="35">
    <w:name w:val="0文本"/>
    <w:basedOn w:val="1"/>
    <w:qFormat/>
    <w:uiPriority w:val="0"/>
    <w:pPr>
      <w:spacing w:line="360" w:lineRule="auto"/>
      <w:ind w:firstLine="200" w:firstLineChars="200"/>
      <w:contextualSpacing/>
    </w:pPr>
    <w:rPr>
      <w:kern w:val="0"/>
      <w:sz w:val="24"/>
      <w:szCs w:val="24"/>
    </w:rPr>
  </w:style>
  <w:style w:type="paragraph" w:customStyle="1" w:styleId="36">
    <w:name w:val="图名、表名"/>
    <w:next w:val="1"/>
    <w:qFormat/>
    <w:uiPriority w:val="0"/>
    <w:pPr>
      <w:spacing w:line="360" w:lineRule="auto"/>
      <w:contextualSpacing/>
      <w:jc w:val="center"/>
    </w:pPr>
    <w:rPr>
      <w:rFonts w:ascii="Times New Roman" w:hAnsi="Times New Roman" w:eastAsia="宋体" w:cs="Times New Roman"/>
      <w:b/>
      <w:bCs/>
      <w:snapToGrid w:val="0"/>
      <w:color w:val="000000"/>
      <w:sz w:val="21"/>
      <w:szCs w:val="24"/>
      <w:lang w:val="en-US" w:eastAsia="zh-CN" w:bidi="ar-SA"/>
    </w:rPr>
  </w:style>
  <w:style w:type="paragraph" w:customStyle="1" w:styleId="37">
    <w:name w:val="01表 正文"/>
    <w:basedOn w:val="1"/>
    <w:qFormat/>
    <w:uiPriority w:val="0"/>
    <w:pPr>
      <w:adjustRightInd w:val="0"/>
      <w:spacing w:line="520" w:lineRule="exact"/>
      <w:ind w:firstLine="200" w:firstLineChars="200"/>
    </w:pPr>
    <w:rPr>
      <w:rFonts w:ascii="宋体" w:eastAsia="宋体"/>
      <w:color w:val="000000"/>
      <w:sz w:val="24"/>
    </w:rPr>
  </w:style>
  <w:style w:type="paragraph" w:customStyle="1" w:styleId="38">
    <w:name w:val="01 标题表正文"/>
    <w:basedOn w:val="37"/>
    <w:qFormat/>
    <w:uiPriority w:val="0"/>
    <w:pPr>
      <w:ind w:firstLine="420" w:firstLineChars="0"/>
    </w:pPr>
    <w:rPr>
      <w:b/>
      <w:bCs/>
      <w:kern w:val="0"/>
    </w:rPr>
  </w:style>
  <w:style w:type="paragraph" w:customStyle="1" w:styleId="39">
    <w:name w:val="缩进"/>
    <w:basedOn w:val="1"/>
    <w:qFormat/>
    <w:uiPriority w:val="0"/>
    <w:pPr>
      <w:spacing w:line="360" w:lineRule="auto"/>
      <w:ind w:firstLine="200" w:firstLineChars="200"/>
    </w:pPr>
    <w:rPr>
      <w:rFonts w:ascii="Calibri" w:hAnsi="Calibri" w:eastAsia="宋体" w:cs="Times New Roman"/>
      <w:sz w:val="24"/>
      <w:szCs w:val="24"/>
    </w:rPr>
  </w:style>
  <w:style w:type="paragraph" w:customStyle="1" w:styleId="40">
    <w:name w:val="样式 表字居左X2 + 首行缩进:  2 字符"/>
    <w:basedOn w:val="41"/>
    <w:qFormat/>
    <w:uiPriority w:val="0"/>
    <w:pPr>
      <w:ind w:firstLine="420"/>
    </w:pPr>
    <w:rPr>
      <w:szCs w:val="20"/>
    </w:rPr>
  </w:style>
  <w:style w:type="paragraph" w:customStyle="1" w:styleId="41">
    <w:name w:val="表字居左X2"/>
    <w:basedOn w:val="42"/>
    <w:qFormat/>
    <w:uiPriority w:val="0"/>
    <w:pPr>
      <w:spacing w:line="331" w:lineRule="auto"/>
      <w:ind w:firstLine="200" w:firstLineChars="200"/>
      <w:jc w:val="both"/>
    </w:pPr>
    <w:rPr>
      <w:rFonts w:hAnsi="宋体" w:cs="宋体"/>
    </w:rPr>
  </w:style>
  <w:style w:type="paragraph" w:customStyle="1" w:styleId="42">
    <w:name w:val="SSEC 表字居中"/>
    <w:qFormat/>
    <w:uiPriority w:val="0"/>
    <w:pPr>
      <w:widowControl w:val="0"/>
      <w:adjustRightInd w:val="0"/>
      <w:snapToGrid w:val="0"/>
      <w:jc w:val="center"/>
      <w:textAlignment w:val="center"/>
    </w:pPr>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10213</Words>
  <Characters>10708</Characters>
  <Lines>0</Lines>
  <Paragraphs>0</Paragraphs>
  <TotalTime>5</TotalTime>
  <ScaleCrop>false</ScaleCrop>
  <LinksUpToDate>false</LinksUpToDate>
  <CharactersWithSpaces>10790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2025-10-09T04:56:00Z</dcterms:created>
  <dc:creator>njgh</dc:creator>
  <cp:lastModifiedBy>小麦啾</cp:lastModifiedBy>
  <dcterms:modified xsi:type="dcterms:W3CDTF">2025-12-08T09:02:33Z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78D9355886CE4ADE9FB0B99E8E029405_11</vt:lpwstr>
  </property>
  <property fmtid="{D5CDD505-2E9C-101B-9397-08002B2CF9AE}" pid="4" name="KSOTemplateDocerSaveRecord">
    <vt:lpwstr>eyJoZGlkIjoiM2Q5NDlmNDc3N2ZkYzk3ZGJmOTUwNTM0Mzc5MTVlNDMiLCJ1c2VySWQiOiIzMjQ5NjUzODcifQ==</vt:lpwstr>
  </property>
</Properties>
</file>